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A3A5C"/>
          <w:sz w:val="28"/>
        </w:rPr>
        <w:t>PLAN DE ENSAYOS — QUEMADOR ATMOSFÉRICO ABIERTO</w:t>
      </w:r>
    </w:p>
    <w:p>
      <w:pPr>
        <w:spacing w:before="0" w:after="120"/>
        <w:jc w:val="both"/>
      </w:pPr>
      <w:r>
        <w:rPr>
          <w:b w:val="0"/>
          <w:i/>
          <w:sz w:val="19"/>
        </w:rPr>
        <w:t>Objetivo: Encontrar la configuración que mejore la eficiencia térmica (≥ 62.5%) y reduzca el CO (≤ 450 ppm) sin modificar partes del quemador.</w:t>
      </w:r>
    </w:p>
    <w:p>
      <w:pPr>
        <w:pBdr>
          <w:bottom w:val="single" w:sz="4" w:space="3" w:color="1A3A5C"/>
        </w:pBdr>
        <w:spacing w:before="160" w:after="80"/>
      </w:pPr>
      <w:r>
        <w:rPr>
          <w:b/>
          <w:color w:val="1A3A5C"/>
          <w:sz w:val="23"/>
        </w:rPr>
        <w:t>1.  ¿POR QUÉ ESTAS TRES VARIABLES?</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val="clear" w:color="auto" w:fill="1A3A5C"/>
          </w:tcPr>
          <w:p>
            <w:pPr>
              <w:jc w:val="center"/>
            </w:pPr>
            <w:r>
              <w:t>Variable</w:t>
            </w:r>
          </w:p>
        </w:tc>
        <w:tc>
          <w:tcPr>
            <w:tcW w:type="dxa" w:w="3230"/>
            <w:shd w:val="clear" w:color="auto" w:fill="1A3A5C"/>
          </w:tcPr>
          <w:p>
            <w:pPr>
              <w:jc w:val="center"/>
            </w:pPr>
            <w:r>
              <w:t>¿Qué hace físicamente?</w:t>
            </w:r>
          </w:p>
        </w:tc>
        <w:tc>
          <w:tcPr>
            <w:tcW w:type="dxa" w:w="3230"/>
            <w:shd w:val="clear" w:color="auto" w:fill="1A3A5C"/>
          </w:tcPr>
          <w:p>
            <w:pPr>
              <w:jc w:val="center"/>
            </w:pPr>
            <w:r>
              <w:t>Impacto esperado</w:t>
            </w:r>
          </w:p>
        </w:tc>
      </w:tr>
      <w:tr>
        <w:tc>
          <w:tcPr>
            <w:tcW w:type="dxa" w:w="3230"/>
          </w:tcPr>
          <w:p>
            <w:pPr>
              <w:jc w:val="left"/>
            </w:pPr>
            <w:r>
              <w:rPr>
                <w:b/>
                <w:sz w:val="17"/>
              </w:rPr>
              <w:t>X₁ — Altura de la olla</w:t>
              <w:br/>
              <w:t>(H_pot, mm)</w:t>
              <w:br/>
              <w:t>Suplementos bajo la olla</w:t>
            </w:r>
          </w:p>
        </w:tc>
        <w:tc>
          <w:tcPr>
            <w:tcW w:type="dxa" w:w="3230"/>
          </w:tcPr>
          <w:p>
            <w:pPr>
              <w:jc w:val="left"/>
            </w:pPr>
            <w:r>
              <w:rPr>
                <w:sz w:val="17"/>
              </w:rPr>
              <w:t>Controla cuánto calor llega a la olla. Si está muy cerca, la pared fría apaga la llama antes de que el CO se queme completamente (efecto «Thermal Quenching»). Si está muy lejos, el calor se pierde al ambiente antes de llegar al fondo de la olla.</w:t>
            </w:r>
          </w:p>
        </w:tc>
        <w:tc>
          <w:tcPr>
            <w:tcW w:type="dxa" w:w="3230"/>
          </w:tcPr>
          <w:p>
            <w:pPr>
              <w:jc w:val="left"/>
            </w:pPr>
            <w:r>
              <w:rPr>
                <w:sz w:val="17"/>
              </w:rPr>
              <w:t>CRÍTICO para eficiencia y emisiones de CO. Es la variable más importante del ensayo.</w:t>
            </w:r>
          </w:p>
        </w:tc>
      </w:tr>
      <w:tr>
        <w:tc>
          <w:tcPr>
            <w:tcW w:type="dxa" w:w="3230"/>
          </w:tcPr>
          <w:p>
            <w:pPr>
              <w:jc w:val="left"/>
            </w:pPr>
            <w:r>
              <w:rPr>
                <w:b/>
                <w:sz w:val="17"/>
              </w:rPr>
              <w:t>X₂ — Apertura de la ventana de aire</w:t>
              <w:br/>
              <w:t>(A_vent, %)</w:t>
              <w:br/>
              <w:t>Cinta metálica de aluminio</w:t>
            </w:r>
          </w:p>
        </w:tc>
        <w:tc>
          <w:tcPr>
            <w:tcW w:type="dxa" w:w="3230"/>
          </w:tcPr>
          <w:p>
            <w:pPr>
              <w:jc w:val="left"/>
            </w:pPr>
            <w:r>
              <w:rPr>
                <w:sz w:val="17"/>
              </w:rPr>
              <w:t>Controla cuánto aire primario entra al tubo venturi antes de la llama. Con poca apertura, hay poco oxígeno y la llama es amarilla y rica en CO. Con apertura total, la llama es azul y la combustión es completa.</w:t>
            </w:r>
          </w:p>
        </w:tc>
        <w:tc>
          <w:tcPr>
            <w:tcW w:type="dxa" w:w="3230"/>
          </w:tcPr>
          <w:p>
            <w:pPr>
              <w:jc w:val="left"/>
            </w:pPr>
            <w:r>
              <w:rPr>
                <w:sz w:val="17"/>
              </w:rPr>
              <w:t>ALTO impacto en emisiones de CO. Medio-alto en eficiencia térmica.</w:t>
            </w:r>
          </w:p>
        </w:tc>
      </w:tr>
      <w:tr>
        <w:tc>
          <w:tcPr>
            <w:tcW w:type="dxa" w:w="3230"/>
          </w:tcPr>
          <w:p>
            <w:pPr>
              <w:jc w:val="left"/>
            </w:pPr>
            <w:r>
              <w:rPr>
                <w:b/>
                <w:sz w:val="17"/>
              </w:rPr>
              <w:t>X₃ — Posición del inyector</w:t>
              <w:br/>
              <w:t>(x_inj, mm)</w:t>
              <w:br/>
              <w:t>Desplazamiento axial hacia atrás</w:t>
            </w:r>
          </w:p>
        </w:tc>
        <w:tc>
          <w:tcPr>
            <w:tcW w:type="dxa" w:w="3230"/>
          </w:tcPr>
          <w:p>
            <w:pPr>
              <w:jc w:val="left"/>
            </w:pPr>
            <w:r>
              <w:rPr>
                <w:sz w:val="17"/>
              </w:rPr>
              <w:t>Al retirar el inyector de la garganta del tubo, el chorro de gas arrastra más aire antes de entrar al tubo. Es un ajuste fino de la mezcla gas-aire. Valor 0 = inyector a ras de la garganta. Valor positivo = inyector más alejado hacia atrás.</w:t>
            </w:r>
          </w:p>
        </w:tc>
        <w:tc>
          <w:tcPr>
            <w:tcW w:type="dxa" w:w="3230"/>
          </w:tcPr>
          <w:p>
            <w:pPr>
              <w:jc w:val="left"/>
            </w:pPr>
            <w:r>
              <w:rPr>
                <w:sz w:val="17"/>
              </w:rPr>
              <w:t>MEDIO. Permite afinar la mezcla sin cambiar piezas.</w:t>
            </w:r>
          </w:p>
        </w:tc>
      </w:tr>
    </w:tbl>
    <w:p>
      <w:pPr>
        <w:pBdr>
          <w:bottom w:val="single" w:sz="4" w:space="3" w:color="1A3A5C"/>
        </w:pBdr>
        <w:spacing w:before="160" w:after="80"/>
      </w:pPr>
      <w:r>
        <w:rPr>
          <w:b/>
          <w:color w:val="1A3A5C"/>
          <w:sz w:val="23"/>
        </w:rPr>
        <w:t>2.  HIPÓTESIS DE LOS ENSAYOS</w:t>
      </w:r>
    </w:p>
    <w:p>
      <w:pPr>
        <w:spacing w:before="0" w:after="60"/>
        <w:jc w:val="both"/>
      </w:pPr>
      <w:r>
        <w:rPr>
          <w:b w:val="0"/>
          <w:i w:val="0"/>
          <w:sz w:val="20"/>
        </w:rPr>
        <w:t>Antes de empezar, planteamos dos preguntas formales que los datos deberán responder (nivel de confianza estadística del 95%):</w:t>
      </w:r>
    </w:p>
    <w:tbl>
      <w:tblPr>
        <w:tblStyle w:val="TableGrid"/>
        <w:tblW w:type="auto" w:w="0"/>
        <w:jc w:val="center"/>
        <w:tblLook w:firstColumn="1" w:firstRow="1" w:lastColumn="0" w:lastRow="0" w:noHBand="0" w:noVBand="1" w:val="04A0"/>
      </w:tblPr>
      <w:tblGrid>
        <w:gridCol w:w="4844"/>
        <w:gridCol w:w="4844"/>
      </w:tblGrid>
      <w:tr>
        <w:tc>
          <w:tcPr>
            <w:tcW w:type="dxa" w:w="4844"/>
            <w:shd w:val="clear" w:color="auto" w:fill="1A3A5C"/>
          </w:tcPr>
          <w:p>
            <w:pPr>
              <w:jc w:val="center"/>
            </w:pPr>
            <w:r>
              <w:t>Hipótesis</w:t>
            </w:r>
          </w:p>
        </w:tc>
        <w:tc>
          <w:tcPr>
            <w:tcW w:type="dxa" w:w="4844"/>
            <w:shd w:val="clear" w:color="auto" w:fill="1A3A5C"/>
          </w:tcPr>
          <w:p>
            <w:pPr>
              <w:jc w:val="center"/>
            </w:pPr>
            <w:r>
              <w:t>Enunciado en términos simples</w:t>
            </w:r>
          </w:p>
        </w:tc>
      </w:tr>
      <w:tr>
        <w:tc>
          <w:tcPr>
            <w:tcW w:type="dxa" w:w="4844"/>
          </w:tcPr>
          <w:p>
            <w:pPr>
              <w:jc w:val="left"/>
            </w:pPr>
            <w:r>
              <w:rPr>
                <w:b/>
                <w:sz w:val="17"/>
              </w:rPr>
              <w:t>H₀ para la Eficiencia (η)</w:t>
            </w:r>
          </w:p>
        </w:tc>
        <w:tc>
          <w:tcPr>
            <w:tcW w:type="dxa" w:w="4844"/>
          </w:tcPr>
          <w:p>
            <w:pPr>
              <w:jc w:val="both"/>
            </w:pPr>
            <w:r>
              <w:rPr>
                <w:sz w:val="17"/>
              </w:rPr>
              <w:t>Ninguna de las tres variables cambia la eficiencia de forma significativa. Todos los ensayos darían el mismo resultado.</w:t>
            </w:r>
          </w:p>
        </w:tc>
      </w:tr>
      <w:tr>
        <w:tc>
          <w:tcPr>
            <w:tcW w:type="dxa" w:w="4844"/>
            <w:shd w:val="clear" w:color="auto" w:fill="D4EDDA"/>
          </w:tcPr>
          <w:p>
            <w:pPr>
              <w:jc w:val="left"/>
            </w:pPr>
            <w:r>
              <w:rPr>
                <w:b/>
                <w:sz w:val="17"/>
              </w:rPr>
              <w:t>H₁ para la Eficiencia (η)  ✔ Lo que esperamos</w:t>
            </w:r>
          </w:p>
        </w:tc>
        <w:tc>
          <w:tcPr>
            <w:tcW w:type="dxa" w:w="4844"/>
            <w:shd w:val="clear" w:color="auto" w:fill="D4EDDA"/>
          </w:tcPr>
          <w:p>
            <w:pPr>
              <w:jc w:val="both"/>
            </w:pPr>
            <w:r>
              <w:rPr>
                <w:sz w:val="17"/>
              </w:rPr>
              <w:t>Al menos una variable SÍ afecta significativamente la eficiencia. Existe una combinación óptima que supera el 62.5%.</w:t>
            </w:r>
          </w:p>
        </w:tc>
      </w:tr>
      <w:tr>
        <w:tc>
          <w:tcPr>
            <w:tcW w:type="dxa" w:w="4844"/>
          </w:tcPr>
          <w:p>
            <w:pPr>
              <w:jc w:val="left"/>
            </w:pPr>
            <w:r>
              <w:rPr>
                <w:b/>
                <w:sz w:val="17"/>
              </w:rPr>
              <w:t>H₀ para las Emisiones de CO</w:t>
            </w:r>
          </w:p>
        </w:tc>
        <w:tc>
          <w:tcPr>
            <w:tcW w:type="dxa" w:w="4844"/>
          </w:tcPr>
          <w:p>
            <w:pPr>
              <w:jc w:val="both"/>
            </w:pPr>
            <w:r>
              <w:rPr>
                <w:sz w:val="17"/>
              </w:rPr>
              <w:t>Ninguna de las variables cambia las emisiones de CO de forma significativa. Todos los ensayos darían el mismo nivel de CO.</w:t>
            </w:r>
          </w:p>
        </w:tc>
      </w:tr>
      <w:tr>
        <w:tc>
          <w:tcPr>
            <w:tcW w:type="dxa" w:w="4844"/>
            <w:shd w:val="clear" w:color="auto" w:fill="D4EDDA"/>
          </w:tcPr>
          <w:p>
            <w:pPr>
              <w:jc w:val="left"/>
            </w:pPr>
            <w:r>
              <w:rPr>
                <w:b/>
                <w:sz w:val="17"/>
              </w:rPr>
              <w:t>H₁ para las Emisiones de CO  ✔ Lo que esperamos</w:t>
            </w:r>
          </w:p>
        </w:tc>
        <w:tc>
          <w:tcPr>
            <w:tcW w:type="dxa" w:w="4844"/>
            <w:shd w:val="clear" w:color="auto" w:fill="D4EDDA"/>
          </w:tcPr>
          <w:p>
            <w:pPr>
              <w:jc w:val="both"/>
            </w:pPr>
            <w:r>
              <w:rPr>
                <w:sz w:val="17"/>
              </w:rPr>
              <w:t>Al menos una variable SÍ reduce significativamente el CO. En especial, acercar demasiado la olla (X₁ muy bajo) generaría un pico de CO por apagado térmico de la llama.</w:t>
            </w:r>
          </w:p>
        </w:tc>
      </w:tr>
    </w:tbl>
    <w:p>
      <w:pPr>
        <w:pBdr>
          <w:bottom w:val="single" w:sz="4" w:space="3" w:color="1A3A5C"/>
        </w:pBdr>
        <w:spacing w:before="160" w:after="80"/>
      </w:pPr>
      <w:r>
        <w:rPr>
          <w:b/>
          <w:color w:val="1A3A5C"/>
          <w:sz w:val="23"/>
        </w:rPr>
        <w:t>3.  NIVELES DE CADA VARIABLE EN EL BANCO</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shd w:val="clear" w:color="auto" w:fill="1A3A5C"/>
          </w:tcPr>
          <w:p>
            <w:pPr>
              <w:jc w:val="center"/>
            </w:pPr>
            <w:r>
              <w:t>Variable</w:t>
            </w:r>
          </w:p>
        </w:tc>
        <w:tc>
          <w:tcPr>
            <w:tcW w:type="dxa" w:w="1615"/>
            <w:shd w:val="clear" w:color="auto" w:fill="1A3A5C"/>
          </w:tcPr>
          <w:p>
            <w:pPr>
              <w:jc w:val="center"/>
            </w:pPr>
            <w:r>
              <w:t>Mínimo extremo</w:t>
            </w:r>
          </w:p>
        </w:tc>
        <w:tc>
          <w:tcPr>
            <w:tcW w:type="dxa" w:w="1615"/>
            <w:shd w:val="clear" w:color="auto" w:fill="1A3A5C"/>
          </w:tcPr>
          <w:p>
            <w:pPr>
              <w:jc w:val="center"/>
            </w:pPr>
            <w:r>
              <w:t>Bajo</w:t>
            </w:r>
          </w:p>
        </w:tc>
        <w:tc>
          <w:tcPr>
            <w:tcW w:type="dxa" w:w="1615"/>
            <w:shd w:val="clear" w:color="auto" w:fill="1A3A5C"/>
          </w:tcPr>
          <w:p>
            <w:pPr>
              <w:jc w:val="center"/>
            </w:pPr>
            <w:r>
              <w:t>CENTRO (★)</w:t>
            </w:r>
          </w:p>
        </w:tc>
        <w:tc>
          <w:tcPr>
            <w:tcW w:type="dxa" w:w="1615"/>
            <w:shd w:val="clear" w:color="auto" w:fill="1A3A5C"/>
          </w:tcPr>
          <w:p>
            <w:pPr>
              <w:jc w:val="center"/>
            </w:pPr>
            <w:r>
              <w:t>Alto</w:t>
            </w:r>
          </w:p>
        </w:tc>
        <w:tc>
          <w:tcPr>
            <w:tcW w:type="dxa" w:w="1615"/>
            <w:shd w:val="clear" w:color="auto" w:fill="1A3A5C"/>
          </w:tcPr>
          <w:p>
            <w:pPr>
              <w:jc w:val="center"/>
            </w:pPr>
            <w:r>
              <w:t>Máximo extremo</w:t>
            </w:r>
          </w:p>
        </w:tc>
      </w:tr>
      <w:tr>
        <w:tc>
          <w:tcPr>
            <w:tcW w:type="dxa" w:w="1615"/>
          </w:tcPr>
          <w:p>
            <w:pPr>
              <w:jc w:val="center"/>
            </w:pPr>
            <w:r>
              <w:rPr>
                <w:sz w:val="17"/>
              </w:rPr>
              <w:t>X₁  H_pot (mm)</w:t>
            </w:r>
          </w:p>
        </w:tc>
        <w:tc>
          <w:tcPr>
            <w:tcW w:type="dxa" w:w="1615"/>
          </w:tcPr>
          <w:p>
            <w:pPr>
              <w:jc w:val="center"/>
            </w:pPr>
            <w:r>
              <w:rPr>
                <w:sz w:val="17"/>
              </w:rPr>
              <w:t>11.5 mm</w:t>
            </w:r>
          </w:p>
        </w:tc>
        <w:tc>
          <w:tcPr>
            <w:tcW w:type="dxa" w:w="1615"/>
          </w:tcPr>
          <w:p>
            <w:pPr>
              <w:jc w:val="center"/>
            </w:pPr>
            <w:r>
              <w:rPr>
                <w:sz w:val="17"/>
              </w:rPr>
              <w:t>12.5 mm</w:t>
            </w:r>
          </w:p>
        </w:tc>
        <w:tc>
          <w:tcPr>
            <w:tcW w:type="dxa" w:w="1615"/>
            <w:shd w:val="clear" w:color="auto" w:fill="D4EDDA"/>
          </w:tcPr>
          <w:p>
            <w:pPr>
              <w:jc w:val="center"/>
            </w:pPr>
            <w:r>
              <w:rPr>
                <w:b/>
                <w:sz w:val="17"/>
              </w:rPr>
              <w:t>14.0 mm ★</w:t>
            </w:r>
          </w:p>
        </w:tc>
        <w:tc>
          <w:tcPr>
            <w:tcW w:type="dxa" w:w="1615"/>
          </w:tcPr>
          <w:p>
            <w:pPr>
              <w:jc w:val="center"/>
            </w:pPr>
            <w:r>
              <w:rPr>
                <w:sz w:val="17"/>
              </w:rPr>
              <w:t>15.5 mm</w:t>
            </w:r>
          </w:p>
        </w:tc>
        <w:tc>
          <w:tcPr>
            <w:tcW w:type="dxa" w:w="1615"/>
          </w:tcPr>
          <w:p>
            <w:pPr>
              <w:jc w:val="center"/>
            </w:pPr>
            <w:r>
              <w:rPr>
                <w:sz w:val="17"/>
              </w:rPr>
              <w:t>16.5 mm</w:t>
            </w:r>
          </w:p>
        </w:tc>
      </w:tr>
      <w:tr>
        <w:tc>
          <w:tcPr>
            <w:tcW w:type="dxa" w:w="1615"/>
          </w:tcPr>
          <w:p>
            <w:pPr>
              <w:jc w:val="center"/>
            </w:pPr>
            <w:r>
              <w:rPr>
                <w:sz w:val="17"/>
              </w:rPr>
              <w:t>X₂  Ventana (%)</w:t>
            </w:r>
          </w:p>
        </w:tc>
        <w:tc>
          <w:tcPr>
            <w:tcW w:type="dxa" w:w="1615"/>
          </w:tcPr>
          <w:p>
            <w:pPr>
              <w:jc w:val="center"/>
            </w:pPr>
            <w:r>
              <w:rPr>
                <w:sz w:val="17"/>
              </w:rPr>
              <w:t>50%</w:t>
              <w:br/>
              <w:t>(mitad tapada)</w:t>
            </w:r>
          </w:p>
        </w:tc>
        <w:tc>
          <w:tcPr>
            <w:tcW w:type="dxa" w:w="1615"/>
          </w:tcPr>
          <w:p>
            <w:pPr>
              <w:jc w:val="center"/>
            </w:pPr>
            <w:r>
              <w:rPr>
                <w:sz w:val="17"/>
              </w:rPr>
              <w:t>67%</w:t>
              <w:br/>
              <w:t>(1/3 tapada)</w:t>
            </w:r>
          </w:p>
        </w:tc>
        <w:tc>
          <w:tcPr>
            <w:tcW w:type="dxa" w:w="1615"/>
            <w:shd w:val="clear" w:color="auto" w:fill="D4EDDA"/>
          </w:tcPr>
          <w:p>
            <w:pPr>
              <w:jc w:val="center"/>
            </w:pPr>
            <w:r>
              <w:rPr>
                <w:b/>
                <w:sz w:val="17"/>
              </w:rPr>
              <w:t>83%</w:t>
              <w:br/>
              <w:t>(cinta leve) ★</w:t>
            </w:r>
          </w:p>
        </w:tc>
        <w:tc>
          <w:tcPr>
            <w:tcW w:type="dxa" w:w="1615"/>
          </w:tcPr>
          <w:p>
            <w:pPr>
              <w:jc w:val="center"/>
            </w:pPr>
            <w:r>
              <w:rPr>
                <w:sz w:val="17"/>
              </w:rPr>
              <w:t>100%</w:t>
              <w:br/>
              <w:t>(abierta total)</w:t>
            </w:r>
          </w:p>
        </w:tc>
        <w:tc>
          <w:tcPr>
            <w:tcW w:type="dxa" w:w="1615"/>
          </w:tcPr>
          <w:p>
            <w:pPr>
              <w:jc w:val="center"/>
            </w:pPr>
            <w:r>
              <w:rPr>
                <w:sz w:val="17"/>
              </w:rPr>
              <w:t>100%</w:t>
              <w:br/>
              <w:t>(abierta total)</w:t>
            </w:r>
          </w:p>
        </w:tc>
      </w:tr>
      <w:tr>
        <w:tc>
          <w:tcPr>
            <w:tcW w:type="dxa" w:w="1615"/>
          </w:tcPr>
          <w:p>
            <w:pPr>
              <w:jc w:val="center"/>
            </w:pPr>
            <w:r>
              <w:rPr>
                <w:sz w:val="17"/>
              </w:rPr>
              <w:t>X₃  x_inj (mm)</w:t>
            </w:r>
          </w:p>
        </w:tc>
        <w:tc>
          <w:tcPr>
            <w:tcW w:type="dxa" w:w="1615"/>
          </w:tcPr>
          <w:p>
            <w:pPr>
              <w:jc w:val="center"/>
            </w:pPr>
            <w:r>
              <w:rPr>
                <w:sz w:val="17"/>
              </w:rPr>
              <w:t>0.0 mm</w:t>
              <w:br/>
              <w:t>(a ras)</w:t>
            </w:r>
          </w:p>
        </w:tc>
        <w:tc>
          <w:tcPr>
            <w:tcW w:type="dxa" w:w="1615"/>
          </w:tcPr>
          <w:p>
            <w:pPr>
              <w:jc w:val="center"/>
            </w:pPr>
            <w:r>
              <w:rPr>
                <w:sz w:val="17"/>
              </w:rPr>
              <w:t>1.0 mm</w:t>
            </w:r>
          </w:p>
        </w:tc>
        <w:tc>
          <w:tcPr>
            <w:tcW w:type="dxa" w:w="1615"/>
            <w:shd w:val="clear" w:color="auto" w:fill="D4EDDA"/>
          </w:tcPr>
          <w:p>
            <w:pPr>
              <w:jc w:val="center"/>
            </w:pPr>
            <w:r>
              <w:rPr>
                <w:b/>
                <w:sz w:val="17"/>
              </w:rPr>
              <w:t>2.5 mm ★</w:t>
            </w:r>
          </w:p>
        </w:tc>
        <w:tc>
          <w:tcPr>
            <w:tcW w:type="dxa" w:w="1615"/>
          </w:tcPr>
          <w:p>
            <w:pPr>
              <w:jc w:val="center"/>
            </w:pPr>
            <w:r>
              <w:rPr>
                <w:sz w:val="17"/>
              </w:rPr>
              <w:t>4.0 mm</w:t>
            </w:r>
          </w:p>
        </w:tc>
        <w:tc>
          <w:tcPr>
            <w:tcW w:type="dxa" w:w="1615"/>
          </w:tcPr>
          <w:p>
            <w:pPr>
              <w:jc w:val="center"/>
            </w:pPr>
            <w:r>
              <w:rPr>
                <w:sz w:val="17"/>
              </w:rPr>
              <w:t>5.0 mm</w:t>
              <w:br/>
              <w:t>(muy retirado)</w:t>
            </w:r>
          </w:p>
        </w:tc>
      </w:tr>
    </w:tbl>
    <w:p>
      <w:pPr>
        <w:spacing w:before="0" w:after="80"/>
        <w:jc w:val="both"/>
      </w:pPr>
      <w:r>
        <w:rPr>
          <w:b w:val="0"/>
          <w:i/>
          <w:sz w:val="17"/>
        </w:rPr>
        <w:t>★ = Punto de inicio / configuración base del ensayo.</w:t>
      </w:r>
    </w:p>
    <w:p>
      <w:pPr>
        <w:pBdr>
          <w:bottom w:val="single" w:sz="4" w:space="3" w:color="1A3A5C"/>
        </w:pBdr>
        <w:spacing w:before="160" w:after="80"/>
      </w:pPr>
      <w:r>
        <w:rPr>
          <w:b/>
          <w:color w:val="1A3A5C"/>
          <w:sz w:val="23"/>
        </w:rPr>
        <w:t>4.  MATRIZ DE 15 ENSAYOS — ORDEN DE EJECUCIÓN</w:t>
      </w:r>
    </w:p>
    <w:p>
      <w:pPr>
        <w:spacing w:before="0" w:after="60"/>
        <w:jc w:val="both"/>
      </w:pPr>
      <w:r>
        <w:rPr>
          <w:b w:val="0"/>
          <w:i/>
          <w:sz w:val="18"/>
        </w:rPr>
        <w:t>Ejecutar en el orden indicado. Aplicar el procedimiento de medición NTC 2832-1 en cada corrida. Registrar Y₁, Y₂ e Y₃ al finalizar cada ensayo y anotar observaciones en la última columna.</w:t>
      </w:r>
    </w:p>
    <w:tbl>
      <w:tblPr>
        <w:tblStyle w:val="TableGrid"/>
        <w:tblW w:type="auto" w:w="0"/>
        <w:jc w:val="center"/>
        <w:tblLook w:firstColumn="1" w:firstRow="1" w:lastColumn="0" w:lastRow="0" w:noHBand="0" w:noVBand="1" w:val="04A0"/>
      </w:tblPr>
      <w:tblGrid>
        <w:gridCol w:w="1077"/>
        <w:gridCol w:w="1077"/>
        <w:gridCol w:w="1077"/>
        <w:gridCol w:w="1077"/>
        <w:gridCol w:w="1077"/>
        <w:gridCol w:w="1077"/>
        <w:gridCol w:w="1077"/>
        <w:gridCol w:w="1077"/>
        <w:gridCol w:w="1077"/>
      </w:tblGrid>
      <w:tr>
        <w:tc>
          <w:tcPr>
            <w:tcW w:type="dxa" w:w="1077"/>
            <w:shd w:val="clear" w:color="auto" w:fill="1A3A5C"/>
          </w:tcPr>
          <w:p>
            <w:pPr>
              <w:jc w:val="center"/>
            </w:pPr>
            <w:r>
              <w:t>N°</w:t>
            </w:r>
          </w:p>
        </w:tc>
        <w:tc>
          <w:tcPr>
            <w:tcW w:type="dxa" w:w="1077"/>
            <w:shd w:val="clear" w:color="auto" w:fill="1A3A5C"/>
          </w:tcPr>
          <w:p>
            <w:pPr>
              <w:jc w:val="center"/>
            </w:pPr>
            <w:r>
              <w:t>Tipo</w:t>
            </w:r>
          </w:p>
        </w:tc>
        <w:tc>
          <w:tcPr>
            <w:tcW w:type="dxa" w:w="1077"/>
            <w:shd w:val="clear" w:color="auto" w:fill="1A3A5C"/>
          </w:tcPr>
          <w:p>
            <w:pPr>
              <w:jc w:val="center"/>
            </w:pPr>
            <w:r>
              <w:t>X₁</w:t>
              <w:br/>
              <w:t>H_pot</w:t>
              <w:br/>
              <w:t>(mm)</w:t>
            </w:r>
          </w:p>
        </w:tc>
        <w:tc>
          <w:tcPr>
            <w:tcW w:type="dxa" w:w="1077"/>
            <w:shd w:val="clear" w:color="auto" w:fill="1A3A5C"/>
          </w:tcPr>
          <w:p>
            <w:pPr>
              <w:jc w:val="center"/>
            </w:pPr>
            <w:r>
              <w:t>X₂</w:t>
              <w:br/>
              <w:t>Ventana</w:t>
              <w:br/>
              <w:t>(%)</w:t>
            </w:r>
          </w:p>
        </w:tc>
        <w:tc>
          <w:tcPr>
            <w:tcW w:type="dxa" w:w="1077"/>
            <w:shd w:val="clear" w:color="auto" w:fill="1A3A5C"/>
          </w:tcPr>
          <w:p>
            <w:pPr>
              <w:jc w:val="center"/>
            </w:pPr>
            <w:r>
              <w:t>X₃</w:t>
              <w:br/>
              <w:t>x_inj</w:t>
              <w:br/>
              <w:t>(mm)</w:t>
            </w:r>
          </w:p>
        </w:tc>
        <w:tc>
          <w:tcPr>
            <w:tcW w:type="dxa" w:w="1077"/>
            <w:shd w:val="clear" w:color="auto" w:fill="1A3A5C"/>
          </w:tcPr>
          <w:p>
            <w:pPr>
              <w:jc w:val="center"/>
            </w:pPr>
            <w:r>
              <w:t>Y₁</w:t>
              <w:br/>
              <w:t>η (%)</w:t>
            </w:r>
          </w:p>
        </w:tc>
        <w:tc>
          <w:tcPr>
            <w:tcW w:type="dxa" w:w="1077"/>
            <w:shd w:val="clear" w:color="auto" w:fill="1A3A5C"/>
          </w:tcPr>
          <w:p>
            <w:pPr>
              <w:jc w:val="center"/>
            </w:pPr>
            <w:r>
              <w:t>Y₂</w:t>
              <w:br/>
              <w:t>CO</w:t>
              <w:br/>
              <w:t>(ppm)</w:t>
            </w:r>
          </w:p>
        </w:tc>
        <w:tc>
          <w:tcPr>
            <w:tcW w:type="dxa" w:w="1077"/>
            <w:shd w:val="clear" w:color="auto" w:fill="1A3A5C"/>
          </w:tcPr>
          <w:p>
            <w:pPr>
              <w:jc w:val="center"/>
            </w:pPr>
            <w:r>
              <w:t>Y₃</w:t>
              <w:br/>
              <w:t>Pot.</w:t>
              <w:br/>
              <w:t>(kW)</w:t>
            </w:r>
          </w:p>
        </w:tc>
        <w:tc>
          <w:tcPr>
            <w:tcW w:type="dxa" w:w="1077"/>
            <w:shd w:val="clear" w:color="auto" w:fill="1A3A5C"/>
          </w:tcPr>
          <w:p>
            <w:pPr>
              <w:jc w:val="center"/>
            </w:pPr>
            <w:r>
              <w:t>Observaciones</w:t>
            </w:r>
          </w:p>
        </w:tc>
      </w:tr>
      <w:tr>
        <w:tc>
          <w:tcPr>
            <w:tcW w:type="dxa" w:w="1077"/>
          </w:tcPr>
          <w:p>
            <w:pPr>
              <w:jc w:val="center"/>
            </w:pPr>
            <w:r>
              <w:rPr>
                <w:sz w:val="17"/>
              </w:rPr>
              <w:t>1</w:t>
            </w:r>
          </w:p>
        </w:tc>
        <w:tc>
          <w:tcPr>
            <w:tcW w:type="dxa" w:w="1077"/>
          </w:tcPr>
          <w:p>
            <w:pPr>
              <w:jc w:val="center"/>
            </w:pPr>
            <w:r>
              <w:rPr>
                <w:sz w:val="17"/>
              </w:rPr>
              <w:t>Factorial</w:t>
            </w:r>
          </w:p>
        </w:tc>
        <w:tc>
          <w:tcPr>
            <w:tcW w:type="dxa" w:w="1077"/>
          </w:tcPr>
          <w:p>
            <w:pPr>
              <w:jc w:val="center"/>
            </w:pPr>
            <w:r>
              <w:rPr>
                <w:sz w:val="17"/>
              </w:rPr>
              <w:t>12.5</w:t>
            </w:r>
          </w:p>
        </w:tc>
        <w:tc>
          <w:tcPr>
            <w:tcW w:type="dxa" w:w="1077"/>
          </w:tcPr>
          <w:p>
            <w:pPr>
              <w:jc w:val="center"/>
            </w:pPr>
            <w:r>
              <w:rPr>
                <w:sz w:val="17"/>
              </w:rPr>
              <w:t>67%</w:t>
            </w:r>
          </w:p>
        </w:tc>
        <w:tc>
          <w:tcPr>
            <w:tcW w:type="dxa" w:w="1077"/>
          </w:tcPr>
          <w:p>
            <w:pPr>
              <w:jc w:val="center"/>
            </w:pPr>
            <w:r>
              <w:rPr>
                <w:sz w:val="17"/>
              </w:rPr>
              <w:t>1.0</w:t>
            </w:r>
          </w:p>
        </w:tc>
        <w:tc>
          <w:tcPr>
            <w:tcW w:type="dxa" w:w="1077"/>
          </w:tcPr>
          <w:p>
            <w:pPr>
              <w:jc w:val="center"/>
            </w:pPr>
            <w:r>
              <w:rPr>
                <w:sz w:val="17"/>
              </w:rPr>
            </w:r>
          </w:p>
        </w:tc>
        <w:tc>
          <w:tcPr>
            <w:tcW w:type="dxa" w:w="1077"/>
          </w:tcPr>
          <w:p>
            <w:pPr>
              <w:jc w:val="center"/>
            </w:pPr>
            <w:r>
              <w:rPr>
                <w:sz w:val="17"/>
              </w:rPr>
            </w:r>
          </w:p>
        </w:tc>
        <w:tc>
          <w:tcPr>
            <w:tcW w:type="dxa" w:w="1077"/>
          </w:tcPr>
          <w:p>
            <w:pPr>
              <w:jc w:val="center"/>
            </w:pPr>
            <w:r>
              <w:rPr>
                <w:sz w:val="17"/>
              </w:rPr>
            </w:r>
          </w:p>
        </w:tc>
        <w:tc>
          <w:tcPr>
            <w:tcW w:type="dxa" w:w="1077"/>
          </w:tcPr>
          <w:p>
            <w:pPr>
              <w:jc w:val="center"/>
            </w:pPr>
            <w:r>
              <w:rPr>
                <w:sz w:val="17"/>
              </w:rPr>
            </w:r>
          </w:p>
        </w:tc>
      </w:tr>
      <w:tr>
        <w:tc>
          <w:tcPr>
            <w:tcW w:type="dxa" w:w="1077"/>
          </w:tcPr>
          <w:p>
            <w:pPr>
              <w:jc w:val="center"/>
            </w:pPr>
            <w:r>
              <w:rPr>
                <w:sz w:val="17"/>
              </w:rPr>
              <w:t>2</w:t>
            </w:r>
          </w:p>
        </w:tc>
        <w:tc>
          <w:tcPr>
            <w:tcW w:type="dxa" w:w="1077"/>
          </w:tcPr>
          <w:p>
            <w:pPr>
              <w:jc w:val="center"/>
            </w:pPr>
            <w:r>
              <w:rPr>
                <w:sz w:val="17"/>
              </w:rPr>
              <w:t>Factorial</w:t>
            </w:r>
          </w:p>
        </w:tc>
        <w:tc>
          <w:tcPr>
            <w:tcW w:type="dxa" w:w="1077"/>
          </w:tcPr>
          <w:p>
            <w:pPr>
              <w:jc w:val="center"/>
            </w:pPr>
            <w:r>
              <w:rPr>
                <w:sz w:val="17"/>
              </w:rPr>
              <w:t>15.5</w:t>
            </w:r>
          </w:p>
        </w:tc>
        <w:tc>
          <w:tcPr>
            <w:tcW w:type="dxa" w:w="1077"/>
          </w:tcPr>
          <w:p>
            <w:pPr>
              <w:jc w:val="center"/>
            </w:pPr>
            <w:r>
              <w:rPr>
                <w:sz w:val="17"/>
              </w:rPr>
              <w:t>67%</w:t>
            </w:r>
          </w:p>
        </w:tc>
        <w:tc>
          <w:tcPr>
            <w:tcW w:type="dxa" w:w="1077"/>
          </w:tcPr>
          <w:p>
            <w:pPr>
              <w:jc w:val="center"/>
            </w:pPr>
            <w:r>
              <w:rPr>
                <w:sz w:val="17"/>
              </w:rPr>
              <w:t>1.0</w:t>
            </w:r>
          </w:p>
        </w:tc>
        <w:tc>
          <w:tcPr>
            <w:tcW w:type="dxa" w:w="1077"/>
          </w:tcPr>
          <w:p>
            <w:pPr>
              <w:jc w:val="center"/>
            </w:pPr>
            <w:r>
              <w:rPr>
                <w:sz w:val="17"/>
              </w:rPr>
            </w:r>
          </w:p>
        </w:tc>
        <w:tc>
          <w:tcPr>
            <w:tcW w:type="dxa" w:w="1077"/>
          </w:tcPr>
          <w:p>
            <w:pPr>
              <w:jc w:val="center"/>
            </w:pPr>
            <w:r>
              <w:rPr>
                <w:sz w:val="17"/>
              </w:rPr>
            </w:r>
          </w:p>
        </w:tc>
        <w:tc>
          <w:tcPr>
            <w:tcW w:type="dxa" w:w="1077"/>
          </w:tcPr>
          <w:p>
            <w:pPr>
              <w:jc w:val="center"/>
            </w:pPr>
            <w:r>
              <w:rPr>
                <w:sz w:val="17"/>
              </w:rPr>
            </w:r>
          </w:p>
        </w:tc>
        <w:tc>
          <w:tcPr>
            <w:tcW w:type="dxa" w:w="1077"/>
          </w:tcPr>
          <w:p>
            <w:pPr>
              <w:jc w:val="center"/>
            </w:pPr>
            <w:r>
              <w:rPr>
                <w:sz w:val="17"/>
              </w:rPr>
            </w:r>
          </w:p>
        </w:tc>
      </w:tr>
      <w:tr>
        <w:tc>
          <w:tcPr>
            <w:tcW w:type="dxa" w:w="1077"/>
          </w:tcPr>
          <w:p>
            <w:pPr>
              <w:jc w:val="center"/>
            </w:pPr>
            <w:r>
              <w:rPr>
                <w:sz w:val="17"/>
              </w:rPr>
              <w:t>3</w:t>
            </w:r>
          </w:p>
        </w:tc>
        <w:tc>
          <w:tcPr>
            <w:tcW w:type="dxa" w:w="1077"/>
          </w:tcPr>
          <w:p>
            <w:pPr>
              <w:jc w:val="center"/>
            </w:pPr>
            <w:r>
              <w:rPr>
                <w:sz w:val="17"/>
              </w:rPr>
              <w:t>Factorial</w:t>
            </w:r>
          </w:p>
        </w:tc>
        <w:tc>
          <w:tcPr>
            <w:tcW w:type="dxa" w:w="1077"/>
          </w:tcPr>
          <w:p>
            <w:pPr>
              <w:jc w:val="center"/>
            </w:pPr>
            <w:r>
              <w:rPr>
                <w:sz w:val="17"/>
              </w:rPr>
              <w:t>12.5</w:t>
            </w:r>
          </w:p>
        </w:tc>
        <w:tc>
          <w:tcPr>
            <w:tcW w:type="dxa" w:w="1077"/>
          </w:tcPr>
          <w:p>
            <w:pPr>
              <w:jc w:val="center"/>
            </w:pPr>
            <w:r>
              <w:rPr>
                <w:sz w:val="17"/>
              </w:rPr>
              <w:t>100%</w:t>
            </w:r>
          </w:p>
        </w:tc>
        <w:tc>
          <w:tcPr>
            <w:tcW w:type="dxa" w:w="1077"/>
          </w:tcPr>
          <w:p>
            <w:pPr>
              <w:jc w:val="center"/>
            </w:pPr>
            <w:r>
              <w:rPr>
                <w:sz w:val="17"/>
              </w:rPr>
              <w:t>1.0</w:t>
            </w:r>
          </w:p>
        </w:tc>
        <w:tc>
          <w:tcPr>
            <w:tcW w:type="dxa" w:w="1077"/>
          </w:tcPr>
          <w:p>
            <w:pPr>
              <w:jc w:val="center"/>
            </w:pPr>
            <w:r>
              <w:rPr>
                <w:sz w:val="17"/>
              </w:rPr>
            </w:r>
          </w:p>
        </w:tc>
        <w:tc>
          <w:tcPr>
            <w:tcW w:type="dxa" w:w="1077"/>
          </w:tcPr>
          <w:p>
            <w:pPr>
              <w:jc w:val="center"/>
            </w:pPr>
            <w:r>
              <w:rPr>
                <w:sz w:val="17"/>
              </w:rPr>
            </w:r>
          </w:p>
        </w:tc>
        <w:tc>
          <w:tcPr>
            <w:tcW w:type="dxa" w:w="1077"/>
          </w:tcPr>
          <w:p>
            <w:pPr>
              <w:jc w:val="center"/>
            </w:pPr>
            <w:r>
              <w:rPr>
                <w:sz w:val="17"/>
              </w:rPr>
            </w:r>
          </w:p>
        </w:tc>
        <w:tc>
          <w:tcPr>
            <w:tcW w:type="dxa" w:w="1077"/>
          </w:tcPr>
          <w:p>
            <w:pPr>
              <w:jc w:val="center"/>
            </w:pPr>
            <w:r>
              <w:rPr>
                <w:sz w:val="17"/>
              </w:rPr>
            </w:r>
          </w:p>
        </w:tc>
      </w:tr>
      <w:tr>
        <w:tc>
          <w:tcPr>
            <w:tcW w:type="dxa" w:w="1077"/>
          </w:tcPr>
          <w:p>
            <w:pPr>
              <w:jc w:val="center"/>
            </w:pPr>
            <w:r>
              <w:rPr>
                <w:sz w:val="17"/>
              </w:rPr>
              <w:t>4</w:t>
            </w:r>
          </w:p>
        </w:tc>
        <w:tc>
          <w:tcPr>
            <w:tcW w:type="dxa" w:w="1077"/>
          </w:tcPr>
          <w:p>
            <w:pPr>
              <w:jc w:val="center"/>
            </w:pPr>
            <w:r>
              <w:rPr>
                <w:sz w:val="17"/>
              </w:rPr>
              <w:t>Factorial</w:t>
            </w:r>
          </w:p>
        </w:tc>
        <w:tc>
          <w:tcPr>
            <w:tcW w:type="dxa" w:w="1077"/>
          </w:tcPr>
          <w:p>
            <w:pPr>
              <w:jc w:val="center"/>
            </w:pPr>
            <w:r>
              <w:rPr>
                <w:sz w:val="17"/>
              </w:rPr>
              <w:t>15.5</w:t>
            </w:r>
          </w:p>
        </w:tc>
        <w:tc>
          <w:tcPr>
            <w:tcW w:type="dxa" w:w="1077"/>
          </w:tcPr>
          <w:p>
            <w:pPr>
              <w:jc w:val="center"/>
            </w:pPr>
            <w:r>
              <w:rPr>
                <w:sz w:val="17"/>
              </w:rPr>
              <w:t>100%</w:t>
            </w:r>
          </w:p>
        </w:tc>
        <w:tc>
          <w:tcPr>
            <w:tcW w:type="dxa" w:w="1077"/>
          </w:tcPr>
          <w:p>
            <w:pPr>
              <w:jc w:val="center"/>
            </w:pPr>
            <w:r>
              <w:rPr>
                <w:sz w:val="17"/>
              </w:rPr>
              <w:t>1.0</w:t>
            </w:r>
          </w:p>
        </w:tc>
        <w:tc>
          <w:tcPr>
            <w:tcW w:type="dxa" w:w="1077"/>
          </w:tcPr>
          <w:p>
            <w:pPr>
              <w:jc w:val="center"/>
            </w:pPr>
            <w:r>
              <w:rPr>
                <w:sz w:val="17"/>
              </w:rPr>
            </w:r>
          </w:p>
        </w:tc>
        <w:tc>
          <w:tcPr>
            <w:tcW w:type="dxa" w:w="1077"/>
          </w:tcPr>
          <w:p>
            <w:pPr>
              <w:jc w:val="center"/>
            </w:pPr>
            <w:r>
              <w:rPr>
                <w:sz w:val="17"/>
              </w:rPr>
            </w:r>
          </w:p>
        </w:tc>
        <w:tc>
          <w:tcPr>
            <w:tcW w:type="dxa" w:w="1077"/>
          </w:tcPr>
          <w:p>
            <w:pPr>
              <w:jc w:val="center"/>
            </w:pPr>
            <w:r>
              <w:rPr>
                <w:sz w:val="17"/>
              </w:rPr>
            </w:r>
          </w:p>
        </w:tc>
        <w:tc>
          <w:tcPr>
            <w:tcW w:type="dxa" w:w="1077"/>
          </w:tcPr>
          <w:p>
            <w:pPr>
              <w:jc w:val="center"/>
            </w:pPr>
            <w:r>
              <w:rPr>
                <w:sz w:val="17"/>
              </w:rPr>
            </w:r>
          </w:p>
        </w:tc>
      </w:tr>
      <w:tr>
        <w:tc>
          <w:tcPr>
            <w:tcW w:type="dxa" w:w="1077"/>
          </w:tcPr>
          <w:p>
            <w:pPr>
              <w:jc w:val="center"/>
            </w:pPr>
            <w:r>
              <w:rPr>
                <w:sz w:val="17"/>
              </w:rPr>
              <w:t>5</w:t>
            </w:r>
          </w:p>
        </w:tc>
        <w:tc>
          <w:tcPr>
            <w:tcW w:type="dxa" w:w="1077"/>
          </w:tcPr>
          <w:p>
            <w:pPr>
              <w:jc w:val="center"/>
            </w:pPr>
            <w:r>
              <w:rPr>
                <w:sz w:val="17"/>
              </w:rPr>
              <w:t>Factorial</w:t>
            </w:r>
          </w:p>
        </w:tc>
        <w:tc>
          <w:tcPr>
            <w:tcW w:type="dxa" w:w="1077"/>
          </w:tcPr>
          <w:p>
            <w:pPr>
              <w:jc w:val="center"/>
            </w:pPr>
            <w:r>
              <w:rPr>
                <w:sz w:val="17"/>
              </w:rPr>
              <w:t>12.5</w:t>
            </w:r>
          </w:p>
        </w:tc>
        <w:tc>
          <w:tcPr>
            <w:tcW w:type="dxa" w:w="1077"/>
          </w:tcPr>
          <w:p>
            <w:pPr>
              <w:jc w:val="center"/>
            </w:pPr>
            <w:r>
              <w:rPr>
                <w:sz w:val="17"/>
              </w:rPr>
              <w:t>67%</w:t>
            </w:r>
          </w:p>
        </w:tc>
        <w:tc>
          <w:tcPr>
            <w:tcW w:type="dxa" w:w="1077"/>
          </w:tcPr>
          <w:p>
            <w:pPr>
              <w:jc w:val="center"/>
            </w:pPr>
            <w:r>
              <w:rPr>
                <w:sz w:val="17"/>
              </w:rPr>
              <w:t>4.0</w:t>
            </w:r>
          </w:p>
        </w:tc>
        <w:tc>
          <w:tcPr>
            <w:tcW w:type="dxa" w:w="1077"/>
          </w:tcPr>
          <w:p>
            <w:pPr>
              <w:jc w:val="center"/>
            </w:pPr>
            <w:r>
              <w:rPr>
                <w:sz w:val="17"/>
              </w:rPr>
            </w:r>
          </w:p>
        </w:tc>
        <w:tc>
          <w:tcPr>
            <w:tcW w:type="dxa" w:w="1077"/>
          </w:tcPr>
          <w:p>
            <w:pPr>
              <w:jc w:val="center"/>
            </w:pPr>
            <w:r>
              <w:rPr>
                <w:sz w:val="17"/>
              </w:rPr>
            </w:r>
          </w:p>
        </w:tc>
        <w:tc>
          <w:tcPr>
            <w:tcW w:type="dxa" w:w="1077"/>
          </w:tcPr>
          <w:p>
            <w:pPr>
              <w:jc w:val="center"/>
            </w:pPr>
            <w:r>
              <w:rPr>
                <w:sz w:val="17"/>
              </w:rPr>
            </w:r>
          </w:p>
        </w:tc>
        <w:tc>
          <w:tcPr>
            <w:tcW w:type="dxa" w:w="1077"/>
          </w:tcPr>
          <w:p>
            <w:pPr>
              <w:jc w:val="center"/>
            </w:pPr>
            <w:r>
              <w:rPr>
                <w:sz w:val="17"/>
              </w:rPr>
            </w:r>
          </w:p>
        </w:tc>
      </w:tr>
      <w:tr>
        <w:tc>
          <w:tcPr>
            <w:tcW w:type="dxa" w:w="1077"/>
          </w:tcPr>
          <w:p>
            <w:pPr>
              <w:jc w:val="center"/>
            </w:pPr>
            <w:r>
              <w:rPr>
                <w:sz w:val="17"/>
              </w:rPr>
              <w:t>6</w:t>
            </w:r>
          </w:p>
        </w:tc>
        <w:tc>
          <w:tcPr>
            <w:tcW w:type="dxa" w:w="1077"/>
          </w:tcPr>
          <w:p>
            <w:pPr>
              <w:jc w:val="center"/>
            </w:pPr>
            <w:r>
              <w:rPr>
                <w:sz w:val="17"/>
              </w:rPr>
              <w:t>Factorial</w:t>
            </w:r>
          </w:p>
        </w:tc>
        <w:tc>
          <w:tcPr>
            <w:tcW w:type="dxa" w:w="1077"/>
          </w:tcPr>
          <w:p>
            <w:pPr>
              <w:jc w:val="center"/>
            </w:pPr>
            <w:r>
              <w:rPr>
                <w:sz w:val="17"/>
              </w:rPr>
              <w:t>15.5</w:t>
            </w:r>
          </w:p>
        </w:tc>
        <w:tc>
          <w:tcPr>
            <w:tcW w:type="dxa" w:w="1077"/>
          </w:tcPr>
          <w:p>
            <w:pPr>
              <w:jc w:val="center"/>
            </w:pPr>
            <w:r>
              <w:rPr>
                <w:sz w:val="17"/>
              </w:rPr>
              <w:t>67%</w:t>
            </w:r>
          </w:p>
        </w:tc>
        <w:tc>
          <w:tcPr>
            <w:tcW w:type="dxa" w:w="1077"/>
          </w:tcPr>
          <w:p>
            <w:pPr>
              <w:jc w:val="center"/>
            </w:pPr>
            <w:r>
              <w:rPr>
                <w:sz w:val="17"/>
              </w:rPr>
              <w:t>4.0</w:t>
            </w:r>
          </w:p>
        </w:tc>
        <w:tc>
          <w:tcPr>
            <w:tcW w:type="dxa" w:w="1077"/>
          </w:tcPr>
          <w:p>
            <w:pPr>
              <w:jc w:val="center"/>
            </w:pPr>
            <w:r>
              <w:rPr>
                <w:sz w:val="17"/>
              </w:rPr>
            </w:r>
          </w:p>
        </w:tc>
        <w:tc>
          <w:tcPr>
            <w:tcW w:type="dxa" w:w="1077"/>
          </w:tcPr>
          <w:p>
            <w:pPr>
              <w:jc w:val="center"/>
            </w:pPr>
            <w:r>
              <w:rPr>
                <w:sz w:val="17"/>
              </w:rPr>
            </w:r>
          </w:p>
        </w:tc>
        <w:tc>
          <w:tcPr>
            <w:tcW w:type="dxa" w:w="1077"/>
          </w:tcPr>
          <w:p>
            <w:pPr>
              <w:jc w:val="center"/>
            </w:pPr>
            <w:r>
              <w:rPr>
                <w:sz w:val="17"/>
              </w:rPr>
            </w:r>
          </w:p>
        </w:tc>
        <w:tc>
          <w:tcPr>
            <w:tcW w:type="dxa" w:w="1077"/>
          </w:tcPr>
          <w:p>
            <w:pPr>
              <w:jc w:val="center"/>
            </w:pPr>
            <w:r>
              <w:rPr>
                <w:sz w:val="17"/>
              </w:rPr>
            </w:r>
          </w:p>
        </w:tc>
      </w:tr>
      <w:tr>
        <w:tc>
          <w:tcPr>
            <w:tcW w:type="dxa" w:w="1077"/>
          </w:tcPr>
          <w:p>
            <w:pPr>
              <w:jc w:val="center"/>
            </w:pPr>
            <w:r>
              <w:rPr>
                <w:sz w:val="17"/>
              </w:rPr>
              <w:t>7</w:t>
            </w:r>
          </w:p>
        </w:tc>
        <w:tc>
          <w:tcPr>
            <w:tcW w:type="dxa" w:w="1077"/>
          </w:tcPr>
          <w:p>
            <w:pPr>
              <w:jc w:val="center"/>
            </w:pPr>
            <w:r>
              <w:rPr>
                <w:sz w:val="17"/>
              </w:rPr>
              <w:t>Factorial</w:t>
            </w:r>
          </w:p>
        </w:tc>
        <w:tc>
          <w:tcPr>
            <w:tcW w:type="dxa" w:w="1077"/>
          </w:tcPr>
          <w:p>
            <w:pPr>
              <w:jc w:val="center"/>
            </w:pPr>
            <w:r>
              <w:rPr>
                <w:sz w:val="17"/>
              </w:rPr>
              <w:t>12.5</w:t>
            </w:r>
          </w:p>
        </w:tc>
        <w:tc>
          <w:tcPr>
            <w:tcW w:type="dxa" w:w="1077"/>
          </w:tcPr>
          <w:p>
            <w:pPr>
              <w:jc w:val="center"/>
            </w:pPr>
            <w:r>
              <w:rPr>
                <w:sz w:val="17"/>
              </w:rPr>
              <w:t>100%</w:t>
            </w:r>
          </w:p>
        </w:tc>
        <w:tc>
          <w:tcPr>
            <w:tcW w:type="dxa" w:w="1077"/>
          </w:tcPr>
          <w:p>
            <w:pPr>
              <w:jc w:val="center"/>
            </w:pPr>
            <w:r>
              <w:rPr>
                <w:sz w:val="17"/>
              </w:rPr>
              <w:t>4.0</w:t>
            </w:r>
          </w:p>
        </w:tc>
        <w:tc>
          <w:tcPr>
            <w:tcW w:type="dxa" w:w="1077"/>
          </w:tcPr>
          <w:p>
            <w:pPr>
              <w:jc w:val="center"/>
            </w:pPr>
            <w:r>
              <w:rPr>
                <w:sz w:val="17"/>
              </w:rPr>
            </w:r>
          </w:p>
        </w:tc>
        <w:tc>
          <w:tcPr>
            <w:tcW w:type="dxa" w:w="1077"/>
          </w:tcPr>
          <w:p>
            <w:pPr>
              <w:jc w:val="center"/>
            </w:pPr>
            <w:r>
              <w:rPr>
                <w:sz w:val="17"/>
              </w:rPr>
            </w:r>
          </w:p>
        </w:tc>
        <w:tc>
          <w:tcPr>
            <w:tcW w:type="dxa" w:w="1077"/>
          </w:tcPr>
          <w:p>
            <w:pPr>
              <w:jc w:val="center"/>
            </w:pPr>
            <w:r>
              <w:rPr>
                <w:sz w:val="17"/>
              </w:rPr>
            </w:r>
          </w:p>
        </w:tc>
        <w:tc>
          <w:tcPr>
            <w:tcW w:type="dxa" w:w="1077"/>
          </w:tcPr>
          <w:p>
            <w:pPr>
              <w:jc w:val="center"/>
            </w:pPr>
            <w:r>
              <w:rPr>
                <w:sz w:val="17"/>
              </w:rPr>
            </w:r>
          </w:p>
        </w:tc>
      </w:tr>
      <w:tr>
        <w:tc>
          <w:tcPr>
            <w:tcW w:type="dxa" w:w="1077"/>
          </w:tcPr>
          <w:p>
            <w:pPr>
              <w:jc w:val="center"/>
            </w:pPr>
            <w:r>
              <w:rPr>
                <w:sz w:val="17"/>
              </w:rPr>
              <w:t>8</w:t>
            </w:r>
          </w:p>
        </w:tc>
        <w:tc>
          <w:tcPr>
            <w:tcW w:type="dxa" w:w="1077"/>
          </w:tcPr>
          <w:p>
            <w:pPr>
              <w:jc w:val="center"/>
            </w:pPr>
            <w:r>
              <w:rPr>
                <w:sz w:val="17"/>
              </w:rPr>
              <w:t>Factorial</w:t>
            </w:r>
          </w:p>
        </w:tc>
        <w:tc>
          <w:tcPr>
            <w:tcW w:type="dxa" w:w="1077"/>
          </w:tcPr>
          <w:p>
            <w:pPr>
              <w:jc w:val="center"/>
            </w:pPr>
            <w:r>
              <w:rPr>
                <w:sz w:val="17"/>
              </w:rPr>
              <w:t>15.5</w:t>
            </w:r>
          </w:p>
        </w:tc>
        <w:tc>
          <w:tcPr>
            <w:tcW w:type="dxa" w:w="1077"/>
          </w:tcPr>
          <w:p>
            <w:pPr>
              <w:jc w:val="center"/>
            </w:pPr>
            <w:r>
              <w:rPr>
                <w:sz w:val="17"/>
              </w:rPr>
              <w:t>100%</w:t>
            </w:r>
          </w:p>
        </w:tc>
        <w:tc>
          <w:tcPr>
            <w:tcW w:type="dxa" w:w="1077"/>
          </w:tcPr>
          <w:p>
            <w:pPr>
              <w:jc w:val="center"/>
            </w:pPr>
            <w:r>
              <w:rPr>
                <w:sz w:val="17"/>
              </w:rPr>
              <w:t>4.0</w:t>
            </w:r>
          </w:p>
        </w:tc>
        <w:tc>
          <w:tcPr>
            <w:tcW w:type="dxa" w:w="1077"/>
          </w:tcPr>
          <w:p>
            <w:pPr>
              <w:jc w:val="center"/>
            </w:pPr>
            <w:r>
              <w:rPr>
                <w:sz w:val="17"/>
              </w:rPr>
            </w:r>
          </w:p>
        </w:tc>
        <w:tc>
          <w:tcPr>
            <w:tcW w:type="dxa" w:w="1077"/>
          </w:tcPr>
          <w:p>
            <w:pPr>
              <w:jc w:val="center"/>
            </w:pPr>
            <w:r>
              <w:rPr>
                <w:sz w:val="17"/>
              </w:rPr>
            </w:r>
          </w:p>
        </w:tc>
        <w:tc>
          <w:tcPr>
            <w:tcW w:type="dxa" w:w="1077"/>
          </w:tcPr>
          <w:p>
            <w:pPr>
              <w:jc w:val="center"/>
            </w:pPr>
            <w:r>
              <w:rPr>
                <w:sz w:val="17"/>
              </w:rPr>
            </w:r>
          </w:p>
        </w:tc>
        <w:tc>
          <w:tcPr>
            <w:tcW w:type="dxa" w:w="1077"/>
          </w:tcPr>
          <w:p>
            <w:pPr>
              <w:jc w:val="center"/>
            </w:pPr>
            <w:r>
              <w:rPr>
                <w:sz w:val="17"/>
              </w:rPr>
            </w:r>
          </w:p>
        </w:tc>
      </w:tr>
      <w:tr>
        <w:tc>
          <w:tcPr>
            <w:tcW w:type="dxa" w:w="1077"/>
            <w:shd w:val="clear" w:color="auto" w:fill="FFF3CD"/>
          </w:tcPr>
          <w:p>
            <w:pPr>
              <w:jc w:val="center"/>
            </w:pPr>
            <w:r>
              <w:rPr>
                <w:sz w:val="17"/>
              </w:rPr>
              <w:t>9</w:t>
            </w:r>
          </w:p>
        </w:tc>
        <w:tc>
          <w:tcPr>
            <w:tcW w:type="dxa" w:w="1077"/>
            <w:shd w:val="clear" w:color="auto" w:fill="FFF3CD"/>
          </w:tcPr>
          <w:p>
            <w:pPr>
              <w:jc w:val="center"/>
            </w:pPr>
            <w:r>
              <w:rPr>
                <w:sz w:val="17"/>
              </w:rPr>
              <w:t>Axial</w:t>
            </w:r>
          </w:p>
        </w:tc>
        <w:tc>
          <w:tcPr>
            <w:tcW w:type="dxa" w:w="1077"/>
            <w:shd w:val="clear" w:color="auto" w:fill="FFF3CD"/>
          </w:tcPr>
          <w:p>
            <w:pPr>
              <w:jc w:val="center"/>
            </w:pPr>
            <w:r>
              <w:rPr>
                <w:sz w:val="17"/>
              </w:rPr>
              <w:t>11.5</w:t>
            </w:r>
          </w:p>
        </w:tc>
        <w:tc>
          <w:tcPr>
            <w:tcW w:type="dxa" w:w="1077"/>
            <w:shd w:val="clear" w:color="auto" w:fill="FFF3CD"/>
          </w:tcPr>
          <w:p>
            <w:pPr>
              <w:jc w:val="center"/>
            </w:pPr>
            <w:r>
              <w:rPr>
                <w:sz w:val="17"/>
              </w:rPr>
              <w:t>83%</w:t>
            </w:r>
          </w:p>
        </w:tc>
        <w:tc>
          <w:tcPr>
            <w:tcW w:type="dxa" w:w="1077"/>
            <w:shd w:val="clear" w:color="auto" w:fill="FFF3CD"/>
          </w:tcPr>
          <w:p>
            <w:pPr>
              <w:jc w:val="center"/>
            </w:pPr>
            <w:r>
              <w:rPr>
                <w:sz w:val="17"/>
              </w:rPr>
              <w:t>2.5</w:t>
            </w:r>
          </w:p>
        </w:tc>
        <w:tc>
          <w:tcPr>
            <w:tcW w:type="dxa" w:w="1077"/>
            <w:shd w:val="clear" w:color="auto" w:fill="FFF3CD"/>
          </w:tcPr>
          <w:p>
            <w:pPr>
              <w:jc w:val="center"/>
            </w:pPr>
            <w:r>
              <w:rPr>
                <w:sz w:val="17"/>
              </w:rPr>
            </w:r>
          </w:p>
        </w:tc>
        <w:tc>
          <w:tcPr>
            <w:tcW w:type="dxa" w:w="1077"/>
            <w:shd w:val="clear" w:color="auto" w:fill="FFF3CD"/>
          </w:tcPr>
          <w:p>
            <w:pPr>
              <w:jc w:val="center"/>
            </w:pPr>
            <w:r>
              <w:rPr>
                <w:sz w:val="17"/>
              </w:rPr>
            </w:r>
          </w:p>
        </w:tc>
        <w:tc>
          <w:tcPr>
            <w:tcW w:type="dxa" w:w="1077"/>
            <w:shd w:val="clear" w:color="auto" w:fill="FFF3CD"/>
          </w:tcPr>
          <w:p>
            <w:pPr>
              <w:jc w:val="center"/>
            </w:pPr>
            <w:r>
              <w:rPr>
                <w:sz w:val="17"/>
              </w:rPr>
            </w:r>
          </w:p>
        </w:tc>
        <w:tc>
          <w:tcPr>
            <w:tcW w:type="dxa" w:w="1077"/>
            <w:shd w:val="clear" w:color="auto" w:fill="FFF3CD"/>
          </w:tcPr>
          <w:p>
            <w:pPr>
              <w:jc w:val="center"/>
            </w:pPr>
            <w:r>
              <w:rPr>
                <w:sz w:val="17"/>
              </w:rPr>
            </w:r>
          </w:p>
        </w:tc>
      </w:tr>
      <w:tr>
        <w:tc>
          <w:tcPr>
            <w:tcW w:type="dxa" w:w="1077"/>
            <w:shd w:val="clear" w:color="auto" w:fill="FFF3CD"/>
          </w:tcPr>
          <w:p>
            <w:pPr>
              <w:jc w:val="center"/>
            </w:pPr>
            <w:r>
              <w:rPr>
                <w:sz w:val="17"/>
              </w:rPr>
              <w:t>10</w:t>
            </w:r>
          </w:p>
        </w:tc>
        <w:tc>
          <w:tcPr>
            <w:tcW w:type="dxa" w:w="1077"/>
            <w:shd w:val="clear" w:color="auto" w:fill="FFF3CD"/>
          </w:tcPr>
          <w:p>
            <w:pPr>
              <w:jc w:val="center"/>
            </w:pPr>
            <w:r>
              <w:rPr>
                <w:sz w:val="17"/>
              </w:rPr>
              <w:t>Axial</w:t>
            </w:r>
          </w:p>
        </w:tc>
        <w:tc>
          <w:tcPr>
            <w:tcW w:type="dxa" w:w="1077"/>
            <w:shd w:val="clear" w:color="auto" w:fill="FFF3CD"/>
          </w:tcPr>
          <w:p>
            <w:pPr>
              <w:jc w:val="center"/>
            </w:pPr>
            <w:r>
              <w:rPr>
                <w:sz w:val="17"/>
              </w:rPr>
              <w:t>16.5</w:t>
            </w:r>
          </w:p>
        </w:tc>
        <w:tc>
          <w:tcPr>
            <w:tcW w:type="dxa" w:w="1077"/>
            <w:shd w:val="clear" w:color="auto" w:fill="FFF3CD"/>
          </w:tcPr>
          <w:p>
            <w:pPr>
              <w:jc w:val="center"/>
            </w:pPr>
            <w:r>
              <w:rPr>
                <w:sz w:val="17"/>
              </w:rPr>
              <w:t>83%</w:t>
            </w:r>
          </w:p>
        </w:tc>
        <w:tc>
          <w:tcPr>
            <w:tcW w:type="dxa" w:w="1077"/>
            <w:shd w:val="clear" w:color="auto" w:fill="FFF3CD"/>
          </w:tcPr>
          <w:p>
            <w:pPr>
              <w:jc w:val="center"/>
            </w:pPr>
            <w:r>
              <w:rPr>
                <w:sz w:val="17"/>
              </w:rPr>
              <w:t>2.5</w:t>
            </w:r>
          </w:p>
        </w:tc>
        <w:tc>
          <w:tcPr>
            <w:tcW w:type="dxa" w:w="1077"/>
            <w:shd w:val="clear" w:color="auto" w:fill="FFF3CD"/>
          </w:tcPr>
          <w:p>
            <w:pPr>
              <w:jc w:val="center"/>
            </w:pPr>
            <w:r>
              <w:rPr>
                <w:sz w:val="17"/>
              </w:rPr>
            </w:r>
          </w:p>
        </w:tc>
        <w:tc>
          <w:tcPr>
            <w:tcW w:type="dxa" w:w="1077"/>
            <w:shd w:val="clear" w:color="auto" w:fill="FFF3CD"/>
          </w:tcPr>
          <w:p>
            <w:pPr>
              <w:jc w:val="center"/>
            </w:pPr>
            <w:r>
              <w:rPr>
                <w:sz w:val="17"/>
              </w:rPr>
            </w:r>
          </w:p>
        </w:tc>
        <w:tc>
          <w:tcPr>
            <w:tcW w:type="dxa" w:w="1077"/>
            <w:shd w:val="clear" w:color="auto" w:fill="FFF3CD"/>
          </w:tcPr>
          <w:p>
            <w:pPr>
              <w:jc w:val="center"/>
            </w:pPr>
            <w:r>
              <w:rPr>
                <w:sz w:val="17"/>
              </w:rPr>
            </w:r>
          </w:p>
        </w:tc>
        <w:tc>
          <w:tcPr>
            <w:tcW w:type="dxa" w:w="1077"/>
            <w:shd w:val="clear" w:color="auto" w:fill="FFF3CD"/>
          </w:tcPr>
          <w:p>
            <w:pPr>
              <w:jc w:val="center"/>
            </w:pPr>
            <w:r>
              <w:rPr>
                <w:sz w:val="17"/>
              </w:rPr>
            </w:r>
          </w:p>
        </w:tc>
      </w:tr>
      <w:tr>
        <w:tc>
          <w:tcPr>
            <w:tcW w:type="dxa" w:w="1077"/>
            <w:shd w:val="clear" w:color="auto" w:fill="FFF3CD"/>
          </w:tcPr>
          <w:p>
            <w:pPr>
              <w:jc w:val="center"/>
            </w:pPr>
            <w:r>
              <w:rPr>
                <w:sz w:val="17"/>
              </w:rPr>
              <w:t>11</w:t>
            </w:r>
          </w:p>
        </w:tc>
        <w:tc>
          <w:tcPr>
            <w:tcW w:type="dxa" w:w="1077"/>
            <w:shd w:val="clear" w:color="auto" w:fill="FFF3CD"/>
          </w:tcPr>
          <w:p>
            <w:pPr>
              <w:jc w:val="center"/>
            </w:pPr>
            <w:r>
              <w:rPr>
                <w:sz w:val="17"/>
              </w:rPr>
              <w:t>Axial</w:t>
            </w:r>
          </w:p>
        </w:tc>
        <w:tc>
          <w:tcPr>
            <w:tcW w:type="dxa" w:w="1077"/>
            <w:shd w:val="clear" w:color="auto" w:fill="FFF3CD"/>
          </w:tcPr>
          <w:p>
            <w:pPr>
              <w:jc w:val="center"/>
            </w:pPr>
            <w:r>
              <w:rPr>
                <w:sz w:val="17"/>
              </w:rPr>
              <w:t>14.0</w:t>
            </w:r>
          </w:p>
        </w:tc>
        <w:tc>
          <w:tcPr>
            <w:tcW w:type="dxa" w:w="1077"/>
            <w:shd w:val="clear" w:color="auto" w:fill="FFF3CD"/>
          </w:tcPr>
          <w:p>
            <w:pPr>
              <w:jc w:val="center"/>
            </w:pPr>
            <w:r>
              <w:rPr>
                <w:sz w:val="17"/>
              </w:rPr>
              <w:t>50%</w:t>
            </w:r>
          </w:p>
        </w:tc>
        <w:tc>
          <w:tcPr>
            <w:tcW w:type="dxa" w:w="1077"/>
            <w:shd w:val="clear" w:color="auto" w:fill="FFF3CD"/>
          </w:tcPr>
          <w:p>
            <w:pPr>
              <w:jc w:val="center"/>
            </w:pPr>
            <w:r>
              <w:rPr>
                <w:sz w:val="17"/>
              </w:rPr>
              <w:t>2.5</w:t>
            </w:r>
          </w:p>
        </w:tc>
        <w:tc>
          <w:tcPr>
            <w:tcW w:type="dxa" w:w="1077"/>
            <w:shd w:val="clear" w:color="auto" w:fill="FFF3CD"/>
          </w:tcPr>
          <w:p>
            <w:pPr>
              <w:jc w:val="center"/>
            </w:pPr>
            <w:r>
              <w:rPr>
                <w:sz w:val="17"/>
              </w:rPr>
            </w:r>
          </w:p>
        </w:tc>
        <w:tc>
          <w:tcPr>
            <w:tcW w:type="dxa" w:w="1077"/>
            <w:shd w:val="clear" w:color="auto" w:fill="FFF3CD"/>
          </w:tcPr>
          <w:p>
            <w:pPr>
              <w:jc w:val="center"/>
            </w:pPr>
            <w:r>
              <w:rPr>
                <w:sz w:val="17"/>
              </w:rPr>
            </w:r>
          </w:p>
        </w:tc>
        <w:tc>
          <w:tcPr>
            <w:tcW w:type="dxa" w:w="1077"/>
            <w:shd w:val="clear" w:color="auto" w:fill="FFF3CD"/>
          </w:tcPr>
          <w:p>
            <w:pPr>
              <w:jc w:val="center"/>
            </w:pPr>
            <w:r>
              <w:rPr>
                <w:sz w:val="17"/>
              </w:rPr>
            </w:r>
          </w:p>
        </w:tc>
        <w:tc>
          <w:tcPr>
            <w:tcW w:type="dxa" w:w="1077"/>
            <w:shd w:val="clear" w:color="auto" w:fill="FFF3CD"/>
          </w:tcPr>
          <w:p>
            <w:pPr>
              <w:jc w:val="center"/>
            </w:pPr>
            <w:r>
              <w:rPr>
                <w:sz w:val="17"/>
              </w:rPr>
            </w:r>
          </w:p>
        </w:tc>
      </w:tr>
      <w:tr>
        <w:tc>
          <w:tcPr>
            <w:tcW w:type="dxa" w:w="1077"/>
            <w:shd w:val="clear" w:color="auto" w:fill="FFF3CD"/>
          </w:tcPr>
          <w:p>
            <w:pPr>
              <w:jc w:val="center"/>
            </w:pPr>
            <w:r>
              <w:rPr>
                <w:sz w:val="17"/>
              </w:rPr>
              <w:t>12</w:t>
            </w:r>
          </w:p>
        </w:tc>
        <w:tc>
          <w:tcPr>
            <w:tcW w:type="dxa" w:w="1077"/>
            <w:shd w:val="clear" w:color="auto" w:fill="FFF3CD"/>
          </w:tcPr>
          <w:p>
            <w:pPr>
              <w:jc w:val="center"/>
            </w:pPr>
            <w:r>
              <w:rPr>
                <w:sz w:val="17"/>
              </w:rPr>
              <w:t>Axial</w:t>
            </w:r>
          </w:p>
        </w:tc>
        <w:tc>
          <w:tcPr>
            <w:tcW w:type="dxa" w:w="1077"/>
            <w:shd w:val="clear" w:color="auto" w:fill="FFF3CD"/>
          </w:tcPr>
          <w:p>
            <w:pPr>
              <w:jc w:val="center"/>
            </w:pPr>
            <w:r>
              <w:rPr>
                <w:sz w:val="17"/>
              </w:rPr>
              <w:t>14.0</w:t>
            </w:r>
          </w:p>
        </w:tc>
        <w:tc>
          <w:tcPr>
            <w:tcW w:type="dxa" w:w="1077"/>
            <w:shd w:val="clear" w:color="auto" w:fill="FFF3CD"/>
          </w:tcPr>
          <w:p>
            <w:pPr>
              <w:jc w:val="center"/>
            </w:pPr>
            <w:r>
              <w:rPr>
                <w:sz w:val="17"/>
              </w:rPr>
              <w:t>100%</w:t>
            </w:r>
          </w:p>
        </w:tc>
        <w:tc>
          <w:tcPr>
            <w:tcW w:type="dxa" w:w="1077"/>
            <w:shd w:val="clear" w:color="auto" w:fill="FFF3CD"/>
          </w:tcPr>
          <w:p>
            <w:pPr>
              <w:jc w:val="center"/>
            </w:pPr>
            <w:r>
              <w:rPr>
                <w:sz w:val="17"/>
              </w:rPr>
              <w:t>2.5</w:t>
            </w:r>
          </w:p>
        </w:tc>
        <w:tc>
          <w:tcPr>
            <w:tcW w:type="dxa" w:w="1077"/>
            <w:shd w:val="clear" w:color="auto" w:fill="FFF3CD"/>
          </w:tcPr>
          <w:p>
            <w:pPr>
              <w:jc w:val="center"/>
            </w:pPr>
            <w:r>
              <w:rPr>
                <w:sz w:val="17"/>
              </w:rPr>
            </w:r>
          </w:p>
        </w:tc>
        <w:tc>
          <w:tcPr>
            <w:tcW w:type="dxa" w:w="1077"/>
            <w:shd w:val="clear" w:color="auto" w:fill="FFF3CD"/>
          </w:tcPr>
          <w:p>
            <w:pPr>
              <w:jc w:val="center"/>
            </w:pPr>
            <w:r>
              <w:rPr>
                <w:sz w:val="17"/>
              </w:rPr>
            </w:r>
          </w:p>
        </w:tc>
        <w:tc>
          <w:tcPr>
            <w:tcW w:type="dxa" w:w="1077"/>
            <w:shd w:val="clear" w:color="auto" w:fill="FFF3CD"/>
          </w:tcPr>
          <w:p>
            <w:pPr>
              <w:jc w:val="center"/>
            </w:pPr>
            <w:r>
              <w:rPr>
                <w:sz w:val="17"/>
              </w:rPr>
            </w:r>
          </w:p>
        </w:tc>
        <w:tc>
          <w:tcPr>
            <w:tcW w:type="dxa" w:w="1077"/>
            <w:shd w:val="clear" w:color="auto" w:fill="FFF3CD"/>
          </w:tcPr>
          <w:p>
            <w:pPr>
              <w:jc w:val="center"/>
            </w:pPr>
            <w:r>
              <w:rPr>
                <w:sz w:val="17"/>
              </w:rPr>
            </w:r>
          </w:p>
        </w:tc>
      </w:tr>
      <w:tr>
        <w:tc>
          <w:tcPr>
            <w:tcW w:type="dxa" w:w="1077"/>
            <w:shd w:val="clear" w:color="auto" w:fill="FFF3CD"/>
          </w:tcPr>
          <w:p>
            <w:pPr>
              <w:jc w:val="center"/>
            </w:pPr>
            <w:r>
              <w:rPr>
                <w:sz w:val="17"/>
              </w:rPr>
              <w:t>13</w:t>
            </w:r>
          </w:p>
        </w:tc>
        <w:tc>
          <w:tcPr>
            <w:tcW w:type="dxa" w:w="1077"/>
            <w:shd w:val="clear" w:color="auto" w:fill="FFF3CD"/>
          </w:tcPr>
          <w:p>
            <w:pPr>
              <w:jc w:val="center"/>
            </w:pPr>
            <w:r>
              <w:rPr>
                <w:sz w:val="17"/>
              </w:rPr>
              <w:t>Axial</w:t>
            </w:r>
          </w:p>
        </w:tc>
        <w:tc>
          <w:tcPr>
            <w:tcW w:type="dxa" w:w="1077"/>
            <w:shd w:val="clear" w:color="auto" w:fill="FFF3CD"/>
          </w:tcPr>
          <w:p>
            <w:pPr>
              <w:jc w:val="center"/>
            </w:pPr>
            <w:r>
              <w:rPr>
                <w:sz w:val="17"/>
              </w:rPr>
              <w:t>14.0</w:t>
            </w:r>
          </w:p>
        </w:tc>
        <w:tc>
          <w:tcPr>
            <w:tcW w:type="dxa" w:w="1077"/>
            <w:shd w:val="clear" w:color="auto" w:fill="FFF3CD"/>
          </w:tcPr>
          <w:p>
            <w:pPr>
              <w:jc w:val="center"/>
            </w:pPr>
            <w:r>
              <w:rPr>
                <w:sz w:val="17"/>
              </w:rPr>
              <w:t>83%</w:t>
            </w:r>
          </w:p>
        </w:tc>
        <w:tc>
          <w:tcPr>
            <w:tcW w:type="dxa" w:w="1077"/>
            <w:shd w:val="clear" w:color="auto" w:fill="FFF3CD"/>
          </w:tcPr>
          <w:p>
            <w:pPr>
              <w:jc w:val="center"/>
            </w:pPr>
            <w:r>
              <w:rPr>
                <w:sz w:val="17"/>
              </w:rPr>
              <w:t>0.0</w:t>
            </w:r>
          </w:p>
        </w:tc>
        <w:tc>
          <w:tcPr>
            <w:tcW w:type="dxa" w:w="1077"/>
            <w:shd w:val="clear" w:color="auto" w:fill="FFF3CD"/>
          </w:tcPr>
          <w:p>
            <w:pPr>
              <w:jc w:val="center"/>
            </w:pPr>
            <w:r>
              <w:rPr>
                <w:sz w:val="17"/>
              </w:rPr>
            </w:r>
          </w:p>
        </w:tc>
        <w:tc>
          <w:tcPr>
            <w:tcW w:type="dxa" w:w="1077"/>
            <w:shd w:val="clear" w:color="auto" w:fill="FFF3CD"/>
          </w:tcPr>
          <w:p>
            <w:pPr>
              <w:jc w:val="center"/>
            </w:pPr>
            <w:r>
              <w:rPr>
                <w:sz w:val="17"/>
              </w:rPr>
            </w:r>
          </w:p>
        </w:tc>
        <w:tc>
          <w:tcPr>
            <w:tcW w:type="dxa" w:w="1077"/>
            <w:shd w:val="clear" w:color="auto" w:fill="FFF3CD"/>
          </w:tcPr>
          <w:p>
            <w:pPr>
              <w:jc w:val="center"/>
            </w:pPr>
            <w:r>
              <w:rPr>
                <w:sz w:val="17"/>
              </w:rPr>
            </w:r>
          </w:p>
        </w:tc>
        <w:tc>
          <w:tcPr>
            <w:tcW w:type="dxa" w:w="1077"/>
            <w:shd w:val="clear" w:color="auto" w:fill="FFF3CD"/>
          </w:tcPr>
          <w:p>
            <w:pPr>
              <w:jc w:val="center"/>
            </w:pPr>
            <w:r>
              <w:rPr>
                <w:sz w:val="17"/>
              </w:rPr>
            </w:r>
          </w:p>
        </w:tc>
      </w:tr>
      <w:tr>
        <w:tc>
          <w:tcPr>
            <w:tcW w:type="dxa" w:w="1077"/>
            <w:shd w:val="clear" w:color="auto" w:fill="FFF3CD"/>
          </w:tcPr>
          <w:p>
            <w:pPr>
              <w:jc w:val="center"/>
            </w:pPr>
            <w:r>
              <w:rPr>
                <w:sz w:val="17"/>
              </w:rPr>
              <w:t>14</w:t>
            </w:r>
          </w:p>
        </w:tc>
        <w:tc>
          <w:tcPr>
            <w:tcW w:type="dxa" w:w="1077"/>
            <w:shd w:val="clear" w:color="auto" w:fill="FFF3CD"/>
          </w:tcPr>
          <w:p>
            <w:pPr>
              <w:jc w:val="center"/>
            </w:pPr>
            <w:r>
              <w:rPr>
                <w:sz w:val="17"/>
              </w:rPr>
              <w:t>Axial</w:t>
            </w:r>
          </w:p>
        </w:tc>
        <w:tc>
          <w:tcPr>
            <w:tcW w:type="dxa" w:w="1077"/>
            <w:shd w:val="clear" w:color="auto" w:fill="FFF3CD"/>
          </w:tcPr>
          <w:p>
            <w:pPr>
              <w:jc w:val="center"/>
            </w:pPr>
            <w:r>
              <w:rPr>
                <w:sz w:val="17"/>
              </w:rPr>
              <w:t>14.0</w:t>
            </w:r>
          </w:p>
        </w:tc>
        <w:tc>
          <w:tcPr>
            <w:tcW w:type="dxa" w:w="1077"/>
            <w:shd w:val="clear" w:color="auto" w:fill="FFF3CD"/>
          </w:tcPr>
          <w:p>
            <w:pPr>
              <w:jc w:val="center"/>
            </w:pPr>
            <w:r>
              <w:rPr>
                <w:sz w:val="17"/>
              </w:rPr>
              <w:t>83%</w:t>
            </w:r>
          </w:p>
        </w:tc>
        <w:tc>
          <w:tcPr>
            <w:tcW w:type="dxa" w:w="1077"/>
            <w:shd w:val="clear" w:color="auto" w:fill="FFF3CD"/>
          </w:tcPr>
          <w:p>
            <w:pPr>
              <w:jc w:val="center"/>
            </w:pPr>
            <w:r>
              <w:rPr>
                <w:sz w:val="17"/>
              </w:rPr>
              <w:t>5.0</w:t>
            </w:r>
          </w:p>
        </w:tc>
        <w:tc>
          <w:tcPr>
            <w:tcW w:type="dxa" w:w="1077"/>
            <w:shd w:val="clear" w:color="auto" w:fill="FFF3CD"/>
          </w:tcPr>
          <w:p>
            <w:pPr>
              <w:jc w:val="center"/>
            </w:pPr>
            <w:r>
              <w:rPr>
                <w:sz w:val="17"/>
              </w:rPr>
            </w:r>
          </w:p>
        </w:tc>
        <w:tc>
          <w:tcPr>
            <w:tcW w:type="dxa" w:w="1077"/>
            <w:shd w:val="clear" w:color="auto" w:fill="FFF3CD"/>
          </w:tcPr>
          <w:p>
            <w:pPr>
              <w:jc w:val="center"/>
            </w:pPr>
            <w:r>
              <w:rPr>
                <w:sz w:val="17"/>
              </w:rPr>
            </w:r>
          </w:p>
        </w:tc>
        <w:tc>
          <w:tcPr>
            <w:tcW w:type="dxa" w:w="1077"/>
            <w:shd w:val="clear" w:color="auto" w:fill="FFF3CD"/>
          </w:tcPr>
          <w:p>
            <w:pPr>
              <w:jc w:val="center"/>
            </w:pPr>
            <w:r>
              <w:rPr>
                <w:sz w:val="17"/>
              </w:rPr>
            </w:r>
          </w:p>
        </w:tc>
        <w:tc>
          <w:tcPr>
            <w:tcW w:type="dxa" w:w="1077"/>
            <w:shd w:val="clear" w:color="auto" w:fill="FFF3CD"/>
          </w:tcPr>
          <w:p>
            <w:pPr>
              <w:jc w:val="center"/>
            </w:pPr>
            <w:r>
              <w:rPr>
                <w:sz w:val="17"/>
              </w:rPr>
            </w:r>
          </w:p>
        </w:tc>
      </w:tr>
      <w:tr>
        <w:tc>
          <w:tcPr>
            <w:tcW w:type="dxa" w:w="1077"/>
            <w:shd w:val="clear" w:color="auto" w:fill="D4EDDA"/>
          </w:tcPr>
          <w:p>
            <w:pPr>
              <w:jc w:val="center"/>
            </w:pPr>
            <w:r>
              <w:rPr>
                <w:b/>
                <w:sz w:val="17"/>
              </w:rPr>
              <w:t>15</w:t>
            </w:r>
          </w:p>
        </w:tc>
        <w:tc>
          <w:tcPr>
            <w:tcW w:type="dxa" w:w="1077"/>
            <w:shd w:val="clear" w:color="auto" w:fill="D4EDDA"/>
          </w:tcPr>
          <w:p>
            <w:pPr>
              <w:jc w:val="center"/>
            </w:pPr>
            <w:r>
              <w:rPr>
                <w:b/>
                <w:sz w:val="17"/>
              </w:rPr>
              <w:t>CENTRO ★</w:t>
            </w:r>
          </w:p>
        </w:tc>
        <w:tc>
          <w:tcPr>
            <w:tcW w:type="dxa" w:w="1077"/>
            <w:shd w:val="clear" w:color="auto" w:fill="D4EDDA"/>
          </w:tcPr>
          <w:p>
            <w:pPr>
              <w:jc w:val="center"/>
            </w:pPr>
            <w:r>
              <w:rPr>
                <w:b/>
                <w:sz w:val="17"/>
              </w:rPr>
              <w:t>14.0</w:t>
            </w:r>
          </w:p>
        </w:tc>
        <w:tc>
          <w:tcPr>
            <w:tcW w:type="dxa" w:w="1077"/>
            <w:shd w:val="clear" w:color="auto" w:fill="D4EDDA"/>
          </w:tcPr>
          <w:p>
            <w:pPr>
              <w:jc w:val="center"/>
            </w:pPr>
            <w:r>
              <w:rPr>
                <w:b/>
                <w:sz w:val="17"/>
              </w:rPr>
              <w:t>83%</w:t>
            </w:r>
          </w:p>
        </w:tc>
        <w:tc>
          <w:tcPr>
            <w:tcW w:type="dxa" w:w="1077"/>
            <w:shd w:val="clear" w:color="auto" w:fill="D4EDDA"/>
          </w:tcPr>
          <w:p>
            <w:pPr>
              <w:jc w:val="center"/>
            </w:pPr>
            <w:r>
              <w:rPr>
                <w:b/>
                <w:sz w:val="17"/>
              </w:rPr>
              <w:t>2.5</w:t>
            </w:r>
          </w:p>
        </w:tc>
        <w:tc>
          <w:tcPr>
            <w:tcW w:type="dxa" w:w="1077"/>
            <w:shd w:val="clear" w:color="auto" w:fill="D4EDDA"/>
          </w:tcPr>
          <w:p>
            <w:pPr>
              <w:jc w:val="center"/>
            </w:pPr>
            <w:r>
              <w:rPr>
                <w:b/>
                <w:sz w:val="17"/>
              </w:rPr>
            </w:r>
          </w:p>
        </w:tc>
        <w:tc>
          <w:tcPr>
            <w:tcW w:type="dxa" w:w="1077"/>
            <w:shd w:val="clear" w:color="auto" w:fill="D4EDDA"/>
          </w:tcPr>
          <w:p>
            <w:pPr>
              <w:jc w:val="center"/>
            </w:pPr>
            <w:r>
              <w:rPr>
                <w:b/>
                <w:sz w:val="17"/>
              </w:rPr>
            </w:r>
          </w:p>
        </w:tc>
        <w:tc>
          <w:tcPr>
            <w:tcW w:type="dxa" w:w="1077"/>
            <w:shd w:val="clear" w:color="auto" w:fill="D4EDDA"/>
          </w:tcPr>
          <w:p>
            <w:pPr>
              <w:jc w:val="center"/>
            </w:pPr>
            <w:r>
              <w:rPr>
                <w:b/>
                <w:sz w:val="17"/>
              </w:rPr>
            </w:r>
          </w:p>
        </w:tc>
        <w:tc>
          <w:tcPr>
            <w:tcW w:type="dxa" w:w="1077"/>
            <w:shd w:val="clear" w:color="auto" w:fill="D4EDDA"/>
          </w:tcPr>
          <w:p>
            <w:pPr>
              <w:jc w:val="center"/>
            </w:pPr>
            <w:r>
              <w:rPr>
                <w:b/>
                <w:sz w:val="17"/>
              </w:rPr>
            </w:r>
          </w:p>
        </w:tc>
      </w:tr>
    </w:tbl>
    <w:p>
      <w:pPr>
        <w:spacing w:before="0" w:after="80"/>
        <w:jc w:val="both"/>
      </w:pPr>
      <w:r>
        <w:rPr>
          <w:b w:val="0"/>
          <w:i/>
          <w:sz w:val="17"/>
        </w:rPr>
        <w:t>Verde ★ = Punto Central (configuración inicial de referencia).   Amarillo = Puntos Axiales (límites extremos del espacio de diseño).</w:t>
      </w:r>
    </w:p>
    <w:p>
      <w:pPr>
        <w:pBdr>
          <w:bottom w:val="single" w:sz="4" w:space="3" w:color="1A3A5C"/>
        </w:pBdr>
        <w:spacing w:before="160" w:after="80"/>
      </w:pPr>
      <w:r>
        <w:rPr>
          <w:b/>
          <w:color w:val="1A3A5C"/>
          <w:sz w:val="23"/>
        </w:rPr>
        <w:t>5.  CHECKLIST PARA CADA ENSAYO</w:t>
      </w:r>
    </w:p>
    <w:p>
      <w:pPr>
        <w:pStyle w:val="ListNumber"/>
        <w:spacing w:after="40" w:before="0"/>
      </w:pPr>
      <w:r>
        <w:rPr>
          <w:sz w:val="19"/>
        </w:rPr>
        <w:t>Verificar presión de gas = 20.0 mbar antes de arrancar.</w:t>
      </w:r>
    </w:p>
    <w:p>
      <w:pPr>
        <w:pStyle w:val="ListNumber"/>
        <w:spacing w:after="40" w:before="0"/>
      </w:pPr>
      <w:r>
        <w:rPr>
          <w:sz w:val="19"/>
        </w:rPr>
        <w:t>Configurar H_pot con suplementos calibrados bajo la olla. Verificar con calibrador Vernier.</w:t>
      </w:r>
    </w:p>
    <w:p>
      <w:pPr>
        <w:pStyle w:val="ListNumber"/>
        <w:spacing w:after="40" w:before="0"/>
      </w:pPr>
      <w:r>
        <w:rPr>
          <w:sz w:val="19"/>
        </w:rPr>
        <w:t>Configurar la ventana de aire con cinta metálica de aluminio. Verificar el área libre con regla.</w:t>
      </w:r>
    </w:p>
    <w:p>
      <w:pPr>
        <w:pStyle w:val="ListNumber"/>
        <w:spacing w:after="40" w:before="0"/>
      </w:pPr>
      <w:r>
        <w:rPr>
          <w:sz w:val="19"/>
        </w:rPr>
        <w:t>Configurar posición del inyector desplazándolo HACIA ATRÁS el valor indicado. Verificar con calibrador de profundidad.</w:t>
      </w:r>
    </w:p>
    <w:p>
      <w:pPr>
        <w:pStyle w:val="ListNumber"/>
        <w:spacing w:after="40" w:before="0"/>
      </w:pPr>
      <w:r>
        <w:rPr>
          <w:sz w:val="19"/>
        </w:rPr>
        <w:t>Aplicar el procedimiento de medición de eficiencia térmica según NTC 2832-1.</w:t>
      </w:r>
    </w:p>
    <w:p>
      <w:pPr>
        <w:pStyle w:val="ListNumber"/>
        <w:spacing w:after="40" w:before="0"/>
      </w:pPr>
      <w:r>
        <w:rPr>
          <w:sz w:val="19"/>
        </w:rPr>
        <w:t>Registrar CO (ppm) con la sonda de análisis de gases en la campana de muestreo.</w:t>
      </w:r>
    </w:p>
    <w:p>
      <w:pPr>
        <w:pStyle w:val="ListNumber"/>
        <w:spacing w:after="40" w:before="0"/>
      </w:pPr>
      <w:r>
        <w:rPr>
          <w:sz w:val="19"/>
        </w:rPr>
        <w:t>Anotar cualquier anomalía visual de la llama (color, inestabilidad, desprendimiento) en la columna 'Observaciones' de la tabla.</w:t>
      </w:r>
    </w:p>
    <w:sectPr w:rsidR="00FC693F" w:rsidRPr="0006063C" w:rsidSect="00034616">
      <w:pgSz w:w="12240" w:h="15840"/>
      <w:pgMar w:top="1020" w:right="1134"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