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C: Domicile - TEMPLATE</w:t>
      </w:r>
    </w:p>
    <w:p>
      <w:pPr>
        <w:pStyle w:val="Heading2"/>
      </w:pPr>
      <w:r>
        <w:t>Question Recognition Triggers</w:t>
      </w:r>
    </w:p>
    <w:p>
      <w:pPr>
        <w:pStyle w:val="ListBullet"/>
      </w:pPr>
      <w:r>
        <w:t>Individual with connections to multiple countries</w:t>
      </w:r>
    </w:p>
    <w:p>
      <w:pPr>
        <w:pStyle w:val="ListBullet"/>
      </w:pPr>
      <w:r>
        <w:t>Questions about "domicile status"</w:t>
      </w:r>
    </w:p>
    <w:p>
      <w:pPr>
        <w:pStyle w:val="ListBullet"/>
      </w:pPr>
      <w:r>
        <w:t>Inheritance planning scenarios</w:t>
      </w:r>
    </w:p>
    <w:p>
      <w:pPr>
        <w:pStyle w:val="ListBullet"/>
      </w:pPr>
      <w:r>
        <w:t>Remittance basis eligibility questions</w:t>
      </w:r>
    </w:p>
    <w:p>
      <w:pPr>
        <w:pStyle w:val="ListBullet"/>
      </w:pPr>
      <w:r>
        <w:t>References to "deemed domicile"</w:t>
      </w:r>
    </w:p>
    <w:p>
      <w:pPr>
        <w:pStyle w:val="ListBullet"/>
      </w:pPr>
      <w:r>
        <w:t>Family background in different countries</w:t>
      </w:r>
    </w:p>
    <w:p>
      <w:pPr>
        <w:pStyle w:val="Heading2"/>
      </w:pPr>
      <w:r>
        <w:t>Time Allocation (15 marks = 27 minutes)</w:t>
      </w:r>
    </w:p>
    <w:p>
      <w:pPr>
        <w:pStyle w:val="ListBullet"/>
      </w:pPr>
      <w:r>
        <w:t>Read and analyze: 3 minutes</w:t>
      </w:r>
    </w:p>
    <w:p>
      <w:pPr>
        <w:pStyle w:val="ListBullet"/>
      </w:pPr>
      <w:r>
        <w:t>Plan structure: 2 minutes</w:t>
      </w:r>
    </w:p>
    <w:p>
      <w:pPr>
        <w:pStyle w:val="ListBullet"/>
      </w:pPr>
      <w:r>
        <w:t>Write answer: 20 minutes</w:t>
      </w:r>
    </w:p>
    <w:p>
      <w:pPr>
        <w:pStyle w:val="ListBullet"/>
      </w:pPr>
      <w:r>
        <w:t>Review: 2 minutes</w:t>
      </w:r>
    </w:p>
    <w:p>
      <w:pPr>
        <w:pStyle w:val="Heading2"/>
      </w:pPr>
      <w:r>
        <w:t>Answer Structure Template</w:t>
      </w:r>
    </w:p>
    <w:p>
      <w:pPr>
        <w:pStyle w:val="Heading3"/>
      </w:pPr>
      <w:r>
        <w:t>1. Introduction and Relevance (1-2 marks, 2-3 minutes)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Domicile is a common law concept determining an individual's permanent home for tax purposes.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It is distinct from residence and nationality.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Domicile status is relevant for: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UK Inheritance Tax (worldwide estate vs. UK assets only)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Income tax and CGT (eligibility for remittance basis)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Deemed domicile rules (additional considerations)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The key issue is to determine [Individual's] domicile status for [relevant tax year/purpose].</w:t>
      </w:r>
    </w:p>
    <w:p/>
    <w:p>
      <w:pPr>
        <w:pStyle w:val="Heading3"/>
      </w:pPr>
      <w:r>
        <w:t>2. Types of Domicile (2-3 marks, 3-5 minutes)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There are three types of domicile under common law: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A. Domicile of Origin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Acquired at birth (father's domicile if parents married, mother's if not)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Can be displaced but never extinguished - revives if domicile of choice abandoned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Very difficult to lose (requires clear break)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B. Domicile of Dependency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For children under 16, domicile follows parent's domicile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Changes automatically if parent's domicile changes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Ends at age 16 or marriage (if younger)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C. Domicile of Choice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Acquired by adult through residence + intention to remain permanently/indefinitely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Requires BOTH physical presence AND mental intention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Very high burden of proof to establish change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Application to [Individual]: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[Identify which type currently applies and historical domicile path]</w:t>
      </w:r>
    </w:p>
    <w:p/>
    <w:p>
      <w:pPr>
        <w:pStyle w:val="Heading3"/>
      </w:pPr>
      <w:r>
        <w:t>3. Domicile of Origin Analysis (if relevant) (2-3 marks, 3-5 minutes)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[Individual] was born [date] in [country] to parents who were [married/unmarried].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Father's domicile at birth: [country]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Mother's domicile at birth: [country]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Rule: Domicile of origin is determined by father's domicile if legitimate child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(or mother's if illegitimate or father deceased).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Conclusion: [Individual's] domicile of origin is [country].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Note: This domicile of origin can only be displaced by acquiring a domicile of choice,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but will revive if domicile of choice is later abandoned.</w:t>
      </w:r>
    </w:p>
    <w:p/>
    <w:p>
      <w:pPr>
        <w:pStyle w:val="Heading3"/>
      </w:pPr>
      <w:r>
        <w:t>4. Domicile of Choice Analysis (if relevant) (4-6 marks, 7-10 minutes)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 acquire domicile of choice, individual must satisfy TWO requirements: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A. RESIDENCE in the new country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Must be actual, lawful residence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No minimum time period, but longer residence = stronger evidence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B. INTENTION to remain permanently or indefinitely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Subjective test: genuine intention to make new country permanent home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Objective evidence: actions consistent with permanent residence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Standard of proof: Very high - must show definite break from domicile of origin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(IRC v Bullock; Ramsey v IRC).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Analysis for [Individual]: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Residence Factor: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Arrived in [country] on [date]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Period of residence: [X years]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Nature of residence: [lawful, continuous, etc.]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Evidence of residence: [Strong/Moderate/Weak]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Intention Factor (examine objective evidence):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Evidence SUPPORTING intention to remain permanently: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[e.g., purchased property]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[e.g., established business]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[e.g., joined local clubs/organizations]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[e.g., obtained permanent residence permit/citizenship]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[e.g., family moved with individual]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[e.g., made will under local law]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[e.g., severed ties with country of origin]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[e.g., stated intention in writing]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Evidence AGAINST intention to remain permanently: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[e.g., retained property in country of origin]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[e.g., temporary work permit only]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[e.g., stated intention to return eventually]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[e.g., maintained strong ties with country of origin]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[e.g., children educated in country of origin]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Weighing the evidence: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[Analyze the balance of evidence - which factors are stronger?]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Case law comparison: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[Reference similar cases if relevant - e.g., IRC v Bullock, Ramsey, Qazi]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Conclusion on domicile of choice: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On balance, [Individual] has/has not acquired domicile of choice in [country] because: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[Summarize key reasons]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Therefore, [Individual's] domicile is [country] (either domicile of choice or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domicile of origin if choice not established).</w:t>
      </w:r>
    </w:p>
    <w:p/>
    <w:p>
      <w:pPr>
        <w:pStyle w:val="Heading3"/>
      </w:pPr>
      <w:r>
        <w:t>5. Deemed Domicile Rules (if relevant) (3-4 marks, 5-7 minutes)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Even if individual is NOT domiciled in UK under common law, they may be deemed UK domiciled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 certain tax purposes under statutory rules.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A. Deemed Domicile for Inheritance Tax (IHTA 1984, s. 267)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Rule: Individual is deemed UK domiciled if: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UK resident in at least 15 of the 20 tax years immediately before relevant time, OR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Was UK domiciled within 3 years before relevant time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Analysis for [Individual]: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UK residence history: [list years]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UK resident in [X] of last 20 years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Previously UK domiciled? [Yes/No - when?]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Conclusion: [Individual] is/is not deemed UK domiciled for IHT purposes.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Impact: If deemed domiciled, worldwide estate subject to UK IHT (not just UK assets).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B. Deemed Domicile for Income Tax and CGT (ITA 2007, s. 835BA)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Rule: Long-term resident individual is deemed UK domiciled if: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UK resident in at least 15 of the last 20 tax years, AND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UK resident in current tax year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Analysis for [Individual]: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UK resident in [X] of last 20 tax years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UK resident in [current year]? [Yes/No]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Conclusion: [Individual] is/is not deemed UK domiciled for income tax/CGT purposes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for [tax year].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Impact: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Cannot claim remittance basis (even if non-domiciled under common law)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Subject to UK tax on worldwide income and gains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- Offshore trust rules apply differently</w:t>
      </w:r>
    </w:p>
    <w:p/>
    <w:p>
      <w:pPr>
        <w:pStyle w:val="Heading3"/>
      </w:pPr>
      <w:r>
        <w:t>6. Tax Consequences (2-3 marks, 3-4 minutes)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Based on domicile status determined above: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UK domiciled (actual or deemed):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IHT: Worldwide estate subject to UK IHT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Income Tax/CGT: Taxed on arising basis (worldwide income/gains)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Cannot claim remittance basis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Offshore trusts: settlor-interested trust rules apply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non-UK domiciled (and not deemed domiciled):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IHT: Only UK assets ("excluded property" relief for non-UK assets)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Income Tax/CGT: May claim remittance basis (if meet conditions)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Offshore trusts: more favorable treatment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Specific implications for [Individual]: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[Apply to scenario - discuss specific assets, income, planning]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Planning considerations: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[Any opportunities or issues arising from domicile status]</w:t>
      </w:r>
    </w:p>
    <w:p/>
    <w:p>
      <w:pPr>
        <w:pStyle w:val="Heading3"/>
      </w:pPr>
      <w:r>
        <w:t>7. Conclusion (1 mark, 1-2 minutes)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 conclusion, [Individual] is [UK/non-UK] domiciled [and deemed UK domiciled for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[IHT/income tax/CGT] purposes] because [key reason].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This means [summarize main tax consequences].</w:t>
      </w:r>
    </w:p>
    <w:p/>
    <w:p>
      <w:pPr>
        <w:pStyle w:val="Heading2"/>
      </w:pPr>
      <w:r>
        <w:t>Key Legislation and Cases</w:t>
      </w:r>
    </w:p>
    <w:p>
      <w:pPr>
        <w:pStyle w:val="ListBullet"/>
      </w:pPr>
      <w:r>
        <w:rPr>
          <w:b/>
        </w:rPr>
        <w:t>Common law</w:t>
      </w:r>
      <w:r>
        <w:t>: No statute - case law determines domicile</w:t>
      </w:r>
    </w:p>
    <w:p>
      <w:pPr>
        <w:pStyle w:val="ListBullet"/>
      </w:pPr>
      <w:r>
        <w:rPr>
          <w:b/>
        </w:rPr>
        <w:t>Key cases</w:t>
      </w:r>
      <w:r>
        <w:t>: IRC v Bullock; Ramsey v IRC; Qazi v HMRC; Henkes v Netherlands</w:t>
      </w:r>
    </w:p>
    <w:p>
      <w:pPr>
        <w:pStyle w:val="ListBullet"/>
      </w:pPr>
      <w:r>
        <w:rPr>
          <w:b/>
        </w:rPr>
        <w:t>Deemed domicile</w:t>
      </w:r>
      <w:r>
        <w:t>: IHTA 1984, s. 267; ITA 2007, s. 835BA</w:t>
      </w:r>
    </w:p>
    <w:p>
      <w:pPr>
        <w:pStyle w:val="ListBullet"/>
      </w:pPr>
      <w:r>
        <w:rPr>
          <w:b/>
        </w:rPr>
        <w:t>Remittance basis</w:t>
      </w:r>
      <w:r>
        <w:t>: ITA 2007, ss. 809A-809Z</w:t>
      </w:r>
    </w:p>
    <w:p>
      <w:pPr>
        <w:pStyle w:val="Heading2"/>
      </w:pPr>
      <w:r>
        <w:t>Common Variations</w:t>
      </w:r>
    </w:p>
    <w:p>
      <w:pPr>
        <w:pStyle w:val="ListNumber"/>
      </w:pPr>
      <w:r>
        <w:t>Domicile of dependent child (follows parent)</w:t>
      </w:r>
    </w:p>
    <w:p>
      <w:pPr>
        <w:pStyle w:val="ListNumber"/>
      </w:pPr>
      <w:r>
        <w:t>Domicile of choice abandoned (reverts to domicile of origin)</w:t>
      </w:r>
    </w:p>
    <w:p>
      <w:pPr>
        <w:pStyle w:val="ListNumber"/>
      </w:pPr>
      <w:r>
        <w:t>Multiple changes of domicile</w:t>
      </w:r>
    </w:p>
    <w:p>
      <w:pPr>
        <w:pStyle w:val="ListNumber"/>
      </w:pPr>
      <w:r>
        <w:t>Recent deemed domicile rule changes</w:t>
      </w:r>
    </w:p>
    <w:p>
      <w:pPr>
        <w:pStyle w:val="ListNumber"/>
      </w:pPr>
      <w:r>
        <w:t>Interaction with residence status</w:t>
      </w:r>
    </w:p>
    <w:p>
      <w:pPr>
        <w:pStyle w:val="Heading2"/>
      </w:pPr>
      <w:r>
        <w:t>Common Pitfalls to Avoid</w:t>
      </w:r>
    </w:p>
    <w:p>
      <w:pPr>
        <w:pStyle w:val="ListBullet"/>
      </w:pPr>
      <w:r>
        <w:t>Don't confuse domicile with residence or nationality</w:t>
      </w:r>
    </w:p>
    <w:p>
      <w:pPr>
        <w:pStyle w:val="ListBullet"/>
      </w:pPr>
      <w:r>
        <w:t>Remember: domicile of origin NEVER dies (only displaced)</w:t>
      </w:r>
    </w:p>
    <w:p>
      <w:pPr>
        <w:pStyle w:val="ListBullet"/>
      </w:pPr>
      <w:r>
        <w:t>Burden of proof to change domicile is very high</w:t>
      </w:r>
    </w:p>
    <w:p>
      <w:pPr>
        <w:pStyle w:val="ListBullet"/>
      </w:pPr>
      <w:r>
        <w:t>Deemed domicile rules differ for IHT vs. income tax/CGT</w:t>
      </w:r>
    </w:p>
    <w:p>
      <w:pPr>
        <w:pStyle w:val="ListBullet"/>
      </w:pPr>
      <w:r>
        <w:t>Count tax years carefully for deemed domicile (15 of 20)</w:t>
      </w:r>
    </w:p>
    <w:p>
      <w:pPr>
        <w:pStyle w:val="ListBullet"/>
      </w:pPr>
      <w:r>
        <w:t>Don't assume UK residence = UK domicile</w:t>
      </w:r>
    </w:p>
    <w:p>
      <w:pPr>
        <w:pStyle w:val="Heading2"/>
      </w:pPr>
      <w:r>
        <w:t>Evidence of Intention Checklist</w:t>
      </w:r>
    </w:p>
    <w:p>
      <w:r>
        <w:t>When analyzing domicile of choice, consider:</w:t>
      </w:r>
    </w:p>
    <w:p>
      <w:pPr>
        <w:pStyle w:val="ListBullet"/>
      </w:pPr>
      <w:r>
        <w:t>[ ] Purchase/retention of property</w:t>
      </w:r>
    </w:p>
    <w:p>
      <w:pPr>
        <w:pStyle w:val="ListBullet"/>
      </w:pPr>
      <w:r>
        <w:t>[ ] Business establishment/retirement</w:t>
      </w:r>
    </w:p>
    <w:p>
      <w:pPr>
        <w:pStyle w:val="ListBullet"/>
      </w:pPr>
      <w:r>
        <w:t>[ ] Family location and movements</w:t>
      </w:r>
    </w:p>
    <w:p>
      <w:pPr>
        <w:pStyle w:val="ListBullet"/>
      </w:pPr>
      <w:r>
        <w:t>[ ] Burial wishes</w:t>
      </w:r>
    </w:p>
    <w:p>
      <w:pPr>
        <w:pStyle w:val="ListBullet"/>
      </w:pPr>
      <w:r>
        <w:t>[ ] Will preparation (under which law?)</w:t>
      </w:r>
    </w:p>
    <w:p>
      <w:pPr>
        <w:pStyle w:val="ListBullet"/>
      </w:pPr>
      <w:r>
        <w:t>[ ] Club memberships, social ties</w:t>
      </w:r>
    </w:p>
    <w:p>
      <w:pPr>
        <w:pStyle w:val="ListBullet"/>
      </w:pPr>
      <w:r>
        <w:t>[ ] Immigration status</w:t>
      </w:r>
    </w:p>
    <w:p>
      <w:pPr>
        <w:pStyle w:val="ListBullet"/>
      </w:pPr>
      <w:r>
        <w:t>[ ] Statements of intention</w:t>
      </w:r>
    </w:p>
    <w:p>
      <w:pPr>
        <w:pStyle w:val="ListBullet"/>
      </w:pPr>
      <w:r>
        <w:t>[ ] Maintained ties with origin country</w:t>
      </w:r>
    </w:p>
    <w:p>
      <w:pPr>
        <w:pStyle w:val="Heading2"/>
      </w:pPr>
      <w:r>
        <w:t>Marking Scheme Breakdown (Typical)</w:t>
      </w:r>
    </w:p>
    <w:p>
      <w:pPr>
        <w:pStyle w:val="ListBullet"/>
      </w:pPr>
      <w:r>
        <w:t>Types of domicile explained: 2-3 marks</w:t>
      </w:r>
    </w:p>
    <w:p>
      <w:pPr>
        <w:pStyle w:val="ListBullet"/>
      </w:pPr>
      <w:r>
        <w:t>Analysis of domicile of origin: 1-2 marks</w:t>
      </w:r>
    </w:p>
    <w:p>
      <w:pPr>
        <w:pStyle w:val="ListBullet"/>
      </w:pPr>
      <w:r>
        <w:t>Domicile of choice analysis (residence + intention): 5-7 marks</w:t>
      </w:r>
    </w:p>
    <w:p>
      <w:pPr>
        <w:pStyle w:val="ListBullet"/>
      </w:pPr>
      <w:r>
        <w:t>Deemed domicile rules: 3-4 marks</w:t>
      </w:r>
    </w:p>
    <w:p>
      <w:pPr>
        <w:pStyle w:val="ListBullet"/>
      </w:pPr>
      <w:r>
        <w:t>Tax consequences and conclusion: 2-3 marks</w:t>
      </w:r>
    </w:p>
    <w:p>
      <w:pPr>
        <w:pStyle w:val="Heading2"/>
      </w:pPr>
      <w:r>
        <w:t>Quick Checklist</w:t>
      </w:r>
    </w:p>
    <w:p>
      <w:r>
        <w:t>Before finishing, ensure you've:</w:t>
      </w:r>
    </w:p>
    <w:p>
      <w:pPr>
        <w:pStyle w:val="ListBullet"/>
      </w:pPr>
      <w:r>
        <w:t>[ ] Identified domicile of origin</w:t>
      </w:r>
    </w:p>
    <w:p>
      <w:pPr>
        <w:pStyle w:val="ListBullet"/>
      </w:pPr>
      <w:r>
        <w:t>[ ] Analyzed residence component (if relevant)</w:t>
      </w:r>
    </w:p>
    <w:p>
      <w:pPr>
        <w:pStyle w:val="ListBullet"/>
      </w:pPr>
      <w:r>
        <w:t>[ ] Analyzed intention component with specific evidence</w:t>
      </w:r>
    </w:p>
    <w:p>
      <w:pPr>
        <w:pStyle w:val="ListBullet"/>
      </w:pPr>
      <w:r>
        <w:t>[ ] Applied deemed domicile rules</w:t>
      </w:r>
    </w:p>
    <w:p>
      <w:pPr>
        <w:pStyle w:val="ListBullet"/>
      </w:pPr>
      <w:r>
        <w:t>[ ] Explained tax consequences clearly</w:t>
      </w:r>
    </w:p>
    <w:p>
      <w:pPr>
        <w:pStyle w:val="ListBullet"/>
      </w:pPr>
      <w:r>
        <w:t>[ ] Reached clear conclusion</w:t>
      </w:r>
    </w:p>
    <w:p>
      <w:pPr>
        <w:pStyle w:val="ListBullet"/>
      </w:pPr>
      <w:r>
        <w:t>[ ] Distinguished domicile from residence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i/>
        </w:rPr>
        <w:t>Domicile analysis requires careful weighing of evidence - consider all factors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