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A: Residence (Corporate and Individual) - TEMPLATE</w:t>
      </w:r>
    </w:p>
    <w:p>
      <w:pPr>
        <w:pStyle w:val="Heading2"/>
      </w:pPr>
      <w:r>
        <w:t>Question Recognition Triggers</w:t>
      </w:r>
    </w:p>
    <w:p>
      <w:pPr>
        <w:pStyle w:val="ListBullet"/>
      </w:pPr>
      <w:r>
        <w:t>Individual relocating to/from UK</w:t>
      </w:r>
    </w:p>
    <w:p>
      <w:pPr>
        <w:pStyle w:val="ListBullet"/>
      </w:pPr>
      <w:r>
        <w:t>Corporate entity with UK connections</w:t>
      </w:r>
    </w:p>
    <w:p>
      <w:pPr>
        <w:pStyle w:val="ListBullet"/>
      </w:pPr>
      <w:r>
        <w:t>Questions about "tax residence"</w:t>
      </w:r>
    </w:p>
    <w:p>
      <w:pPr>
        <w:pStyle w:val="ListBullet"/>
      </w:pPr>
      <w:r>
        <w:t>Scenarios involving multiple countries</w:t>
      </w:r>
    </w:p>
    <w:p>
      <w:pPr>
        <w:pStyle w:val="ListBullet"/>
      </w:pPr>
      <w:r>
        <w:t>References to "Statutory Residence Test" or "central management and control"</w:t>
      </w:r>
    </w:p>
    <w:p>
      <w:pPr>
        <w:pStyle w:val="Heading2"/>
      </w:pPr>
      <w:r>
        <w:t>Time Allocation (25 marks = 45 minutes)</w:t>
      </w:r>
    </w:p>
    <w:p>
      <w:pPr>
        <w:pStyle w:val="ListBullet"/>
      </w:pPr>
      <w:r>
        <w:t>Read and analyze: 5 minutes</w:t>
      </w:r>
    </w:p>
    <w:p>
      <w:pPr>
        <w:pStyle w:val="ListBullet"/>
      </w:pPr>
      <w:r>
        <w:t>Plan structure: 3 minutes</w:t>
      </w:r>
    </w:p>
    <w:p>
      <w:pPr>
        <w:pStyle w:val="ListBullet"/>
      </w:pPr>
      <w:r>
        <w:t>Write answer: 34 minutes</w:t>
      </w:r>
    </w:p>
    <w:p>
      <w:pPr>
        <w:pStyle w:val="ListBullet"/>
      </w:pPr>
      <w:r>
        <w:t>Review: 3 minutes</w:t>
      </w:r>
    </w:p>
    <w:p>
      <w:pPr>
        <w:pStyle w:val="Heading2"/>
      </w:pPr>
      <w:r>
        <w:t>Answer Structure Template</w:t>
      </w:r>
    </w:p>
    <w:p>
      <w:pPr>
        <w:pStyle w:val="Heading3"/>
      </w:pPr>
      <w:r>
        <w:t>1. Introduction and Issue Identification (2-3 marks, 5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key issue is to determine [individual's/company's] tax residence status for UK tax purposes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 the [relevant] tax year(s). This will determine the scope of their UK tax liability.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[If relevant: The residence status affects taxation on [worldwide income/UK source income only]]</w:t>
      </w:r>
    </w:p>
    <w:p/>
    <w:p>
      <w:pPr>
        <w:pStyle w:val="Heading3"/>
      </w:pPr>
      <w:r>
        <w:t>2. Corporate Residence Analysis (if applicable) (8-10 marks, 12-15 minutes)</w:t>
      </w:r>
    </w:p>
    <w:p>
      <w:pPr>
        <w:pStyle w:val="Heading4"/>
      </w:pPr>
      <w:r>
        <w:t>A. Common Law Test - Central Management and Control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Under common law, a company is UK resident if its central management and control (CMC)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is exercised in the UK (De Beers Consolidated Mines v Howe).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CMC is where strategic decisions are made, typically at board level.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Facts to analyze: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Location of board meetings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Where key strategic decisions made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Residence of directors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Location of day-to-day management (less relevant)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Application to scenario: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[Analyze each factor based on given facts]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CMC is exercised in [jurisdiction] because...</w:t>
      </w:r>
    </w:p>
    <w:p/>
    <w:p>
      <w:pPr>
        <w:pStyle w:val="Heading4"/>
      </w:pPr>
      <w:r>
        <w:t>B. Statutory Test - Place of Incorporation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Under CTA 2009, s. 14, a company incorporated in the UK is automatically UK resident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from 15 March 1988 onwards (subject to treaty override).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Application: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[State where company incorporated and date]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[Company] is/is not UK resident under the statutory test.</w:t>
      </w:r>
    </w:p>
    <w:p/>
    <w:p>
      <w:pPr>
        <w:pStyle w:val="Heading4"/>
      </w:pPr>
      <w:r>
        <w:t>C. Double Tax Treaty Considerations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 a company is resident in multiple jurisdictions, the tie-breaker article in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relevant DTT applies (typically Article 4 OECD Model).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Treaty tie-breaker uses "place of effective management" (POEM) test.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Application: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[Analyze POEM based on facts]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Under the DTT, [Company] is resident in [jurisdiction].</w:t>
      </w:r>
    </w:p>
    <w:p/>
    <w:p>
      <w:pPr>
        <w:pStyle w:val="Heading3"/>
      </w:pPr>
      <w:r>
        <w:t>3. Individual Residence Analysis (if applicable) (8-10 marks, 12-15 minutes)</w:t>
      </w:r>
    </w:p>
    <w:p>
      <w:pPr>
        <w:pStyle w:val="Heading4"/>
      </w:pPr>
      <w:r>
        <w:t>A. Automatic Overseas Tests (AOT)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Individual is conclusively non-UK resident if meets any AOT (FA 2013, Sch. 45):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AOT1: In UK fewer than 16 days (was UK resident in 1+ of prior 3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AOT2: In UK fewer than 46 days (was non-resident in all prior 3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AOT3: Works full-time overseas with UK presence under 91 days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[Check each AOT against facts]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Days in UK: [X] days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Prior year residence: [status]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Work pattern: [details]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[Individual] does/does not meet AOT [number]</w:t>
      </w:r>
    </w:p>
    <w:p/>
    <w:p>
      <w:pPr>
        <w:pStyle w:val="Heading4"/>
      </w:pPr>
      <w:r>
        <w:t>B. Automatic UK Tests (AUT) (if not conclusively non-resident)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Individual is conclusively UK resident if meets any AUT: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AUT1: In UK for 183 days or more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AUT2: Has only home in UK (or UK + overseas homes but stays only in UK home)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AUT3: Works full-time in UK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[Check each AUT against facts]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Days in UK: [X] days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Homes: [locations and use]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Work pattern: [details]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[Individual] does/does not meet AUT [number]</w:t>
      </w:r>
    </w:p>
    <w:p/>
    <w:p>
      <w:pPr>
        <w:pStyle w:val="Heading4"/>
      </w:pPr>
      <w:r>
        <w:t>C. Sufficient Ties Test (if neither AOT nor AUT applies)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no conclusive test applies, residence depends on UK ties combined with days in UK.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Ties (5 ties for previously resident, 4 for never resident):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1. Family tie: Spouse/minor children UK resident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2. Accommodation tie: Available accommodation in UK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3. Work tie: Substantive UK work (40+ days)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4. 90-day tie: UK presence 90+ days in either of prior 2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5. Country tie: More days in UK than any other single country (leavers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[Assess each tie]: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Family tie: [Yes/No - 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Accommodation tie: [Yes/No - 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Work tie: [Yes/No - 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- 90-day tie: [Yes/No - details]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Country tie: [Yes/No - details if relevant]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ties: [X]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Days in UK: [Y]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Apply sufficient ties table: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[State applicable table - previously resident vs. arriver]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[Cross-reference days and ties]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[Individual] is/is not UK resident for [tax year]</w:t>
      </w:r>
    </w:p>
    <w:p/>
    <w:p>
      <w:pPr>
        <w:pStyle w:val="Heading3"/>
      </w:pPr>
      <w:r>
        <w:t>4. Tax Consequences (3-5 marks, 7-10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Based on residence determination above: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UK resident: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Subject to UK tax on worldwide income (ITA 2007, s. 1)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Subject to UK CGT on worldwide gains (TCGA 1992, s. 1)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May claim double tax relief under DTT or unilateral relief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non-UK resident: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Subject to UK tax on UK source income only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Subject to UK CGT on limited assets (UK property, etc.)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Treaty may reduce/eliminate UK withholding taxes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Specific implications for this case: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[Apply to scenario - discuss specific income/gains]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[Mention any planning opportunities or anti-avoidance considerations]</w:t>
      </w:r>
    </w:p>
    <w:p/>
    <w:p>
      <w:pPr>
        <w:pStyle w:val="Heading3"/>
      </w:pPr>
      <w:r>
        <w:t>5. Conclusion (1-2 marks, 3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 conclusion, [individual/company] is/is not UK resident for [period] because [summarize key reason].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This means they will be subject to [scope of UK taxation].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[Any recommendations or further considerations]</w:t>
      </w:r>
    </w:p>
    <w:p/>
    <w:p>
      <w:pPr>
        <w:pStyle w:val="Heading2"/>
      </w:pPr>
      <w:r>
        <w:t>Key Legislation References</w:t>
      </w:r>
    </w:p>
    <w:p>
      <w:pPr>
        <w:pStyle w:val="ListBullet"/>
      </w:pPr>
      <w:r>
        <w:rPr>
          <w:b/>
        </w:rPr>
        <w:t>Corporate</w:t>
      </w:r>
      <w:r>
        <w:t>: CTA 2009, s. 14; case law: De Beers, Untelrab, Laerstate</w:t>
      </w:r>
    </w:p>
    <w:p>
      <w:pPr>
        <w:pStyle w:val="ListBullet"/>
      </w:pPr>
      <w:r>
        <w:rPr>
          <w:b/>
        </w:rPr>
        <w:t>Individual</w:t>
      </w:r>
      <w:r>
        <w:t>: FA 2013, Sch. 45 (Statutory Residence Test)</w:t>
      </w:r>
    </w:p>
    <w:p>
      <w:pPr>
        <w:pStyle w:val="ListBullet"/>
      </w:pPr>
      <w:r>
        <w:rPr>
          <w:b/>
        </w:rPr>
        <w:t>Treaty</w:t>
      </w:r>
      <w:r>
        <w:t>: OECD Model Articles 4 (residence) and relevant bilateral DTTs</w:t>
      </w:r>
    </w:p>
    <w:p>
      <w:pPr>
        <w:pStyle w:val="Heading2"/>
      </w:pPr>
      <w:r>
        <w:t>Common Variations</w:t>
      </w:r>
    </w:p>
    <w:p>
      <w:pPr>
        <w:pStyle w:val="ListNumber"/>
      </w:pPr>
      <w:r>
        <w:t>Split year treatment (if individual arrives/leaves mid-year)</w:t>
      </w:r>
    </w:p>
    <w:p>
      <w:pPr>
        <w:pStyle w:val="ListNumber"/>
      </w:pPr>
      <w:r>
        <w:t>Temporary non-residence rules (if brief departure)</w:t>
      </w:r>
    </w:p>
    <w:p>
      <w:pPr>
        <w:pStyle w:val="ListNumber"/>
      </w:pPr>
      <w:r>
        <w:t>Treaty residence + UK domestic residence conflict</w:t>
      </w:r>
    </w:p>
    <w:p>
      <w:pPr>
        <w:pStyle w:val="ListNumber"/>
      </w:pPr>
      <w:r>
        <w:t>Corporate migration scenarios</w:t>
      </w:r>
    </w:p>
    <w:p>
      <w:pPr>
        <w:pStyle w:val="ListNumber"/>
      </w:pPr>
      <w:r>
        <w:t>Dual resident individuals/companies</w:t>
      </w:r>
    </w:p>
    <w:p>
      <w:pPr>
        <w:pStyle w:val="Heading2"/>
      </w:pPr>
      <w:r>
        <w:t>Common Pitfalls to Avoid</w:t>
      </w:r>
    </w:p>
    <w:p>
      <w:pPr>
        <w:pStyle w:val="ListBullet"/>
      </w:pPr>
      <w:r>
        <w:t>Don't confuse domicile with residence</w:t>
      </w:r>
    </w:p>
    <w:p>
      <w:pPr>
        <w:pStyle w:val="ListBullet"/>
      </w:pPr>
      <w:r>
        <w:t>Always check BOTH statutory and common law tests for companies</w:t>
      </w:r>
    </w:p>
    <w:p>
      <w:pPr>
        <w:pStyle w:val="ListBullet"/>
      </w:pPr>
      <w:r>
        <w:t>Count days carefully (day of arrival counts, day of departure doesn't)</w:t>
      </w:r>
    </w:p>
    <w:p>
      <w:pPr>
        <w:pStyle w:val="ListBullet"/>
      </w:pPr>
      <w:r>
        <w:t>Consider ALL ties, not just obvious ones</w:t>
      </w:r>
    </w:p>
    <w:p>
      <w:pPr>
        <w:pStyle w:val="ListBullet"/>
      </w:pPr>
      <w:r>
        <w:t>Don't forget treaty override provisions</w:t>
      </w:r>
    </w:p>
    <w:p>
      <w:pPr>
        <w:pStyle w:val="ListBullet"/>
      </w:pPr>
      <w:r>
        <w:t>Apply correct table for sufficient ties test (arriver vs. previously resident)</w:t>
      </w:r>
    </w:p>
    <w:p>
      <w:pPr>
        <w:pStyle w:val="Heading2"/>
      </w:pPr>
      <w:r>
        <w:t>Marking Scheme Breakdown (Typical)</w:t>
      </w:r>
    </w:p>
    <w:p>
      <w:pPr>
        <w:pStyle w:val="ListBullet"/>
      </w:pPr>
      <w:r>
        <w:t>Issue identification: 2-3 marks</w:t>
      </w:r>
    </w:p>
    <w:p>
      <w:pPr>
        <w:pStyle w:val="ListBullet"/>
      </w:pPr>
      <w:r>
        <w:t>Legal framework (rules stated correctly): 5-6 marks</w:t>
      </w:r>
    </w:p>
    <w:p>
      <w:pPr>
        <w:pStyle w:val="ListBullet"/>
      </w:pPr>
      <w:r>
        <w:t>Application to facts: 10-12 marks</w:t>
      </w:r>
    </w:p>
    <w:p>
      <w:pPr>
        <w:pStyle w:val="ListBullet"/>
      </w:pPr>
      <w:r>
        <w:t>Conclusion and tax consequences: 5-6 marks</w:t>
      </w:r>
    </w:p>
    <w:p>
      <w:pPr>
        <w:pStyle w:val="ListBullet"/>
      </w:pPr>
      <w:r>
        <w:t>Professional presentation: 1-2 marks</w:t>
      </w:r>
    </w:p>
    <w:p>
      <w:pPr>
        <w:pStyle w:val="Heading2"/>
      </w:pPr>
      <w:r>
        <w:t>Quick Checklist</w:t>
      </w:r>
    </w:p>
    <w:p>
      <w:r>
        <w:t>Before finishing, ensure you've:</w:t>
      </w:r>
    </w:p>
    <w:p>
      <w:pPr>
        <w:pStyle w:val="ListBullet"/>
      </w:pPr>
      <w:r>
        <w:t>[ ] Identified all relevant residence tests</w:t>
      </w:r>
    </w:p>
    <w:p>
      <w:pPr>
        <w:pStyle w:val="ListBullet"/>
      </w:pPr>
      <w:r>
        <w:t>[ ] Applied tests methodically to given facts</w:t>
      </w:r>
    </w:p>
    <w:p>
      <w:pPr>
        <w:pStyle w:val="ListBullet"/>
      </w:pPr>
      <w:r>
        <w:t>[ ] Counted days accurately</w:t>
      </w:r>
    </w:p>
    <w:p>
      <w:pPr>
        <w:pStyle w:val="ListBullet"/>
      </w:pPr>
      <w:r>
        <w:t>[ ] Considered treaty implications if relevant</w:t>
      </w:r>
    </w:p>
    <w:p>
      <w:pPr>
        <w:pStyle w:val="ListBullet"/>
      </w:pPr>
      <w:r>
        <w:t>[ ] Explained tax consequences clearly</w:t>
      </w:r>
    </w:p>
    <w:p>
      <w:pPr>
        <w:pStyle w:val="ListBullet"/>
      </w:pPr>
      <w:r>
        <w:t>[ ] Reached clear conclusion</w:t>
      </w:r>
    </w:p>
    <w:p>
      <w:pPr>
        <w:pStyle w:val="ListBullet"/>
      </w:pPr>
      <w:r>
        <w:t>[ ] Used proper paragraph structure and headings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This template is a framework - adapt to the specific scenario given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