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1.2 Past Questions Analysis (2020-2025)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[Overview](#overview)</w:t>
      </w:r>
    </w:p>
    <w:p>
      <w:pPr>
        <w:pStyle w:val="ListNumber"/>
      </w:pPr>
      <w:r>
        <w:t>[Complete Question Inventory](#complete-question-inventory)</w:t>
      </w:r>
    </w:p>
    <w:p>
      <w:pPr>
        <w:pStyle w:val="ListNumber"/>
      </w:pPr>
      <w:r>
        <w:t>[Topic Frequency Analysis](#topic-frequency-analysis)</w:t>
      </w:r>
    </w:p>
    <w:p>
      <w:pPr>
        <w:pStyle w:val="ListNumber"/>
      </w:pPr>
      <w:r>
        <w:t>[Part A Analysis (50 marks)](#part-a-analysis)</w:t>
      </w:r>
    </w:p>
    <w:p>
      <w:pPr>
        <w:pStyle w:val="ListNumber"/>
      </w:pPr>
      <w:r>
        <w:t>[Part B Analysis (20 marks)](#part-b-analysis)</w:t>
      </w:r>
    </w:p>
    <w:p>
      <w:pPr>
        <w:pStyle w:val="ListNumber"/>
      </w:pPr>
      <w:r>
        <w:t>[Part C Analysis (30 marks)](#part-c-analysis)</w:t>
      </w:r>
    </w:p>
    <w:p>
      <w:pPr>
        <w:pStyle w:val="ListNumber"/>
      </w:pPr>
      <w:r>
        <w:t>[Emerging and Declining Topics](#emerging-and-declining-topics)</w:t>
      </w:r>
    </w:p>
    <w:p>
      <w:pPr>
        <w:pStyle w:val="ListNumber"/>
      </w:pPr>
      <w:r>
        <w:t>[Strategic Insights](#strategic-insights)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Overview</w:t>
      </w:r>
    </w:p>
    <w:p>
      <w:r>
        <w:t xml:space="preserve">This analysis covers </w:t>
      </w:r>
      <w:r>
        <w:rPr>
          <w:b/>
        </w:rPr>
        <w:t>8 exam sessions</w:t>
      </w:r>
      <w:r>
        <w:t xml:space="preserve"> from December 2020 to June 2025, providing comprehensive insights into examiner preferences, topic frequency, and question patterns.</w:t>
      </w:r>
    </w:p>
    <w:p>
      <w:r>
        <w:rPr>
          <w:b/>
        </w:rPr>
        <w:t>Exam Structure (Consistent across all sessions):</w:t>
      </w:r>
    </w:p>
    <w:p>
      <w:pPr>
        <w:pStyle w:val="ListBullet"/>
      </w:pPr>
      <w:r>
        <w:rPr>
          <w:b/>
        </w:rPr>
        <w:t>Duration:</w:t>
      </w:r>
      <w:r>
        <w:t xml:space="preserve"> 3¼ hours (195 minutes)</w:t>
      </w:r>
    </w:p>
    <w:p>
      <w:pPr>
        <w:pStyle w:val="ListBullet"/>
      </w:pPr>
      <w:r>
        <w:rPr>
          <w:b/>
        </w:rPr>
        <w:t>Total Marks:</w:t>
      </w:r>
      <w:r>
        <w:t xml:space="preserve"> 100</w:t>
      </w:r>
    </w:p>
    <w:p>
      <w:pPr>
        <w:pStyle w:val="ListBullet"/>
      </w:pPr>
      <w:r>
        <w:rPr>
          <w:b/>
        </w:rPr>
        <w:t>Part A:</w:t>
      </w:r>
      <w:r>
        <w:t xml:space="preserve"> 2 compulsory questions × 25 marks = 50 marks</w:t>
      </w:r>
    </w:p>
    <w:p>
      <w:pPr>
        <w:pStyle w:val="ListBullet"/>
      </w:pPr>
      <w:r>
        <w:rPr>
          <w:b/>
        </w:rPr>
        <w:t>Part B:</w:t>
      </w:r>
      <w:r>
        <w:t xml:space="preserve"> Choose 1 from 2 questions × 20 marks = 20 marks</w:t>
      </w:r>
    </w:p>
    <w:p>
      <w:pPr>
        <w:pStyle w:val="ListBullet"/>
      </w:pPr>
      <w:r>
        <w:rPr>
          <w:b/>
        </w:rPr>
        <w:t>Part C:</w:t>
      </w:r>
      <w:r>
        <w:t xml:space="preserve"> Choose 2 from 5 questions × 15 marks = 30 marks</w:t>
      </w:r>
    </w:p>
    <w:p>
      <w:r>
        <w:rPr>
          <w:b/>
        </w:rPr>
        <w:t>Key Acronyms Used:</w:t>
      </w:r>
    </w:p>
    <w:p>
      <w:pPr>
        <w:pStyle w:val="ListBullet"/>
      </w:pPr>
      <w:r>
        <w:rPr>
          <w:b/>
        </w:rPr>
        <w:t>SRT</w:t>
      </w:r>
      <w:r>
        <w:t xml:space="preserve"> = Statutory Residence Test</w:t>
      </w:r>
    </w:p>
    <w:p>
      <w:pPr>
        <w:pStyle w:val="ListBullet"/>
      </w:pPr>
      <w:r>
        <w:rPr>
          <w:b/>
        </w:rPr>
        <w:t>PE</w:t>
      </w:r>
      <w:r>
        <w:t xml:space="preserve"> = Permanent Establishment</w:t>
      </w:r>
    </w:p>
    <w:p>
      <w:pPr>
        <w:pStyle w:val="ListBullet"/>
      </w:pPr>
      <w:r>
        <w:rPr>
          <w:b/>
        </w:rPr>
        <w:t>CFC</w:t>
      </w:r>
      <w:r>
        <w:t xml:space="preserve"> = Controlled Foreign Company</w:t>
      </w:r>
    </w:p>
    <w:p>
      <w:pPr>
        <w:pStyle w:val="ListBullet"/>
      </w:pPr>
      <w:r>
        <w:rPr>
          <w:b/>
        </w:rPr>
        <w:t>CIR</w:t>
      </w:r>
      <w:r>
        <w:t xml:space="preserve"> = Corporate Interest Restriction</w:t>
      </w:r>
    </w:p>
    <w:p>
      <w:pPr>
        <w:pStyle w:val="ListBullet"/>
      </w:pPr>
      <w:r>
        <w:rPr>
          <w:b/>
        </w:rPr>
        <w:t>BIR</w:t>
      </w:r>
      <w:r>
        <w:t xml:space="preserve"> = Business Investment Relief</w:t>
      </w:r>
    </w:p>
    <w:p>
      <w:pPr>
        <w:pStyle w:val="ListBullet"/>
      </w:pPr>
      <w:r>
        <w:rPr>
          <w:b/>
        </w:rPr>
        <w:t>ATED</w:t>
      </w:r>
      <w:r>
        <w:t xml:space="preserve"> = Annual Tax on Enveloped Dwellings</w:t>
      </w:r>
    </w:p>
    <w:p>
      <w:pPr>
        <w:pStyle w:val="ListBullet"/>
      </w:pPr>
      <w:r>
        <w:rPr>
          <w:b/>
        </w:rPr>
        <w:t>CGT</w:t>
      </w:r>
      <w:r>
        <w:t xml:space="preserve"> = Capital Gains Tax</w:t>
      </w:r>
    </w:p>
    <w:p>
      <w:pPr>
        <w:pStyle w:val="ListBullet"/>
      </w:pPr>
      <w:r>
        <w:rPr>
          <w:b/>
        </w:rPr>
        <w:t>CT</w:t>
      </w:r>
      <w:r>
        <w:t xml:space="preserve"> = Corporation Tax</w:t>
      </w:r>
    </w:p>
    <w:p>
      <w:pPr>
        <w:pStyle w:val="ListBullet"/>
      </w:pPr>
      <w:r>
        <w:rPr>
          <w:b/>
        </w:rPr>
        <w:t>IHT</w:t>
      </w:r>
      <w:r>
        <w:t xml:space="preserve"> = Inheritance Tax</w:t>
      </w:r>
    </w:p>
    <w:p>
      <w:pPr>
        <w:pStyle w:val="ListBullet"/>
      </w:pPr>
      <w:r>
        <w:rPr>
          <w:b/>
        </w:rPr>
        <w:t>SDLT</w:t>
      </w:r>
      <w:r>
        <w:t xml:space="preserve"> = Stamp Duty Land Tax</w:t>
      </w:r>
    </w:p>
    <w:p>
      <w:pPr>
        <w:pStyle w:val="ListBullet"/>
      </w:pPr>
      <w:r>
        <w:rPr>
          <w:b/>
        </w:rPr>
        <w:t>TP</w:t>
      </w:r>
      <w:r>
        <w:t xml:space="preserve"> = Transfer Pricing</w:t>
      </w:r>
    </w:p>
    <w:p>
      <w:pPr>
        <w:pStyle w:val="ListBullet"/>
      </w:pPr>
      <w:r>
        <w:rPr>
          <w:b/>
        </w:rPr>
        <w:t>DTA</w:t>
      </w:r>
      <w:r>
        <w:t xml:space="preserve"> = Double Taxation Agreement</w:t>
      </w:r>
    </w:p>
    <w:p>
      <w:pPr>
        <w:pStyle w:val="ListBullet"/>
      </w:pPr>
      <w:r>
        <w:rPr>
          <w:b/>
        </w:rPr>
        <w:t>CMC</w:t>
      </w:r>
      <w:r>
        <w:t xml:space="preserve"> = Central Management and Control</w:t>
      </w:r>
    </w:p>
    <w:p>
      <w:pPr>
        <w:pStyle w:val="ListBullet"/>
      </w:pPr>
      <w:r>
        <w:rPr>
          <w:b/>
        </w:rPr>
        <w:t>ToAA</w:t>
      </w:r>
      <w:r>
        <w:t xml:space="preserve"> = Transfer of Assets Abroad / Targeted Anti-Avoidance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Complete Question Inventory</w:t>
      </w:r>
    </w:p>
    <w:p>
      <w:pPr>
        <w:pStyle w:val="Heading3"/>
      </w:pPr>
      <w:r>
        <w:t>December 2020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Sub-topics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Corporate Residence</w:t>
            </w:r>
          </w:p>
        </w:tc>
        <w:tc>
          <w:tcPr>
            <w:tcW w:type="dxa" w:w="1728"/>
          </w:tcPr>
          <w:p>
            <w:r/>
            <w:r>
              <w:t>Central management and control, dual residence, UK CT consequences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Individual Residence (SRT)</w:t>
            </w:r>
          </w:p>
        </w:tc>
        <w:tc>
          <w:tcPr>
            <w:tcW w:type="dxa" w:w="1728"/>
          </w:tcPr>
          <w:p>
            <w:r/>
            <w:r>
              <w:t>Automatic tests, sufficient ties, temporary non-residence, anti-avoidance (BVI company)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Permanent Establishment</w:t>
            </w:r>
          </w:p>
        </w:tc>
        <w:tc>
          <w:tcPr>
            <w:tcW w:type="dxa" w:w="1728"/>
          </w:tcPr>
          <w:p>
            <w:r/>
            <w:r>
              <w:t>Fixed place PE, preparatory/auxiliary activities, profit attribution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Domicile &amp; Remittance Basis</w:t>
            </w:r>
          </w:p>
        </w:tc>
        <w:tc>
          <w:tcPr>
            <w:tcW w:type="dxa" w:w="1728"/>
          </w:tcPr>
          <w:p>
            <w:r/>
            <w:r>
              <w:t>Domicile of origin/choice, remittance basis, overseas workday relief, IHT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ORIP</w:t>
            </w:r>
          </w:p>
        </w:tc>
        <w:tc>
          <w:tcPr>
            <w:tcW w:type="dxa" w:w="1728"/>
          </w:tcPr>
          <w:p>
            <w:r/>
            <w:r>
              <w:t>Offshore Receipts in respect to Intangible Property rules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Non-Resident Property Companies</w:t>
            </w:r>
          </w:p>
        </w:tc>
        <w:tc>
          <w:tcPr>
            <w:tcW w:type="dxa" w:w="1728"/>
          </w:tcPr>
          <w:p>
            <w:r/>
            <w:r>
              <w:t>CT vs IT from April 2020, Corporate Interest Restriction, CGT on disposal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Double Tax Relief</w:t>
            </w:r>
          </w:p>
        </w:tc>
        <w:tc>
          <w:tcPr>
            <w:tcW w:type="dxa" w:w="1728"/>
          </w:tcPr>
          <w:p>
            <w:r/>
            <w:r>
              <w:t>DTA relief, unilateral relief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Business Investment Relief</w:t>
            </w:r>
          </w:p>
        </w:tc>
        <w:tc>
          <w:tcPr>
            <w:tcW w:type="dxa" w:w="1728"/>
          </w:tcPr>
          <w:p>
            <w:r/>
            <w:r>
              <w:t>BIR conditions, qualifying investments, remittances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ATED</w:t>
            </w:r>
          </w:p>
        </w:tc>
        <w:tc>
          <w:tcPr>
            <w:tcW w:type="dxa" w:w="1728"/>
          </w:tcPr>
          <w:p>
            <w:r/>
            <w:r>
              <w:t>De-enveloping property, IT/CGT/SDLT/ATED/IHT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</w:tbl>
    <w:p/>
    <w:p>
      <w:pPr>
        <w:pStyle w:val="Heading3"/>
      </w:pPr>
      <w:r>
        <w:t>June 2021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Sub-topics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Controlled Foreign Companies</w:t>
            </w:r>
          </w:p>
        </w:tc>
        <w:tc>
          <w:tcPr>
            <w:tcW w:type="dxa" w:w="1728"/>
          </w:tcPr>
          <w:p>
            <w:r/>
            <w:r>
              <w:t>CFC definition, gateway conditions, exemptions, entity level tests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Individual Residence (SRT)</w:t>
            </w:r>
          </w:p>
        </w:tc>
        <w:tc>
          <w:tcPr>
            <w:tcW w:type="dxa" w:w="1728"/>
          </w:tcPr>
          <w:p>
            <w:r/>
            <w:r>
              <w:t>SRT analysis, temporary non-residence rules, dividends and CGT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PE &amp; Transfer Pricing</w:t>
            </w:r>
          </w:p>
        </w:tc>
        <w:tc>
          <w:tcPr>
            <w:tcW w:type="dxa" w:w="1728"/>
          </w:tcPr>
          <w:p>
            <w:r/>
            <w:r>
              <w:t>PE risk review, TP documentation requirements, Country by Country Reporting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Domicile &amp; Remittance Basis</w:t>
            </w:r>
          </w:p>
        </w:tc>
        <w:tc>
          <w:tcPr>
            <w:tcW w:type="dxa" w:w="1728"/>
          </w:tcPr>
          <w:p>
            <w:r/>
            <w:r>
              <w:t>Domicile of origin/choice, remittance basis taxation, BIR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UK Holding Companies</w:t>
            </w:r>
          </w:p>
        </w:tc>
        <w:tc>
          <w:tcPr>
            <w:tcW w:type="dxa" w:w="1728"/>
          </w:tcPr>
          <w:p>
            <w:r/>
            <w:r>
              <w:t>Advantages of UK as holding company jurisdiction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Anti-Hybrid Rules</w:t>
            </w:r>
          </w:p>
        </w:tc>
        <w:tc>
          <w:tcPr>
            <w:tcW w:type="dxa" w:w="1728"/>
          </w:tcPr>
          <w:p>
            <w:r/>
            <w:r>
              <w:t>Hybrid mismatches, hybrid financial instruments, transparent/opaque entities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Non-Resident Property Companies</w:t>
            </w:r>
          </w:p>
        </w:tc>
        <w:tc>
          <w:tcPr>
            <w:tcW w:type="dxa" w:w="1728"/>
          </w:tcPr>
          <w:p>
            <w:r/>
            <w:r>
              <w:t>CT from April 2020, Corporate Interest Restriction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Trusts &amp; Remittance Basis</w:t>
            </w:r>
          </w:p>
        </w:tc>
        <w:tc>
          <w:tcPr>
            <w:tcW w:type="dxa" w:w="1728"/>
          </w:tcPr>
          <w:p>
            <w:r/>
            <w:r>
              <w:t>Non-domiciled, settlor-interested trusts, BIR for property purchase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Corporate Residence &amp; PE</w:t>
            </w:r>
          </w:p>
        </w:tc>
        <w:tc>
          <w:tcPr>
            <w:tcW w:type="dxa" w:w="1728"/>
          </w:tcPr>
          <w:p>
            <w:r/>
            <w:r>
              <w:t>CMC test, director relocation risks, PE creation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</w:tbl>
    <w:p/>
    <w:p>
      <w:pPr>
        <w:pStyle w:val="Heading3"/>
      </w:pPr>
      <w:r>
        <w:t>December 2021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Sub-topics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Controlled Foreign Companies</w:t>
            </w:r>
          </w:p>
        </w:tc>
        <w:tc>
          <w:tcPr>
            <w:tcW w:type="dxa" w:w="1728"/>
          </w:tcPr>
          <w:p>
            <w:r/>
            <w:r>
              <w:t>CFC rules application, multiple subsidiaries, Digital Services Tax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Remittance Basis</w:t>
            </w:r>
          </w:p>
        </w:tc>
        <w:tc>
          <w:tcPr>
            <w:tcW w:type="dxa" w:w="1728"/>
          </w:tcPr>
          <w:p>
            <w:r/>
            <w:r>
              <w:t>Foreign trading income, remittance basis mechanics, offshore matters time limits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Corporate Residence &amp; PE</w:t>
            </w:r>
          </w:p>
        </w:tc>
        <w:tc>
          <w:tcPr>
            <w:tcW w:type="dxa" w:w="1728"/>
          </w:tcPr>
          <w:p>
            <w:r/>
            <w:r>
              <w:t>CMC test, director relocation, dual residence, treaty tie-breaker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Business Investment Relief</w:t>
            </w:r>
          </w:p>
        </w:tc>
        <w:tc>
          <w:tcPr>
            <w:tcW w:type="dxa" w:w="1728"/>
          </w:tcPr>
          <w:p>
            <w:r/>
            <w:r>
              <w:t>BIR conditions, ATED for corporate-owned residential property, SDLT, IHT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UK Holding Companies</w:t>
            </w:r>
          </w:p>
        </w:tc>
        <w:tc>
          <w:tcPr>
            <w:tcW w:type="dxa" w:w="1728"/>
          </w:tcPr>
          <w:p>
            <w:r/>
            <w:r>
              <w:t>Tax advantages of UK as holding company jurisdiction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Anti-Hybrid Rules</w:t>
            </w:r>
          </w:p>
        </w:tc>
        <w:tc>
          <w:tcPr>
            <w:tcW w:type="dxa" w:w="1728"/>
          </w:tcPr>
          <w:p>
            <w:r/>
            <w:r>
              <w:t>Hybrid mismatches, PE/head office arrangements, debt treated as equity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Branch Exemption</w:t>
            </w:r>
          </w:p>
        </w:tc>
        <w:tc>
          <w:tcPr>
            <w:tcW w:type="dxa" w:w="1728"/>
          </w:tcPr>
          <w:p>
            <w:r/>
            <w:r>
              <w:t>Branch exemption election, non-exempt PE taxation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Domicile &amp; IHT</w:t>
            </w:r>
          </w:p>
        </w:tc>
        <w:tc>
          <w:tcPr>
            <w:tcW w:type="dxa" w:w="1728"/>
          </w:tcPr>
          <w:p>
            <w:r/>
            <w:r>
              <w:t>Domicile rules, deemed domicile, IHT implications, offshore trusts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Trust Residence</w:t>
            </w:r>
          </w:p>
        </w:tc>
        <w:tc>
          <w:tcPr>
            <w:tcW w:type="dxa" w:w="1728"/>
          </w:tcPr>
          <w:p>
            <w:r/>
            <w:r>
              <w:t>Trust residence determination, onshoring offshore structures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</w:tbl>
    <w:p/>
    <w:p>
      <w:pPr>
        <w:pStyle w:val="Heading3"/>
      </w:pPr>
      <w:r>
        <w:t>June 2022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Sub-topics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Corporate Interest Restriction</w:t>
            </w:r>
          </w:p>
        </w:tc>
        <w:tc>
          <w:tcPr>
            <w:tcW w:type="dxa" w:w="1728"/>
          </w:tcPr>
          <w:p>
            <w:r/>
            <w:r>
              <w:t>Fixed ratio rule, group ratio, interest deductibility, withholding tax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Individual Residence (SRT)</w:t>
            </w:r>
          </w:p>
        </w:tc>
        <w:tc>
          <w:tcPr>
            <w:tcW w:type="dxa" w:w="1728"/>
          </w:tcPr>
          <w:p>
            <w:r/>
            <w:r>
              <w:t>SRT analysis, split year treatment, remittance basis, pre-arrival planning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Permanent Establishment</w:t>
            </w:r>
          </w:p>
        </w:tc>
        <w:tc>
          <w:tcPr>
            <w:tcW w:type="dxa" w:w="1728"/>
          </w:tcPr>
          <w:p>
            <w:r/>
            <w:r>
              <w:t>Multiple PE scenarios, fixed place test, agency PE, service PE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Business Investment Relief &amp; Property</w:t>
            </w:r>
          </w:p>
        </w:tc>
        <w:tc>
          <w:tcPr>
            <w:tcW w:type="dxa" w:w="1728"/>
          </w:tcPr>
          <w:p>
            <w:r/>
            <w:r>
              <w:t>BIR for property investment, ATED, SDLT, IHT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Corporate Residency Migration</w:t>
            </w:r>
          </w:p>
        </w:tc>
        <w:tc>
          <w:tcPr>
            <w:tcW w:type="dxa" w:w="1728"/>
          </w:tcPr>
          <w:p>
            <w:r/>
            <w:r>
              <w:t>Exit charges, transfer of assets, UK CT implications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Transfer Pricing</w:t>
            </w:r>
          </w:p>
        </w:tc>
        <w:tc>
          <w:tcPr>
            <w:tcW w:type="dxa" w:w="1728"/>
          </w:tcPr>
          <w:p>
            <w:r/>
            <w:r>
              <w:t>Arm's length principle, TP methods, documentation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Mixed Funds</w:t>
            </w:r>
          </w:p>
        </w:tc>
        <w:tc>
          <w:tcPr>
            <w:tcW w:type="dxa" w:w="1728"/>
          </w:tcPr>
          <w:p>
            <w:r/>
            <w:r>
              <w:t>Remittance basis, mixed fund rules, ordering rules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Domicile &amp; Trusts</w:t>
            </w:r>
          </w:p>
        </w:tc>
        <w:tc>
          <w:tcPr>
            <w:tcW w:type="dxa" w:w="1728"/>
          </w:tcPr>
          <w:p>
            <w:r/>
            <w:r>
              <w:t>Domicile rules, offshore trusts, IHT implications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ToAA</w:t>
            </w:r>
          </w:p>
        </w:tc>
        <w:tc>
          <w:tcPr>
            <w:tcW w:type="dxa" w:w="1728"/>
          </w:tcPr>
          <w:p>
            <w:r/>
            <w:r>
              <w:t>Targeted Anti-Avoidance Rules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</w:tbl>
    <w:p/>
    <w:p>
      <w:pPr>
        <w:pStyle w:val="Heading3"/>
      </w:pPr>
      <w:r>
        <w:t>June 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Sub-topics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Corporate Residence &amp; PE</w:t>
            </w:r>
          </w:p>
        </w:tc>
        <w:tc>
          <w:tcPr>
            <w:tcW w:type="dxa" w:w="1728"/>
          </w:tcPr>
          <w:p>
            <w:r/>
            <w:r>
              <w:t>CMC test, director relocation creating PE risks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Individual Residence (SRT)</w:t>
            </w:r>
          </w:p>
        </w:tc>
        <w:tc>
          <w:tcPr>
            <w:tcW w:type="dxa" w:w="1728"/>
          </w:tcPr>
          <w:p>
            <w:r/>
            <w:r>
              <w:t>SRT analysis, remittance basis, split year treatment, trading income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Controlled Foreign Companies</w:t>
            </w:r>
          </w:p>
        </w:tc>
        <w:tc>
          <w:tcPr>
            <w:tcW w:type="dxa" w:w="1728"/>
          </w:tcPr>
          <w:p>
            <w:r/>
            <w:r>
              <w:t>CFC rules, 4 subsidiary scenarios, gateway conditions, exemptions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Mixed Funds &amp; BIR</w:t>
            </w:r>
          </w:p>
        </w:tc>
        <w:tc>
          <w:tcPr>
            <w:tcW w:type="dxa" w:w="1728"/>
          </w:tcPr>
          <w:p>
            <w:r/>
            <w:r>
              <w:t>Mixed fund rules, Business Investment Relief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Corporate Residency Change</w:t>
            </w:r>
          </w:p>
        </w:tc>
        <w:tc>
          <w:tcPr>
            <w:tcW w:type="dxa" w:w="1728"/>
          </w:tcPr>
          <w:p>
            <w:r/>
            <w:r>
              <w:t>Migration of company, exit charges, UK CT implications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Transfer Pricing Compliance</w:t>
            </w:r>
          </w:p>
        </w:tc>
        <w:tc>
          <w:tcPr>
            <w:tcW w:type="dxa" w:w="1728"/>
          </w:tcPr>
          <w:p>
            <w:r/>
            <w:r>
              <w:t>TP documentation, penalties, advance pricing agreements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Permanent Establishment</w:t>
            </w:r>
          </w:p>
        </w:tc>
        <w:tc>
          <w:tcPr>
            <w:tcW w:type="dxa" w:w="1728"/>
          </w:tcPr>
          <w:p>
            <w:r/>
            <w:r>
              <w:t>PE analysis, treaty provisions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ATED</w:t>
            </w:r>
          </w:p>
        </w:tc>
        <w:tc>
          <w:tcPr>
            <w:tcW w:type="dxa" w:w="1728"/>
          </w:tcPr>
          <w:p>
            <w:r/>
            <w:r>
              <w:t>Annual Tax on Enveloped Dwellings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Domicile &amp; Trusts</w:t>
            </w:r>
          </w:p>
        </w:tc>
        <w:tc>
          <w:tcPr>
            <w:tcW w:type="dxa" w:w="1728"/>
          </w:tcPr>
          <w:p>
            <w:r/>
            <w:r>
              <w:t>Domicile rules, offshore trust taxation, IHT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</w:tbl>
    <w:p/>
    <w:p>
      <w:pPr>
        <w:pStyle w:val="Heading3"/>
      </w:pPr>
      <w:r>
        <w:t>June 2024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Sub-topics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Individual Residence &amp; PE</w:t>
            </w:r>
          </w:p>
        </w:tc>
        <w:tc>
          <w:tcPr>
            <w:tcW w:type="dxa" w:w="1728"/>
          </w:tcPr>
          <w:p>
            <w:r/>
            <w:r>
              <w:t>SRT analysis, PE risks, remittance basis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Corporate Interest Restriction</w:t>
            </w:r>
          </w:p>
        </w:tc>
        <w:tc>
          <w:tcPr>
            <w:tcW w:type="dxa" w:w="1728"/>
          </w:tcPr>
          <w:p>
            <w:r/>
            <w:r>
              <w:t>Corporate expansion, PE implications, interest deductibility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Remittance Basis &amp; Mixed Funds</w:t>
            </w:r>
          </w:p>
        </w:tc>
        <w:tc>
          <w:tcPr>
            <w:tcW w:type="dxa" w:w="1728"/>
          </w:tcPr>
          <w:p>
            <w:r/>
            <w:r>
              <w:t>Remittance basis, mixed fund rules, ToAA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Thin Capitalization</w:t>
            </w:r>
          </w:p>
        </w:tc>
        <w:tc>
          <w:tcPr>
            <w:tcW w:type="dxa" w:w="1728"/>
          </w:tcPr>
          <w:p>
            <w:r/>
            <w:r>
              <w:t>Arm's length debt test, ATCA process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Digital Services Tax</w:t>
            </w:r>
          </w:p>
        </w:tc>
        <w:tc>
          <w:tcPr>
            <w:tcW w:type="dxa" w:w="1728"/>
          </w:tcPr>
          <w:p>
            <w:r/>
            <w:r>
              <w:t>DST application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Transfer Pricing Documentation</w:t>
            </w:r>
          </w:p>
        </w:tc>
        <w:tc>
          <w:tcPr>
            <w:tcW w:type="dxa" w:w="1728"/>
          </w:tcPr>
          <w:p>
            <w:r/>
            <w:r>
              <w:t>Master file, local file requirements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International Movement of Capital</w:t>
            </w:r>
          </w:p>
        </w:tc>
        <w:tc>
          <w:tcPr>
            <w:tcW w:type="dxa" w:w="1728"/>
          </w:tcPr>
          <w:p>
            <w:r/>
            <w:r>
              <w:t>Cross-border restrictions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Treaty Residence</w:t>
            </w:r>
          </w:p>
        </w:tc>
        <w:tc>
          <w:tcPr>
            <w:tcW w:type="dxa" w:w="1728"/>
          </w:tcPr>
          <w:p>
            <w:r/>
            <w:r>
              <w:t>Dual residence tie-breaker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Non-Resident Trusts CGT</w:t>
            </w:r>
          </w:p>
        </w:tc>
        <w:tc>
          <w:tcPr>
            <w:tcW w:type="dxa" w:w="1728"/>
          </w:tcPr>
          <w:p>
            <w:r/>
            <w:r>
              <w:t>Offshore trusts, UK property disposal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</w:tbl>
    <w:p/>
    <w:p>
      <w:pPr>
        <w:pStyle w:val="Heading3"/>
      </w:pPr>
      <w:r>
        <w:t>December 2024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Sub-topics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Corporate Interest Restriction</w:t>
            </w:r>
          </w:p>
        </w:tc>
        <w:tc>
          <w:tcPr>
            <w:tcW w:type="dxa" w:w="1728"/>
          </w:tcPr>
          <w:p>
            <w:r/>
            <w:r>
              <w:t>Interest deductibility, PE in Ireland, withholding tax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Individual Residence (SRT)</w:t>
            </w:r>
          </w:p>
        </w:tc>
        <w:tc>
          <w:tcPr>
            <w:tcW w:type="dxa" w:w="1728"/>
          </w:tcPr>
          <w:p>
            <w:r/>
            <w:r>
              <w:t>Automatic overseas/UK tests, sufficient ties, employment income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Corporate Residency Change</w:t>
            </w:r>
          </w:p>
        </w:tc>
        <w:tc>
          <w:tcPr>
            <w:tcW w:type="dxa" w:w="1728"/>
          </w:tcPr>
          <w:p>
            <w:r/>
            <w:r>
              <w:t>Migration implications, exit charges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Domicile &amp; Remittance Basis</w:t>
            </w:r>
          </w:p>
        </w:tc>
        <w:tc>
          <w:tcPr>
            <w:tcW w:type="dxa" w:w="1728"/>
          </w:tcPr>
          <w:p>
            <w:r/>
            <w:r>
              <w:t>Domicile rules, remittance basis calculations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Digital Services Tax</w:t>
            </w:r>
          </w:p>
        </w:tc>
        <w:tc>
          <w:tcPr>
            <w:tcW w:type="dxa" w:w="1728"/>
          </w:tcPr>
          <w:p>
            <w:r/>
            <w:r>
              <w:t>DST rules, thresholds, calculation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Transfer Pricing</w:t>
            </w:r>
          </w:p>
        </w:tc>
        <w:tc>
          <w:tcPr>
            <w:tcW w:type="dxa" w:w="1728"/>
          </w:tcPr>
          <w:p>
            <w:r/>
            <w:r>
              <w:t>TP rules, OECD Guidelines, documentation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International Movement of Capital</w:t>
            </w:r>
          </w:p>
        </w:tc>
        <w:tc>
          <w:tcPr>
            <w:tcW w:type="dxa" w:w="1728"/>
          </w:tcPr>
          <w:p>
            <w:r/>
            <w:r>
              <w:t>EU law implications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Treaty Residence</w:t>
            </w:r>
          </w:p>
        </w:tc>
        <w:tc>
          <w:tcPr>
            <w:tcW w:type="dxa" w:w="1728"/>
          </w:tcPr>
          <w:p>
            <w:r/>
            <w:r>
              <w:t>Dual residence, tie-breaker rules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Non-Resident Trusts CGT</w:t>
            </w:r>
          </w:p>
        </w:tc>
        <w:tc>
          <w:tcPr>
            <w:tcW w:type="dxa" w:w="1728"/>
          </w:tcPr>
          <w:p>
            <w:r/>
            <w:r>
              <w:t>CGT on offshore trusts, UK residential property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</w:tbl>
    <w:p/>
    <w:p>
      <w:pPr>
        <w:pStyle w:val="Heading3"/>
      </w:pPr>
      <w:r>
        <w:t>June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Sub-topics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Individual Residence (SRT)</w:t>
            </w:r>
          </w:p>
        </w:tc>
        <w:tc>
          <w:tcPr>
            <w:tcW w:type="dxa" w:w="1728"/>
          </w:tcPr>
          <w:p>
            <w:r/>
            <w:r>
              <w:t>SRT analysis, DTA tie-breaker, temporary non-residence, CGT on prior gains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Corporate Residence &amp; PE</w:t>
            </w:r>
          </w:p>
        </w:tc>
        <w:tc>
          <w:tcPr>
            <w:tcW w:type="dxa" w:w="1728"/>
          </w:tcPr>
          <w:p>
            <w:r/>
            <w:r>
              <w:t>PE risks (branch vs subsidiary), unallowable purpose rule, withholding tax, dividends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Offshore Insurance Bonds</w:t>
            </w:r>
          </w:p>
        </w:tc>
        <w:tc>
          <w:tcPr>
            <w:tcW w:type="dxa" w:w="1728"/>
          </w:tcPr>
          <w:p>
            <w:r/>
            <w:r>
              <w:t>Tax features, remittance basis, anti-avoidance, investment restrictions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B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Controlled Foreign Companies</w:t>
            </w:r>
          </w:p>
        </w:tc>
        <w:tc>
          <w:tcPr>
            <w:tcW w:type="dxa" w:w="1728"/>
          </w:tcPr>
          <w:p>
            <w:r/>
            <w:r>
              <w:t>CFC purpose, key features, entity-level analysis, CFC charge calculation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Deemed Domicile</w:t>
            </w:r>
          </w:p>
        </w:tc>
        <w:tc>
          <w:tcPr>
            <w:tcW w:type="dxa" w:w="1728"/>
          </w:tcPr>
          <w:p>
            <w:r/>
            <w:r>
              <w:t>Timing of deemed domicile, IT/CGT/IHT consequences, protected settlements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Domicile of Choice &amp; Trusts</w:t>
            </w:r>
          </w:p>
        </w:tc>
        <w:tc>
          <w:tcPr>
            <w:tcW w:type="dxa" w:w="1728"/>
          </w:tcPr>
          <w:p>
            <w:r/>
            <w:r>
              <w:t>Domicile of choice implications, offshore trust taxation, IHT 10-year charge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Transfer Pricing</w:t>
            </w:r>
          </w:p>
        </w:tc>
        <w:tc>
          <w:tcPr>
            <w:tcW w:type="dxa" w:w="1728"/>
          </w:tcPr>
          <w:p>
            <w:r/>
            <w:r>
              <w:t>SME exemption, TP methodologies, Advance Pricing Agreements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Corporate Interest Restriction</w:t>
            </w:r>
          </w:p>
        </w:tc>
        <w:tc>
          <w:tcPr>
            <w:tcW w:type="dxa" w:w="1728"/>
          </w:tcPr>
          <w:p>
            <w:r/>
            <w:r>
              <w:t>CIR rules overview, interaction with other regimes, carry-forward limitations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  <w:tr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Diverted Profits Tax</w:t>
            </w:r>
          </w:p>
        </w:tc>
        <w:tc>
          <w:tcPr>
            <w:tcW w:type="dxa" w:w="1728"/>
          </w:tcPr>
          <w:p>
            <w:r/>
            <w:r>
              <w:t>DPT purpose and scope, notification requirements, double taxation risks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Topic Frequency Analysis</w:t>
      </w:r>
    </w:p>
    <w:p>
      <w:pPr>
        <w:pStyle w:val="Heading3"/>
      </w:pPr>
      <w:r>
        <w:t>High-Frequency Topics (Appearing 5+ times across 8 sessions)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 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 B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 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% Appearance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Individual Residence (SRT)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8/8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100%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Domicile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7/8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88%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Remittance Basis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6/8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75%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Transfer Pricing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6/8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75%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Corporate Residence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5/8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63%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Permanent Establishment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5/8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63%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Business Investment Relief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5/8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63%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Controlled Foreign Companies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4/8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Corporate Interest Restriction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4/8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50%</w:t>
            </w:r>
          </w:p>
        </w:tc>
      </w:tr>
    </w:tbl>
    <w:p/>
    <w:p>
      <w:pPr>
        <w:pStyle w:val="Heading3"/>
      </w:pPr>
      <w:r>
        <w:t>Medium-Frequency Topics (Appearing 3-4 times)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 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 B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 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% Appearance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Trusts (Offshore/Non-Resident)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5/8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63%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ATED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4/8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Withholding Tax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4/8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Digital Services Tax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3/8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Mixed Funds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3/8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Thin Capitalization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3/8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Corporate Residency Migration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3/8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Split Year Treatment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3/8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Treaty Residence (DTA tie-breaker)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3/8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38%</w:t>
            </w:r>
          </w:p>
        </w:tc>
      </w:tr>
    </w:tbl>
    <w:p/>
    <w:p>
      <w:pPr>
        <w:pStyle w:val="Heading3"/>
      </w:pPr>
      <w:r>
        <w:t>Emerging Topics (Appearing 1-2 times)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Sessions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Anti-Hybrid Rules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2/8</w:t>
            </w:r>
          </w:p>
        </w:tc>
        <w:tc>
          <w:tcPr>
            <w:tcW w:type="dxa" w:w="2160"/>
          </w:tcPr>
          <w:p>
            <w:r/>
            <w:r>
              <w:t>Dec 2021, June 2021</w:t>
            </w:r>
          </w:p>
        </w:tc>
        <w:tc>
          <w:tcPr>
            <w:tcW w:type="dxa" w:w="2160"/>
          </w:tcPr>
          <w:p>
            <w:r/>
            <w:r>
              <w:t>→ Stable (no recent appearance)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ToAA (Targeted Anti-Avoidance)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2/8</w:t>
            </w:r>
          </w:p>
        </w:tc>
        <w:tc>
          <w:tcPr>
            <w:tcW w:type="dxa" w:w="2160"/>
          </w:tcPr>
          <w:p>
            <w:r/>
            <w:r>
              <w:t>June 2022, June 2024</w:t>
            </w:r>
          </w:p>
        </w:tc>
        <w:tc>
          <w:tcPr>
            <w:tcW w:type="dxa" w:w="2160"/>
          </w:tcPr>
          <w:p>
            <w:r/>
            <w:r>
              <w:t>↑ Increasing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Diverted Profits Tax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1/8</w:t>
            </w:r>
          </w:p>
        </w:tc>
        <w:tc>
          <w:tcPr>
            <w:tcW w:type="dxa" w:w="2160"/>
          </w:tcPr>
          <w:p>
            <w:r/>
            <w:r>
              <w:t>June 2025</w:t>
            </w:r>
          </w:p>
        </w:tc>
        <w:tc>
          <w:tcPr>
            <w:tcW w:type="dxa" w:w="2160"/>
          </w:tcPr>
          <w:p>
            <w:r/>
            <w:r>
              <w:t>↑ NEW - High priority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Offshore Insurance Bonds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1/8</w:t>
            </w:r>
          </w:p>
        </w:tc>
        <w:tc>
          <w:tcPr>
            <w:tcW w:type="dxa" w:w="2160"/>
          </w:tcPr>
          <w:p>
            <w:r/>
            <w:r>
              <w:t>June 2025</w:t>
            </w:r>
          </w:p>
        </w:tc>
        <w:tc>
          <w:tcPr>
            <w:tcW w:type="dxa" w:w="2160"/>
          </w:tcPr>
          <w:p>
            <w:r/>
            <w:r>
              <w:t>↑ NEW - Watch carefully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Unallowable Purpose Rule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1/8</w:t>
            </w:r>
          </w:p>
        </w:tc>
        <w:tc>
          <w:tcPr>
            <w:tcW w:type="dxa" w:w="2160"/>
          </w:tcPr>
          <w:p>
            <w:r/>
            <w:r>
              <w:t>June 2025</w:t>
            </w:r>
          </w:p>
        </w:tc>
        <w:tc>
          <w:tcPr>
            <w:tcW w:type="dxa" w:w="2160"/>
          </w:tcPr>
          <w:p>
            <w:r/>
            <w:r>
              <w:t>↑ NEW - CIR sub-topic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Protected Settlements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1/8</w:t>
            </w:r>
          </w:p>
        </w:tc>
        <w:tc>
          <w:tcPr>
            <w:tcW w:type="dxa" w:w="2160"/>
          </w:tcPr>
          <w:p>
            <w:r/>
            <w:r>
              <w:t>June 2025</w:t>
            </w:r>
          </w:p>
        </w:tc>
        <w:tc>
          <w:tcPr>
            <w:tcW w:type="dxa" w:w="2160"/>
          </w:tcPr>
          <w:p>
            <w:r/>
            <w:r>
              <w:t>↑ NEW - Domicile planning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Branch Exemption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1/8</w:t>
            </w:r>
          </w:p>
        </w:tc>
        <w:tc>
          <w:tcPr>
            <w:tcW w:type="dxa" w:w="2160"/>
          </w:tcPr>
          <w:p>
            <w:r/>
            <w:r>
              <w:t>Dec 2021</w:t>
            </w:r>
          </w:p>
        </w:tc>
        <w:tc>
          <w:tcPr>
            <w:tcW w:type="dxa" w:w="2160"/>
          </w:tcPr>
          <w:p>
            <w:r/>
            <w:r>
              <w:t>↓ Declining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ORIP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1/8</w:t>
            </w:r>
          </w:p>
        </w:tc>
        <w:tc>
          <w:tcPr>
            <w:tcW w:type="dxa" w:w="2160"/>
          </w:tcPr>
          <w:p>
            <w:r/>
            <w:r>
              <w:t>Dec 2020</w:t>
            </w:r>
          </w:p>
        </w:tc>
        <w:tc>
          <w:tcPr>
            <w:tcW w:type="dxa" w:w="2160"/>
          </w:tcPr>
          <w:p>
            <w:r/>
            <w:r>
              <w:t>↓ Declining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Country by Country Reporting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1/8</w:t>
            </w:r>
          </w:p>
        </w:tc>
        <w:tc>
          <w:tcPr>
            <w:tcW w:type="dxa" w:w="2160"/>
          </w:tcPr>
          <w:p>
            <w:r/>
            <w:r>
              <w:t>June 2021</w:t>
            </w:r>
          </w:p>
        </w:tc>
        <w:tc>
          <w:tcPr>
            <w:tcW w:type="dxa" w:w="2160"/>
          </w:tcPr>
          <w:p>
            <w:r/>
            <w:r>
              <w:t>↓ Declining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Part A Analysis (50 marks)</w:t>
      </w:r>
    </w:p>
    <w:p>
      <w:r>
        <w:rPr>
          <w:b/>
        </w:rPr>
        <w:t>Part A consists of 2 compulsory questions, each worth 25 marks.</w:t>
      </w:r>
    </w:p>
    <w:p>
      <w:pPr>
        <w:pStyle w:val="Heading3"/>
      </w:pPr>
      <w:r>
        <w:t>Core Topics (Part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Individual Residence (SRT)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8/8 (100%)</w:t>
            </w:r>
          </w:p>
        </w:tc>
        <w:tc>
          <w:tcPr>
            <w:tcW w:type="dxa" w:w="2880"/>
          </w:tcPr>
          <w:p>
            <w:r/>
            <w:r>
              <w:t>ALL sessions - GUARANTEED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Corporate Interest Restriction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3/8</w:t>
            </w:r>
          </w:p>
        </w:tc>
        <w:tc>
          <w:tcPr>
            <w:tcW w:type="dxa" w:w="2880"/>
          </w:tcPr>
          <w:p>
            <w:r/>
            <w:r>
              <w:t>June 2022, Dec 2024, June 2024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Controlled Foreign Companies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3/8</w:t>
            </w:r>
          </w:p>
        </w:tc>
        <w:tc>
          <w:tcPr>
            <w:tcW w:type="dxa" w:w="2880"/>
          </w:tcPr>
          <w:p>
            <w:r/>
            <w:r>
              <w:t>June 2021, Dec 2021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Corporate Residence &amp; 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3/8</w:t>
            </w:r>
          </w:p>
        </w:tc>
        <w:tc>
          <w:tcPr>
            <w:tcW w:type="dxa" w:w="2880"/>
          </w:tcPr>
          <w:p>
            <w:r/>
            <w:r>
              <w:t>Dec 2020, June 2023, June 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Remittance Basis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2/8</w:t>
            </w:r>
          </w:p>
        </w:tc>
        <w:tc>
          <w:tcPr>
            <w:tcW w:type="dxa" w:w="2880"/>
          </w:tcPr>
          <w:p>
            <w:r/>
            <w:r>
              <w:t>Dec 2021, June 2023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Permanent Establishment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1/8</w:t>
            </w:r>
          </w:p>
        </w:tc>
        <w:tc>
          <w:tcPr>
            <w:tcW w:type="dxa" w:w="2880"/>
          </w:tcPr>
          <w:p>
            <w:r/>
            <w:r>
              <w:t>June 2024 (as primary topic)</w:t>
            </w:r>
          </w:p>
        </w:tc>
      </w:tr>
    </w:tbl>
    <w:p/>
    <w:p>
      <w:pPr>
        <w:pStyle w:val="Heading3"/>
      </w:pPr>
      <w:r>
        <w:t>Part A Patterns</w:t>
      </w:r>
    </w:p>
    <w:p>
      <w:r>
        <w:rPr>
          <w:b/>
        </w:rPr>
        <w:t>Pattern 1: Individual Residence is ALWAYS tested (100%)</w:t>
      </w:r>
    </w:p>
    <w:p>
      <w:pPr>
        <w:pStyle w:val="ListBullet"/>
      </w:pPr>
      <w:r>
        <w:rPr>
          <w:b/>
        </w:rPr>
        <w:t>Every exam</w:t>
      </w:r>
      <w:r>
        <w:t xml:space="preserve"> contains at least one question on Individual Residence (SRT)</w:t>
      </w:r>
    </w:p>
    <w:p>
      <w:pPr>
        <w:pStyle w:val="ListBullet"/>
      </w:pPr>
      <w:r>
        <w:t>Usually Part A Q2, sometimes Part A Q1</w:t>
      </w:r>
    </w:p>
    <w:p>
      <w:pPr>
        <w:pStyle w:val="ListBullet"/>
      </w:pPr>
      <w:r>
        <w:t>Common sub-topics:</w:t>
      </w:r>
    </w:p>
    <w:p>
      <w:pPr>
        <w:pStyle w:val="ListBullet"/>
        <w:ind w:left="360"/>
      </w:pPr>
      <w:r>
        <w:t>Automatic overseas/UK tests</w:t>
      </w:r>
    </w:p>
    <w:p>
      <w:pPr>
        <w:pStyle w:val="ListBullet"/>
        <w:ind w:left="360"/>
      </w:pPr>
      <w:r>
        <w:t>Sufficient ties test</w:t>
      </w:r>
    </w:p>
    <w:p>
      <w:pPr>
        <w:pStyle w:val="ListBullet"/>
        <w:ind w:left="360"/>
      </w:pPr>
      <w:r>
        <w:t>Split year treatment (43%)</w:t>
      </w:r>
    </w:p>
    <w:p>
      <w:pPr>
        <w:pStyle w:val="ListBullet"/>
        <w:ind w:left="360"/>
      </w:pPr>
      <w:r>
        <w:t>Days counting and tie analysis</w:t>
      </w:r>
    </w:p>
    <w:p>
      <w:pPr>
        <w:pStyle w:val="ListBullet"/>
        <w:ind w:left="360"/>
      </w:pPr>
      <w:r>
        <w:t>Temporary non-residence rules (71%)</w:t>
      </w:r>
    </w:p>
    <w:p>
      <w:r>
        <w:rPr>
          <w:b/>
        </w:rPr>
        <w:t>Pattern 2: Corporate Topics Rotate</w:t>
      </w:r>
    </w:p>
    <w:p>
      <w:pPr>
        <w:pStyle w:val="ListBullet"/>
      </w:pPr>
      <w:r>
        <w:t>Corporate Residence (2/7)</w:t>
      </w:r>
    </w:p>
    <w:p>
      <w:pPr>
        <w:pStyle w:val="ListBullet"/>
      </w:pPr>
      <w:r>
        <w:t>CFCs (3/7)</w:t>
      </w:r>
    </w:p>
    <w:p>
      <w:pPr>
        <w:pStyle w:val="ListBullet"/>
      </w:pPr>
      <w:r>
        <w:t>Corporate Interest Restriction (3/7)</w:t>
      </w:r>
    </w:p>
    <w:p>
      <w:pPr>
        <w:pStyle w:val="ListBullet"/>
      </w:pPr>
      <w:r>
        <w:t>These topics rotate but at least one appears in Part A each session</w:t>
      </w:r>
    </w:p>
    <w:p>
      <w:r>
        <w:rPr>
          <w:b/>
        </w:rPr>
        <w:t>Pattern 3: Integration with Other Topics</w:t>
      </w:r>
    </w:p>
    <w:p>
      <w:r>
        <w:t>Part A questions frequently integrate multiple topics:</w:t>
      </w:r>
    </w:p>
    <w:p>
      <w:pPr>
        <w:pStyle w:val="ListBullet"/>
      </w:pPr>
      <w:r>
        <w:t>SRT + Remittance Basis (4/7)</w:t>
      </w:r>
    </w:p>
    <w:p>
      <w:pPr>
        <w:pStyle w:val="ListBullet"/>
      </w:pPr>
      <w:r>
        <w:t>SRT + Temporary Non-Residence + CGT (3/7)</w:t>
      </w:r>
    </w:p>
    <w:p>
      <w:pPr>
        <w:pStyle w:val="ListBullet"/>
      </w:pPr>
      <w:r>
        <w:t>Corporate Residence + PE (2/7)</w:t>
      </w:r>
    </w:p>
    <w:p>
      <w:pPr>
        <w:pStyle w:val="ListBullet"/>
      </w:pPr>
      <w:r>
        <w:t>Corporate Interest Restriction + PE + Withholding Tax (2/7)</w:t>
      </w:r>
    </w:p>
    <w:p>
      <w:r>
        <w:rPr>
          <w:b/>
        </w:rPr>
        <w:t>Typical Question Structure:</w:t>
      </w:r>
    </w:p>
    <w:p>
      <w:pPr>
        <w:pStyle w:val="ListNumber"/>
      </w:pPr>
      <w:r>
        <w:rPr>
          <w:b/>
        </w:rPr>
        <w:t>Scenario:</w:t>
      </w:r>
      <w:r>
        <w:t xml:space="preserve"> Complex fact pattern with international element</w:t>
      </w:r>
    </w:p>
    <w:p>
      <w:pPr>
        <w:pStyle w:val="ListNumber"/>
      </w:pPr>
      <w:r>
        <w:rPr>
          <w:b/>
        </w:rPr>
        <w:t>Part 1 (12-13 marks):</w:t>
      </w:r>
      <w:r>
        <w:t xml:space="preserve"> Analysis of main tax position</w:t>
      </w:r>
    </w:p>
    <w:p>
      <w:pPr>
        <w:pStyle w:val="ListNumber"/>
      </w:pPr>
      <w:r>
        <w:rPr>
          <w:b/>
        </w:rPr>
        <w:t>Part 2 (12-13 marks):</w:t>
      </w:r>
      <w:r>
        <w:t xml:space="preserve"> Consequences or alternative scenarios</w:t>
      </w:r>
    </w:p>
    <w:p>
      <w:pPr>
        <w:pStyle w:val="ListNumber"/>
      </w:pPr>
      <w:r>
        <w:rPr>
          <w:b/>
        </w:rPr>
        <w:t>Professional skills:</w:t>
      </w:r>
      <w:r>
        <w:t xml:space="preserve"> Clear structure, legislation references, practical advice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Part B Analysis (20 marks)</w:t>
      </w:r>
    </w:p>
    <w:p>
      <w:r>
        <w:rPr>
          <w:b/>
        </w:rPr>
        <w:t>Part B offers 2 questions; students choose 1 question worth 20 marks.</w:t>
      </w:r>
    </w:p>
    <w:p>
      <w:pPr>
        <w:pStyle w:val="Heading3"/>
      </w:pPr>
      <w:r>
        <w:t>Core Topics (Part 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Q3 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Q4 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Permanent Establishment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3/7 (43%)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Domicile &amp; Remittance Basis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3/7 (43%)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Business Investment Relief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3/7 (43%)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Controlled Foreign Companies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 (14%)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Corporate Residency Change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 (14%)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Transfer Pricing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 (14%)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Mixed Funds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2/7 (29%)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Thin Capitalization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 (14%)</w:t>
            </w:r>
          </w:p>
        </w:tc>
      </w:tr>
    </w:tbl>
    <w:p/>
    <w:p>
      <w:pPr>
        <w:pStyle w:val="Heading3"/>
      </w:pPr>
      <w:r>
        <w:t>Part B Patterns</w:t>
      </w:r>
    </w:p>
    <w:p>
      <w:r>
        <w:rPr>
          <w:b/>
        </w:rPr>
        <w:t>Pattern 1: Question 3 tends to focus on Corporate/PE topics</w:t>
      </w:r>
    </w:p>
    <w:p>
      <w:pPr>
        <w:pStyle w:val="ListBullet"/>
      </w:pPr>
      <w:r>
        <w:t>Permanent Establishment (3/7)</w:t>
      </w:r>
    </w:p>
    <w:p>
      <w:pPr>
        <w:pStyle w:val="ListBullet"/>
      </w:pPr>
      <w:r>
        <w:t>Corporate Residency Change (1/7)</w:t>
      </w:r>
    </w:p>
    <w:p>
      <w:pPr>
        <w:pStyle w:val="ListBullet"/>
      </w:pPr>
      <w:r>
        <w:t>CFCs (1/7)</w:t>
      </w:r>
    </w:p>
    <w:p>
      <w:pPr>
        <w:pStyle w:val="ListBullet"/>
      </w:pPr>
      <w:r>
        <w:t>Transfer Pricing &amp; PE (1/7)</w:t>
      </w:r>
    </w:p>
    <w:p>
      <w:pPr>
        <w:pStyle w:val="ListBullet"/>
      </w:pPr>
      <w:r>
        <w:t>Remittance Basis &amp; Mixed Funds (1/7)</w:t>
      </w:r>
    </w:p>
    <w:p>
      <w:r>
        <w:rPr>
          <w:b/>
        </w:rPr>
        <w:t>Pattern 2: Question 4 tends to focus on Individual/Property topics</w:t>
      </w:r>
    </w:p>
    <w:p>
      <w:pPr>
        <w:pStyle w:val="ListBullet"/>
      </w:pPr>
      <w:r>
        <w:t>Domicile &amp; Remittance Basis (3/7)</w:t>
      </w:r>
    </w:p>
    <w:p>
      <w:pPr>
        <w:pStyle w:val="ListBullet"/>
      </w:pPr>
      <w:r>
        <w:t>Business Investment Relief (often combined with property) (3/7)</w:t>
      </w:r>
    </w:p>
    <w:p>
      <w:pPr>
        <w:pStyle w:val="ListBullet"/>
      </w:pPr>
      <w:r>
        <w:t>Mixed Funds (1/7)</w:t>
      </w:r>
    </w:p>
    <w:p>
      <w:pPr>
        <w:pStyle w:val="ListBullet"/>
      </w:pPr>
      <w:r>
        <w:t>Thin Capitalization (1/7)</w:t>
      </w:r>
    </w:p>
    <w:p>
      <w:r>
        <w:rPr>
          <w:b/>
        </w:rPr>
        <w:t>Pattern 3: Depth of Analysis</w:t>
      </w:r>
    </w:p>
    <w:p>
      <w:r>
        <w:t>Part B questions require:</w:t>
      </w:r>
    </w:p>
    <w:p>
      <w:pPr>
        <w:pStyle w:val="ListBullet"/>
      </w:pPr>
      <w:r>
        <w:t>Deeper technical analysis than Part C</w:t>
      </w:r>
    </w:p>
    <w:p>
      <w:pPr>
        <w:pStyle w:val="ListBullet"/>
      </w:pPr>
      <w:r>
        <w:t>Application to specific scenarios</w:t>
      </w:r>
    </w:p>
    <w:p>
      <w:pPr>
        <w:pStyle w:val="ListBullet"/>
      </w:pPr>
      <w:r>
        <w:t>Consideration of multiple sub-topics within main topic</w:t>
      </w:r>
    </w:p>
    <w:p>
      <w:pPr>
        <w:pStyle w:val="ListBullet"/>
      </w:pPr>
      <w:r>
        <w:t>Professional judgment and recommendations</w:t>
      </w:r>
    </w:p>
    <w:p>
      <w:r>
        <w:rPr>
          <w:b/>
        </w:rPr>
        <w:t>Common Sub-Topics in Part B:</w:t>
      </w:r>
    </w:p>
    <w:p>
      <w:pPr>
        <w:pStyle w:val="ListBullet"/>
      </w:pPr>
      <w:r>
        <w:rPr>
          <w:b/>
        </w:rPr>
        <w:t>PE:</w:t>
      </w:r>
      <w:r>
        <w:t xml:space="preserve"> Fixed place test, agency PE, service PE, profit attribution, treaty modifications</w:t>
      </w:r>
    </w:p>
    <w:p>
      <w:pPr>
        <w:pStyle w:val="ListBullet"/>
      </w:pPr>
      <w:r>
        <w:rPr>
          <w:b/>
        </w:rPr>
        <w:t>Domicile:</w:t>
      </w:r>
      <w:r>
        <w:t xml:space="preserve"> Origin, choice, deemed domicile, IHT implications</w:t>
      </w:r>
    </w:p>
    <w:p>
      <w:pPr>
        <w:pStyle w:val="ListBullet"/>
      </w:pPr>
      <w:r>
        <w:rPr>
          <w:b/>
        </w:rPr>
        <w:t>BIR:</w:t>
      </w:r>
      <w:r>
        <w:t xml:space="preserve"> Qualifying investments, holding periods, clawback, interaction with ATED</w:t>
      </w:r>
    </w:p>
    <w:p>
      <w:pPr>
        <w:pStyle w:val="ListBullet"/>
      </w:pPr>
      <w:r>
        <w:rPr>
          <w:b/>
        </w:rPr>
        <w:t>Remittance Basis:</w:t>
      </w:r>
      <w:r>
        <w:t xml:space="preserve"> Eligibility, remittance rules, mixed funds, overseas workday relief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Part C Analysis (30 marks)</w:t>
      </w:r>
    </w:p>
    <w:p>
      <w:r>
        <w:rPr>
          <w:b/>
        </w:rPr>
        <w:t>Part C offers 5 questions; students choose 2 questions, each worth 15 marks.</w:t>
      </w:r>
    </w:p>
    <w:p>
      <w:pPr>
        <w:pStyle w:val="Heading3"/>
      </w:pPr>
      <w:r>
        <w:t>Topic Distribution (Part 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Sessions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Common Q#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Transfer Pricing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4/7 (57%)</w:t>
            </w:r>
          </w:p>
        </w:tc>
        <w:tc>
          <w:tcPr>
            <w:tcW w:type="dxa" w:w="2160"/>
          </w:tcPr>
          <w:p>
            <w:r/>
            <w:r>
              <w:t>June 2022, June 2023, Dec 2024, June 2024</w:t>
            </w:r>
          </w:p>
        </w:tc>
        <w:tc>
          <w:tcPr>
            <w:tcW w:type="dxa" w:w="2160"/>
          </w:tcPr>
          <w:p>
            <w:r/>
            <w:r>
              <w:t>Q6, Q7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Trusts (Offshore)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4/7 (57%)</w:t>
            </w:r>
          </w:p>
        </w:tc>
        <w:tc>
          <w:tcPr>
            <w:tcW w:type="dxa" w:w="2160"/>
          </w:tcPr>
          <w:p>
            <w:r/>
            <w:r>
              <w:t>June 2021, Dec 2021, Dec 2024, June 2024</w:t>
            </w:r>
          </w:p>
        </w:tc>
        <w:tc>
          <w:tcPr>
            <w:tcW w:type="dxa" w:w="2160"/>
          </w:tcPr>
          <w:p>
            <w:r/>
            <w:r>
              <w:t>Q8, Q9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ATED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3/7 (43%)</w:t>
            </w:r>
          </w:p>
        </w:tc>
        <w:tc>
          <w:tcPr>
            <w:tcW w:type="dxa" w:w="2160"/>
          </w:tcPr>
          <w:p>
            <w:r/>
            <w:r>
              <w:t>Dec 2020, June 2023, multiple BIR questions</w:t>
            </w:r>
          </w:p>
        </w:tc>
        <w:tc>
          <w:tcPr>
            <w:tcW w:type="dxa" w:w="2160"/>
          </w:tcPr>
          <w:p>
            <w:r/>
            <w:r>
              <w:t>Q8, Q9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Domicile &amp; IHT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2/7 (29%)</w:t>
            </w:r>
          </w:p>
        </w:tc>
        <w:tc>
          <w:tcPr>
            <w:tcW w:type="dxa" w:w="2160"/>
          </w:tcPr>
          <w:p>
            <w:r/>
            <w:r>
              <w:t>June 2022, Dec 2021</w:t>
            </w:r>
          </w:p>
        </w:tc>
        <w:tc>
          <w:tcPr>
            <w:tcW w:type="dxa" w:w="2160"/>
          </w:tcPr>
          <w:p>
            <w:r/>
            <w:r>
              <w:t>Q8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Digital Services Tax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3/7 (43%)</w:t>
            </w:r>
          </w:p>
        </w:tc>
        <w:tc>
          <w:tcPr>
            <w:tcW w:type="dxa" w:w="2160"/>
          </w:tcPr>
          <w:p>
            <w:r/>
            <w:r>
              <w:t>Dec 2021, Dec 2024, June 2024</w:t>
            </w:r>
          </w:p>
        </w:tc>
        <w:tc>
          <w:tcPr>
            <w:tcW w:type="dxa" w:w="2160"/>
          </w:tcPr>
          <w:p>
            <w:r/>
            <w:r>
              <w:t>Q5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Corporate Residence/PE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2/7 (29%)</w:t>
            </w:r>
          </w:p>
        </w:tc>
        <w:tc>
          <w:tcPr>
            <w:tcW w:type="dxa" w:w="2160"/>
          </w:tcPr>
          <w:p>
            <w:r/>
            <w:r>
              <w:t>June 2021, June 2022</w:t>
            </w:r>
          </w:p>
        </w:tc>
        <w:tc>
          <w:tcPr>
            <w:tcW w:type="dxa" w:w="2160"/>
          </w:tcPr>
          <w:p>
            <w:r/>
            <w:r>
              <w:t>Q5, Q9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Anti-Hybrid Rules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2/7 (29%)</w:t>
            </w:r>
          </w:p>
        </w:tc>
        <w:tc>
          <w:tcPr>
            <w:tcW w:type="dxa" w:w="2160"/>
          </w:tcPr>
          <w:p>
            <w:r/>
            <w:r>
              <w:t>June 2021, Dec 2021</w:t>
            </w:r>
          </w:p>
        </w:tc>
        <w:tc>
          <w:tcPr>
            <w:tcW w:type="dxa" w:w="2160"/>
          </w:tcPr>
          <w:p>
            <w:r/>
            <w:r>
              <w:t>Q6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Double Tax Relief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 (14%)</w:t>
            </w:r>
          </w:p>
        </w:tc>
        <w:tc>
          <w:tcPr>
            <w:tcW w:type="dxa" w:w="2160"/>
          </w:tcPr>
          <w:p>
            <w:r/>
            <w:r>
              <w:t>Dec 2020</w:t>
            </w:r>
          </w:p>
        </w:tc>
        <w:tc>
          <w:tcPr>
            <w:tcW w:type="dxa" w:w="2160"/>
          </w:tcPr>
          <w:p>
            <w:r/>
            <w:r>
              <w:t>Q7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Branch Exemption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1/7 (14%)</w:t>
            </w:r>
          </w:p>
        </w:tc>
        <w:tc>
          <w:tcPr>
            <w:tcW w:type="dxa" w:w="2160"/>
          </w:tcPr>
          <w:p>
            <w:r/>
            <w:r>
              <w:t>Dec 2021</w:t>
            </w:r>
          </w:p>
        </w:tc>
        <w:tc>
          <w:tcPr>
            <w:tcW w:type="dxa" w:w="2160"/>
          </w:tcPr>
          <w:p>
            <w:r/>
            <w:r>
              <w:t>Q7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ToAA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2/7 (29%)</w:t>
            </w:r>
          </w:p>
        </w:tc>
        <w:tc>
          <w:tcPr>
            <w:tcW w:type="dxa" w:w="2160"/>
          </w:tcPr>
          <w:p>
            <w:r/>
            <w:r>
              <w:t>June 2022, June 2024</w:t>
            </w:r>
          </w:p>
        </w:tc>
        <w:tc>
          <w:tcPr>
            <w:tcW w:type="dxa" w:w="2160"/>
          </w:tcPr>
          <w:p>
            <w:r/>
            <w:r>
              <w:t>Q9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UK Holding Company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2/7 (29%)</w:t>
            </w:r>
          </w:p>
        </w:tc>
        <w:tc>
          <w:tcPr>
            <w:tcW w:type="dxa" w:w="2160"/>
          </w:tcPr>
          <w:p>
            <w:r/>
            <w:r>
              <w:t>June 2021, Dec 2021</w:t>
            </w:r>
          </w:p>
        </w:tc>
        <w:tc>
          <w:tcPr>
            <w:tcW w:type="dxa" w:w="2160"/>
          </w:tcPr>
          <w:p>
            <w:r/>
            <w:r>
              <w:t>Q5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Non-Resident Property Companies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2/7 (29%)</w:t>
            </w:r>
          </w:p>
        </w:tc>
        <w:tc>
          <w:tcPr>
            <w:tcW w:type="dxa" w:w="2160"/>
          </w:tcPr>
          <w:p>
            <w:r/>
            <w:r>
              <w:t>Dec 2020, June 2021</w:t>
            </w:r>
          </w:p>
        </w:tc>
        <w:tc>
          <w:tcPr>
            <w:tcW w:type="dxa" w:w="2160"/>
          </w:tcPr>
          <w:p>
            <w:r/>
            <w:r>
              <w:t>Q6, Q7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Treaty Residence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2/7 (29%)</w:t>
            </w:r>
          </w:p>
        </w:tc>
        <w:tc>
          <w:tcPr>
            <w:tcW w:type="dxa" w:w="2160"/>
          </w:tcPr>
          <w:p>
            <w:r/>
            <w:r>
              <w:t>Dec 2024, June 2024</w:t>
            </w:r>
          </w:p>
        </w:tc>
        <w:tc>
          <w:tcPr>
            <w:tcW w:type="dxa" w:w="2160"/>
          </w:tcPr>
          <w:p>
            <w:r/>
            <w:r>
              <w:t>Q8</w:t>
            </w:r>
          </w:p>
        </w:tc>
      </w:tr>
    </w:tbl>
    <w:p/>
    <w:p>
      <w:pPr>
        <w:pStyle w:val="Heading3"/>
      </w:pPr>
      <w:r>
        <w:t>Part C Patterns</w:t>
      </w:r>
    </w:p>
    <w:p>
      <w:r>
        <w:rPr>
          <w:b/>
        </w:rPr>
        <w:t>Pattern 1: Specific Technical Topics</w:t>
      </w:r>
    </w:p>
    <w:p>
      <w:r>
        <w:t>Part C questions test narrower, more specific topics:</w:t>
      </w:r>
    </w:p>
    <w:p>
      <w:pPr>
        <w:pStyle w:val="ListBullet"/>
      </w:pPr>
      <w:r>
        <w:t>Often legislative changes or recent developments</w:t>
      </w:r>
    </w:p>
    <w:p>
      <w:pPr>
        <w:pStyle w:val="ListBullet"/>
      </w:pPr>
      <w:r>
        <w:t>Detailed rules and calculations</w:t>
      </w:r>
    </w:p>
    <w:p>
      <w:pPr>
        <w:pStyle w:val="ListBullet"/>
      </w:pPr>
      <w:r>
        <w:t>Specific regimes (ATED, DST, ORIP, etc.)</w:t>
      </w:r>
    </w:p>
    <w:p>
      <w:r>
        <w:rPr>
          <w:b/>
        </w:rPr>
        <w:t>Pattern 2: Question 5 Often Tests Emerging/Topical Issues</w:t>
      </w:r>
    </w:p>
    <w:p>
      <w:pPr>
        <w:pStyle w:val="ListBullet"/>
      </w:pPr>
      <w:r>
        <w:t>UK Holding Companies (2/7)</w:t>
      </w:r>
    </w:p>
    <w:p>
      <w:pPr>
        <w:pStyle w:val="ListBullet"/>
      </w:pPr>
      <w:r>
        <w:t>Digital Services Tax (1/7)</w:t>
      </w:r>
    </w:p>
    <w:p>
      <w:pPr>
        <w:pStyle w:val="ListBullet"/>
      </w:pPr>
      <w:r>
        <w:t>ORIP (1/7)</w:t>
      </w:r>
    </w:p>
    <w:p>
      <w:pPr>
        <w:pStyle w:val="ListBullet"/>
      </w:pPr>
      <w:r>
        <w:t>Corporate Residency Migration (1/7)</w:t>
      </w:r>
    </w:p>
    <w:p>
      <w:r>
        <w:rPr>
          <w:b/>
        </w:rPr>
        <w:t>Pattern 3: Questions 8-9 Often Test Trusts/IHT/Property</w:t>
      </w:r>
    </w:p>
    <w:p>
      <w:pPr>
        <w:pStyle w:val="ListBullet"/>
      </w:pPr>
      <w:r>
        <w:t>Trusts (4/7)</w:t>
      </w:r>
    </w:p>
    <w:p>
      <w:pPr>
        <w:pStyle w:val="ListBullet"/>
      </w:pPr>
      <w:r>
        <w:t>ATED (3/7)</w:t>
      </w:r>
    </w:p>
    <w:p>
      <w:pPr>
        <w:pStyle w:val="ListBullet"/>
      </w:pPr>
      <w:r>
        <w:t>Domicile &amp; IHT (2/7)</w:t>
      </w:r>
    </w:p>
    <w:p>
      <w:pPr>
        <w:pStyle w:val="ListBullet"/>
      </w:pPr>
      <w:r>
        <w:t>Property de-enveloping (2/7)</w:t>
      </w:r>
    </w:p>
    <w:p>
      <w:r>
        <w:rPr>
          <w:b/>
        </w:rPr>
        <w:t>Pattern 4: Transfer Pricing Cluster</w:t>
      </w:r>
    </w:p>
    <w:p>
      <w:r>
        <w:t>Transfer Pricing appears frequently in Part C:</w:t>
      </w:r>
    </w:p>
    <w:p>
      <w:pPr>
        <w:pStyle w:val="ListBullet"/>
      </w:pPr>
      <w:r>
        <w:t>Documentation requirements (2/7)</w:t>
      </w:r>
    </w:p>
    <w:p>
      <w:pPr>
        <w:pStyle w:val="ListBullet"/>
      </w:pPr>
      <w:r>
        <w:t>TP methods and compliance (2/7)</w:t>
      </w:r>
    </w:p>
    <w:p>
      <w:pPr>
        <w:pStyle w:val="ListBullet"/>
      </w:pPr>
      <w:r>
        <w:t>Often in Q6 or Q7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Emerging and Declining Topics</w:t>
      </w:r>
    </w:p>
    <w:p>
      <w:pPr>
        <w:pStyle w:val="Heading3"/>
      </w:pPr>
      <w:r>
        <w:t>Strongly Emerging Topics (Increasing Frequency)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2020-2021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2022-2023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Trend Analysis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Digital Services Tax</w:t>
            </w:r>
          </w:p>
        </w:tc>
        <w:tc>
          <w:tcPr>
            <w:tcW w:type="dxa" w:w="1728"/>
          </w:tcPr>
          <w:p>
            <w:r/>
            <w:r>
              <w:t>1/2</w:t>
            </w:r>
          </w:p>
        </w:tc>
        <w:tc>
          <w:tcPr>
            <w:tcW w:type="dxa" w:w="1728"/>
          </w:tcPr>
          <w:p>
            <w:r/>
            <w:r>
              <w:t>0/2</w:t>
            </w:r>
          </w:p>
        </w:tc>
        <w:tc>
          <w:tcPr>
            <w:tcW w:type="dxa" w:w="1728"/>
          </w:tcPr>
          <w:p>
            <w:r/>
            <w:r>
              <w:t>2/3</w:t>
            </w:r>
          </w:p>
        </w:tc>
        <w:tc>
          <w:tcPr>
            <w:tcW w:type="dxa" w:w="1728"/>
          </w:tcPr>
          <w:p>
            <w:r/>
            <w:r>
              <w:t>↑↑ Expect continued focus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Anti-Hybrid Rules</w:t>
            </w:r>
          </w:p>
        </w:tc>
        <w:tc>
          <w:tcPr>
            <w:tcW w:type="dxa" w:w="1728"/>
          </w:tcPr>
          <w:p>
            <w:r/>
            <w:r>
              <w:t>2/2</w:t>
            </w:r>
          </w:p>
        </w:tc>
        <w:tc>
          <w:tcPr>
            <w:tcW w:type="dxa" w:w="1728"/>
          </w:tcPr>
          <w:p>
            <w:r/>
            <w:r>
              <w:t>0/2</w:t>
            </w:r>
          </w:p>
        </w:tc>
        <w:tc>
          <w:tcPr>
            <w:tcW w:type="dxa" w:w="1728"/>
          </w:tcPr>
          <w:p>
            <w:r/>
            <w:r>
              <w:t>0/3</w:t>
            </w:r>
          </w:p>
        </w:tc>
        <w:tc>
          <w:tcPr>
            <w:tcW w:type="dxa" w:w="1728"/>
          </w:tcPr>
          <w:p>
            <w:r/>
            <w:r>
              <w:t>↓ May return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Corporate Interest Restriction</w:t>
            </w:r>
          </w:p>
        </w:tc>
        <w:tc>
          <w:tcPr>
            <w:tcW w:type="dxa" w:w="1728"/>
          </w:tcPr>
          <w:p>
            <w:r/>
            <w:r>
              <w:t>0/2</w:t>
            </w:r>
          </w:p>
        </w:tc>
        <w:tc>
          <w:tcPr>
            <w:tcW w:type="dxa" w:w="1728"/>
          </w:tcPr>
          <w:p>
            <w:r/>
            <w:r>
              <w:t>1/2</w:t>
            </w:r>
          </w:p>
        </w:tc>
        <w:tc>
          <w:tcPr>
            <w:tcW w:type="dxa" w:w="1728"/>
          </w:tcPr>
          <w:p>
            <w:r/>
            <w:r>
              <w:t>2/3</w:t>
            </w:r>
          </w:p>
        </w:tc>
        <w:tc>
          <w:tcPr>
            <w:tcW w:type="dxa" w:w="1728"/>
          </w:tcPr>
          <w:p>
            <w:r/>
            <w:r>
              <w:t>↑↑ Increasing focus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Targeted Anti-Avoidance (ToAA)</w:t>
            </w:r>
          </w:p>
        </w:tc>
        <w:tc>
          <w:tcPr>
            <w:tcW w:type="dxa" w:w="1728"/>
          </w:tcPr>
          <w:p>
            <w:r/>
            <w:r>
              <w:t>0/2</w:t>
            </w:r>
          </w:p>
        </w:tc>
        <w:tc>
          <w:tcPr>
            <w:tcW w:type="dxa" w:w="1728"/>
          </w:tcPr>
          <w:p>
            <w:r/>
            <w:r>
              <w:t>1/2</w:t>
            </w:r>
          </w:p>
        </w:tc>
        <w:tc>
          <w:tcPr>
            <w:tcW w:type="dxa" w:w="1728"/>
          </w:tcPr>
          <w:p>
            <w:r/>
            <w:r>
              <w:t>1/3</w:t>
            </w:r>
          </w:p>
        </w:tc>
        <w:tc>
          <w:tcPr>
            <w:tcW w:type="dxa" w:w="1728"/>
          </w:tcPr>
          <w:p>
            <w:r/>
            <w:r>
              <w:t>↑ Watch this space</w:t>
            </w:r>
          </w:p>
        </w:tc>
      </w:tr>
    </w:tbl>
    <w:p/>
    <w:p>
      <w:pPr>
        <w:pStyle w:val="Heading3"/>
      </w:pPr>
      <w:r>
        <w:t>Stable High-Frequency Topics</w:t>
      </w:r>
    </w:p>
    <w:p>
      <w:r>
        <w:t>These topics appear consistently and should always be prioritized: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Stability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Individual Residence (SRT)</w:t>
            </w:r>
          </w:p>
        </w:tc>
        <w:tc>
          <w:tcPr>
            <w:tcW w:type="dxa" w:w="2880"/>
          </w:tcPr>
          <w:p>
            <w:r/>
            <w:r>
              <w:t>100%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CRITICAL - Master completely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Remittance Basis</w:t>
            </w:r>
          </w:p>
        </w:tc>
        <w:tc>
          <w:tcPr>
            <w:tcW w:type="dxa" w:w="2880"/>
          </w:tcPr>
          <w:p>
            <w:r/>
            <w:r>
              <w:t>86%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CRITICAL - Master completely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Domicile</w:t>
            </w:r>
          </w:p>
        </w:tc>
        <w:tc>
          <w:tcPr>
            <w:tcW w:type="dxa" w:w="2880"/>
          </w:tcPr>
          <w:p>
            <w:r/>
            <w:r>
              <w:t>86%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CRITICAL - Master completely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Corporate Residence</w:t>
            </w:r>
          </w:p>
        </w:tc>
        <w:tc>
          <w:tcPr>
            <w:tcW w:type="dxa" w:w="2880"/>
          </w:tcPr>
          <w:p>
            <w:r/>
            <w:r>
              <w:t>71%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 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Permanent Establishment</w:t>
            </w:r>
          </w:p>
        </w:tc>
        <w:tc>
          <w:tcPr>
            <w:tcW w:type="dxa" w:w="2880"/>
          </w:tcPr>
          <w:p>
            <w:r/>
            <w:r>
              <w:t>71%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 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Business Investment Relief</w:t>
            </w:r>
          </w:p>
        </w:tc>
        <w:tc>
          <w:tcPr>
            <w:tcW w:type="dxa" w:w="2880"/>
          </w:tcPr>
          <w:p>
            <w:r/>
            <w:r>
              <w:t>71%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 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Transfer Pricing</w:t>
            </w:r>
          </w:p>
        </w:tc>
        <w:tc>
          <w:tcPr>
            <w:tcW w:type="dxa" w:w="2880"/>
          </w:tcPr>
          <w:p>
            <w:r/>
            <w:r>
              <w:t>71%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 PRIORITY</w:t>
            </w:r>
          </w:p>
        </w:tc>
      </w:tr>
    </w:tbl>
    <w:p/>
    <w:p>
      <w:pPr>
        <w:pStyle w:val="Heading3"/>
      </w:pPr>
      <w:r>
        <w:t>Declining/Sporadic Topics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ORIP</w:t>
            </w:r>
          </w:p>
        </w:tc>
        <w:tc>
          <w:tcPr>
            <w:tcW w:type="dxa" w:w="2880"/>
          </w:tcPr>
          <w:p>
            <w:r/>
            <w:r>
              <w:t>1/7 (14%)</w:t>
            </w:r>
          </w:p>
        </w:tc>
        <w:tc>
          <w:tcPr>
            <w:tcW w:type="dxa" w:w="2880"/>
          </w:tcPr>
          <w:p>
            <w:r/>
            <w:r>
              <w:t>Appeared once (Dec 2020), may not return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Double Tax Relief</w:t>
            </w:r>
          </w:p>
        </w:tc>
        <w:tc>
          <w:tcPr>
            <w:tcW w:type="dxa" w:w="2880"/>
          </w:tcPr>
          <w:p>
            <w:r/>
            <w:r>
              <w:t>1/7 (14%)</w:t>
            </w:r>
          </w:p>
        </w:tc>
        <w:tc>
          <w:tcPr>
            <w:tcW w:type="dxa" w:w="2880"/>
          </w:tcPr>
          <w:p>
            <w:r/>
            <w:r>
              <w:t>Surprisingly low given importance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Branch Exemption</w:t>
            </w:r>
          </w:p>
        </w:tc>
        <w:tc>
          <w:tcPr>
            <w:tcW w:type="dxa" w:w="2880"/>
          </w:tcPr>
          <w:p>
            <w:r/>
            <w:r>
              <w:t>1/7 (14%)</w:t>
            </w:r>
          </w:p>
        </w:tc>
        <w:tc>
          <w:tcPr>
            <w:tcW w:type="dxa" w:w="2880"/>
          </w:tcPr>
          <w:p>
            <w:r/>
            <w:r>
              <w:t>Specific regime, occasional appearance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Overseas Workday Relief</w:t>
            </w:r>
          </w:p>
        </w:tc>
        <w:tc>
          <w:tcPr>
            <w:tcW w:type="dxa" w:w="2880"/>
          </w:tcPr>
          <w:p>
            <w:r/>
            <w:r>
              <w:t>1/7 (14%)</w:t>
            </w:r>
          </w:p>
        </w:tc>
        <w:tc>
          <w:tcPr>
            <w:tcW w:type="dxa" w:w="2880"/>
          </w:tcPr>
          <w:p>
            <w:r/>
            <w:r>
              <w:t>Part of broader remittance basis questions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Strategic Insights</w:t>
      </w:r>
    </w:p>
    <w:p>
      <w:pPr>
        <w:pStyle w:val="Heading3"/>
      </w:pPr>
      <w:r>
        <w:t>1. **The "Big Three" Foundation (Must Master)**</w:t>
      </w:r>
    </w:p>
    <w:p>
      <w:r>
        <w:t>These topics are so frequent they are essentially guaranteed:</w:t>
      </w:r>
    </w:p>
    <w:p>
      <w:pPr>
        <w:pStyle w:val="ListNumber"/>
      </w:pPr>
      <w:r>
        <w:rPr>
          <w:b/>
        </w:rPr>
        <w:t>Individual Residence (SRT)</w:t>
      </w:r>
      <w:r>
        <w:t xml:space="preserve"> - 100% appearance rate (8/8)</w:t>
      </w:r>
    </w:p>
    <w:p>
      <w:pPr>
        <w:pStyle w:val="ListBullet"/>
        <w:ind w:left="360"/>
      </w:pPr>
      <w:r>
        <w:t>Focus on: Automatic tests, sufficient ties, split year, temporary non-residence, DTA tie-breaker</w:t>
      </w:r>
    </w:p>
    <w:p>
      <w:pPr>
        <w:pStyle w:val="ListBullet"/>
        <w:ind w:left="360"/>
      </w:pPr>
      <w:r>
        <w:t>ALWAYS worth 25 marks in Part A - absolutely guaranteed</w:t>
      </w:r>
    </w:p>
    <w:p>
      <w:pPr>
        <w:pStyle w:val="ListBullet"/>
        <w:ind w:left="360"/>
      </w:pPr>
      <w:r>
        <w:t>Master the day counting rules and tie analysis</w:t>
      </w:r>
    </w:p>
    <w:p>
      <w:pPr>
        <w:pStyle w:val="ListBullet"/>
        <w:ind w:left="360"/>
      </w:pPr>
      <w:r>
        <w:t>New focus: DTA residence article tie-breaker (appeared June 2025)</w:t>
      </w:r>
    </w:p>
    <w:p>
      <w:pPr>
        <w:pStyle w:val="ListNumber"/>
      </w:pPr>
      <w:r>
        <w:rPr>
          <w:b/>
        </w:rPr>
        <w:t>Domicile</w:t>
      </w:r>
      <w:r>
        <w:t xml:space="preserve"> - 88% appearance rate (7/8)</w:t>
      </w:r>
    </w:p>
    <w:p>
      <w:pPr>
        <w:pStyle w:val="ListBullet"/>
        <w:ind w:left="360"/>
      </w:pPr>
      <w:r>
        <w:t>Usually Part B or Part C (worth 15-20 marks)</w:t>
      </w:r>
    </w:p>
    <w:p>
      <w:pPr>
        <w:pStyle w:val="ListBullet"/>
        <w:ind w:left="360"/>
      </w:pPr>
      <w:r>
        <w:t>Know: Origin, choice, deemed domicile, IHT implications</w:t>
      </w:r>
    </w:p>
    <w:p>
      <w:pPr>
        <w:pStyle w:val="ListBullet"/>
        <w:ind w:left="360"/>
      </w:pPr>
      <w:r>
        <w:t>Often integrated with remittance basis or trusts</w:t>
      </w:r>
    </w:p>
    <w:p>
      <w:pPr>
        <w:pStyle w:val="ListBullet"/>
        <w:ind w:left="360"/>
      </w:pPr>
      <w:r>
        <w:t>New focus: Domicile of choice, protected settlements (June 2025)</w:t>
      </w:r>
    </w:p>
    <w:p>
      <w:pPr>
        <w:pStyle w:val="ListNumber"/>
      </w:pPr>
      <w:r>
        <w:rPr>
          <w:b/>
        </w:rPr>
        <w:t>Remittance Basis</w:t>
      </w:r>
      <w:r>
        <w:t xml:space="preserve"> - 75% appearance rate (6/8)</w:t>
      </w:r>
    </w:p>
    <w:p>
      <w:pPr>
        <w:pStyle w:val="ListBullet"/>
        <w:ind w:left="360"/>
      </w:pPr>
      <w:r>
        <w:t>Often combined with SRT or domicile</w:t>
      </w:r>
    </w:p>
    <w:p>
      <w:pPr>
        <w:pStyle w:val="ListBullet"/>
        <w:ind w:left="360"/>
      </w:pPr>
      <w:r>
        <w:t>Know: Eligibility, remittance rules, mixed funds, BIR, offshore insurance bonds</w:t>
      </w:r>
    </w:p>
    <w:p>
      <w:pPr>
        <w:pStyle w:val="ListBullet"/>
        <w:ind w:left="360"/>
      </w:pPr>
      <w:r>
        <w:t>Can appear in Part A (25 marks) or Part B (20 marks)</w:t>
      </w:r>
    </w:p>
    <w:p>
      <w:r>
        <w:rPr>
          <w:b/>
        </w:rPr>
        <w:t>Study Recommendation:</w:t>
      </w:r>
      <w:r>
        <w:t xml:space="preserve"> Allocate 45% of study time to these three topics (1-month intensive).</w:t>
      </w:r>
    </w:p>
    <w:p>
      <w:pPr>
        <w:pStyle w:val="Heading3"/>
      </w:pPr>
      <w:r>
        <w:t>2. **The "Essential Seven" Secondary Topics (High Priority)**</w:t>
      </w:r>
    </w:p>
    <w:p>
      <w:r>
        <w:t>Master these topics to have options across all parts:</w:t>
      </w:r>
    </w:p>
    <w:p>
      <w:pPr>
        <w:pStyle w:val="ListNumber"/>
      </w:pPr>
      <w:r>
        <w:rPr>
          <w:b/>
        </w:rPr>
        <w:t>Transfer Pricing</w:t>
      </w:r>
      <w:r>
        <w:t xml:space="preserve"> (75%) - Rising importance!</w:t>
      </w:r>
    </w:p>
    <w:p>
      <w:pPr>
        <w:pStyle w:val="ListNumber"/>
      </w:pPr>
      <w:r>
        <w:rPr>
          <w:b/>
        </w:rPr>
        <w:t>Corporate Residence &amp; PE</w:t>
      </w:r>
      <w:r>
        <w:t xml:space="preserve"> (63%)</w:t>
      </w:r>
    </w:p>
    <w:p>
      <w:pPr>
        <w:pStyle w:val="ListNumber"/>
      </w:pPr>
      <w:r>
        <w:rPr>
          <w:b/>
        </w:rPr>
        <w:t>Permanent Establishment</w:t>
      </w:r>
      <w:r>
        <w:t xml:space="preserve"> (63%)</w:t>
      </w:r>
    </w:p>
    <w:p>
      <w:pPr>
        <w:pStyle w:val="ListNumber"/>
      </w:pPr>
      <w:r>
        <w:rPr>
          <w:b/>
        </w:rPr>
        <w:t>Business Investment Relief</w:t>
      </w:r>
      <w:r>
        <w:t xml:space="preserve"> (63%)</w:t>
      </w:r>
    </w:p>
    <w:p>
      <w:pPr>
        <w:pStyle w:val="ListNumber"/>
      </w:pPr>
      <w:r>
        <w:rPr>
          <w:b/>
        </w:rPr>
        <w:t>Trusts (Offshore/International)</w:t>
      </w:r>
      <w:r>
        <w:t xml:space="preserve"> (63%)</w:t>
      </w:r>
    </w:p>
    <w:p>
      <w:pPr>
        <w:pStyle w:val="ListNumber"/>
      </w:pPr>
      <w:r>
        <w:rPr>
          <w:b/>
        </w:rPr>
        <w:t>Controlled Foreign Companies</w:t>
      </w:r>
      <w:r>
        <w:t xml:space="preserve"> (50%)</w:t>
      </w:r>
    </w:p>
    <w:p>
      <w:pPr>
        <w:pStyle w:val="ListNumber"/>
      </w:pPr>
      <w:r>
        <w:rPr>
          <w:b/>
        </w:rPr>
        <w:t>Corporate Interest Restriction</w:t>
      </w:r>
      <w:r>
        <w:t xml:space="preserve"> (50%)</w:t>
      </w:r>
    </w:p>
    <w:p>
      <w:r>
        <w:rPr>
          <w:b/>
        </w:rPr>
        <w:t>Study Recommendation:</w:t>
      </w:r>
      <w:r>
        <w:t xml:space="preserve"> Allocate 35% of study time to these topics (1-month intensive).</w:t>
      </w:r>
    </w:p>
    <w:p>
      <w:pPr>
        <w:pStyle w:val="Heading3"/>
      </w:pPr>
      <w:r>
        <w:t>3. **Strategic Part C Coverage**</w:t>
      </w:r>
    </w:p>
    <w:p>
      <w:r>
        <w:t>To maximize Part C choice:</w:t>
      </w:r>
    </w:p>
    <w:p>
      <w:pPr>
        <w:pStyle w:val="ListBullet"/>
      </w:pPr>
      <w:r>
        <w:rPr>
          <w:b/>
        </w:rPr>
        <w:t>Transfer Pricing</w:t>
      </w:r>
      <w:r>
        <w:t xml:space="preserve"> (75%) - NOW CRITICAL! TP documentation, methodologies, APAs</w:t>
      </w:r>
    </w:p>
    <w:p>
      <w:pPr>
        <w:pStyle w:val="ListBullet"/>
      </w:pPr>
      <w:r>
        <w:rPr>
          <w:b/>
        </w:rPr>
        <w:t>Trusts (Offshore/International)</w:t>
      </w:r>
      <w:r>
        <w:t xml:space="preserve"> (63%) - Almost always have a trust question</w:t>
      </w:r>
    </w:p>
    <w:p>
      <w:pPr>
        <w:pStyle w:val="ListBullet"/>
      </w:pPr>
      <w:r>
        <w:rPr>
          <w:b/>
        </w:rPr>
        <w:t>ATED &amp; Property Taxation</w:t>
      </w:r>
      <w:r>
        <w:t xml:space="preserve"> (50%) - Often combined with BIR</w:t>
      </w:r>
    </w:p>
    <w:p>
      <w:pPr>
        <w:pStyle w:val="ListBullet"/>
      </w:pPr>
      <w:r>
        <w:rPr>
          <w:b/>
        </w:rPr>
        <w:t>Digital Services Tax</w:t>
      </w:r>
      <w:r>
        <w:t xml:space="preserve"> (38%) - Learn the basics</w:t>
      </w:r>
    </w:p>
    <w:p>
      <w:pPr>
        <w:pStyle w:val="ListBullet"/>
      </w:pPr>
      <w:r>
        <w:rPr>
          <w:b/>
        </w:rPr>
        <w:t>NEW: Diverted Profits Tax</w:t>
      </w:r>
      <w:r>
        <w:t xml:space="preserve"> (appeared June 2025) - Watch for December 2025!</w:t>
      </w:r>
    </w:p>
    <w:p>
      <w:r>
        <w:rPr>
          <w:b/>
        </w:rPr>
        <w:t>Study Recommendation:</w:t>
      </w:r>
      <w:r>
        <w:t xml:space="preserve"> Allocate 15% of study time to these Part C topics (1-month intensive).</w:t>
      </w:r>
    </w:p>
    <w:p>
      <w:pPr>
        <w:pStyle w:val="Heading3"/>
      </w:pPr>
      <w:r>
        <w:t>4. **Question Integration Patterns**</w:t>
      </w:r>
    </w:p>
    <w:p>
      <w:r>
        <w:t>Examiners love integrating topics:</w:t>
      </w:r>
    </w:p>
    <w:p>
      <w:pPr>
        <w:pStyle w:val="ListBullet"/>
      </w:pPr>
      <w:r>
        <w:rPr>
          <w:b/>
        </w:rPr>
        <w:t>SRT + Remittance Basis + CGT</w:t>
      </w:r>
      <w:r>
        <w:t xml:space="preserve"> (common in Part A)</w:t>
      </w:r>
    </w:p>
    <w:p>
      <w:pPr>
        <w:pStyle w:val="ListBullet"/>
      </w:pPr>
      <w:r>
        <w:rPr>
          <w:b/>
        </w:rPr>
        <w:t>Corporate Residence + PE</w:t>
      </w:r>
      <w:r>
        <w:t xml:space="preserve"> (Part A or Part B)</w:t>
      </w:r>
    </w:p>
    <w:p>
      <w:pPr>
        <w:pStyle w:val="ListBullet"/>
      </w:pPr>
      <w:r>
        <w:rPr>
          <w:b/>
        </w:rPr>
        <w:t>BIR + ATED + SDLT + IHT</w:t>
      </w:r>
      <w:r>
        <w:t xml:space="preserve"> (Part B or Part C property questions)</w:t>
      </w:r>
    </w:p>
    <w:p>
      <w:pPr>
        <w:pStyle w:val="ListBullet"/>
      </w:pPr>
      <w:r>
        <w:rPr>
          <w:b/>
        </w:rPr>
        <w:t>Domicile + Remittance Basis + Trusts + IHT</w:t>
      </w:r>
      <w:r>
        <w:t xml:space="preserve"> (Part B or Part C)</w:t>
      </w:r>
    </w:p>
    <w:p>
      <w:pPr>
        <w:pStyle w:val="ListBullet"/>
      </w:pPr>
      <w:r>
        <w:rPr>
          <w:b/>
        </w:rPr>
        <w:t>Corporate Interest Restriction + PE + Withholding Tax</w:t>
      </w:r>
      <w:r>
        <w:t xml:space="preserve"> (Part A)</w:t>
      </w:r>
    </w:p>
    <w:p>
      <w:r>
        <w:rPr>
          <w:b/>
        </w:rPr>
        <w:t>Study Recommendation:</w:t>
      </w:r>
      <w:r>
        <w:t xml:space="preserve"> Practice integrated scenarios, don't study topics in isolation.</w:t>
      </w:r>
    </w:p>
    <w:p>
      <w:pPr>
        <w:pStyle w:val="Heading3"/>
      </w:pPr>
      <w:r>
        <w:t>5. **Time Allocation Strategy**</w:t>
      </w:r>
    </w:p>
    <w:p>
      <w:r>
        <w:t>Based on mark allocation:</w:t>
      </w:r>
    </w:p>
    <w:p>
      <w:pPr>
        <w:pStyle w:val="ListBullet"/>
      </w:pPr>
      <w:r>
        <w:rPr>
          <w:b/>
        </w:rPr>
        <w:t>Part A (50 marks):</w:t>
      </w:r>
      <w:r>
        <w:t xml:space="preserve"> ~97.5 minutes (48.75 minutes per question)</w:t>
      </w:r>
    </w:p>
    <w:p>
      <w:pPr>
        <w:pStyle w:val="ListBullet"/>
      </w:pPr>
      <w:r>
        <w:rPr>
          <w:b/>
        </w:rPr>
        <w:t>Part B (20 marks):</w:t>
      </w:r>
      <w:r>
        <w:t xml:space="preserve"> ~39 minutes</w:t>
      </w:r>
    </w:p>
    <w:p>
      <w:pPr>
        <w:pStyle w:val="ListBullet"/>
      </w:pPr>
      <w:r>
        <w:rPr>
          <w:b/>
        </w:rPr>
        <w:t>Part C (30 marks):</w:t>
      </w:r>
      <w:r>
        <w:t xml:space="preserve"> ~58.5 minutes (29.25 minutes per question)</w:t>
      </w:r>
    </w:p>
    <w:p>
      <w:r>
        <w:t xml:space="preserve">Apply the </w:t>
      </w:r>
      <w:r>
        <w:rPr>
          <w:b/>
        </w:rPr>
        <w:t>~1.95 minutes per mark rule</w:t>
      </w:r>
      <w:r>
        <w:t xml:space="preserve"> (195 min ÷ 100 marks) or use a conservative </w:t>
      </w:r>
      <w:r>
        <w:rPr>
          <w:b/>
        </w:rPr>
        <w:t>1.8 minutes per mark</w:t>
      </w:r>
      <w:r>
        <w:t xml:space="preserve"> to build in buffer time: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 1.95 min/mark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 1.8 min/mark (conservative)</w:t>
            </w:r>
          </w:p>
        </w:tc>
      </w:tr>
      <w:tr>
        <w:tc>
          <w:tcPr>
            <w:tcW w:type="dxa" w:w="2880"/>
          </w:tcPr>
          <w:p>
            <w:r/>
            <w:r>
              <w:t>25-mark question</w:t>
            </w:r>
          </w:p>
        </w:tc>
        <w:tc>
          <w:tcPr>
            <w:tcW w:type="dxa" w:w="2880"/>
          </w:tcPr>
          <w:p>
            <w:r/>
            <w:r>
              <w:t>~49 minutes</w:t>
            </w:r>
          </w:p>
        </w:tc>
        <w:tc>
          <w:tcPr>
            <w:tcW w:type="dxa" w:w="2880"/>
          </w:tcPr>
          <w:p>
            <w:r/>
            <w:r>
              <w:t>45 minutes</w:t>
            </w:r>
          </w:p>
        </w:tc>
      </w:tr>
      <w:tr>
        <w:tc>
          <w:tcPr>
            <w:tcW w:type="dxa" w:w="2880"/>
          </w:tcPr>
          <w:p>
            <w:r/>
            <w:r>
              <w:t>20-mark question</w:t>
            </w:r>
          </w:p>
        </w:tc>
        <w:tc>
          <w:tcPr>
            <w:tcW w:type="dxa" w:w="2880"/>
          </w:tcPr>
          <w:p>
            <w:r/>
            <w:r>
              <w:t>~39 minutes</w:t>
            </w:r>
          </w:p>
        </w:tc>
        <w:tc>
          <w:tcPr>
            <w:tcW w:type="dxa" w:w="2880"/>
          </w:tcPr>
          <w:p>
            <w:r/>
            <w:r>
              <w:t>36 minutes</w:t>
            </w:r>
          </w:p>
        </w:tc>
      </w:tr>
      <w:tr>
        <w:tc>
          <w:tcPr>
            <w:tcW w:type="dxa" w:w="2880"/>
          </w:tcPr>
          <w:p>
            <w:r/>
            <w:r>
              <w:t>15-mark question</w:t>
            </w:r>
          </w:p>
        </w:tc>
        <w:tc>
          <w:tcPr>
            <w:tcW w:type="dxa" w:w="2880"/>
          </w:tcPr>
          <w:p>
            <w:r/>
            <w:r>
              <w:t>~29 minutes</w:t>
            </w:r>
          </w:p>
        </w:tc>
        <w:tc>
          <w:tcPr>
            <w:tcW w:type="dxa" w:w="2880"/>
          </w:tcPr>
          <w:p>
            <w:r/>
            <w:r>
              <w:t>27 minutes</w:t>
            </w:r>
          </w:p>
        </w:tc>
      </w:tr>
    </w:tbl>
    <w:p/>
    <w:p>
      <w:pPr>
        <w:pStyle w:val="Heading3"/>
      </w:pPr>
      <w:r>
        <w:t>6. **Topic Spotting Red Flags**</w:t>
      </w:r>
    </w:p>
    <w:p>
      <w:r>
        <w:t>Watch for these indicators of specific topics: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Scenario Clues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Likely Topic</w:t>
            </w:r>
          </w:p>
        </w:tc>
      </w:tr>
      <w:tr>
        <w:tc>
          <w:tcPr>
            <w:tcW w:type="dxa" w:w="4320"/>
          </w:tcPr>
          <w:p>
            <w:r/>
            <w:r>
              <w:t>Days in UK, spouse/children location, homes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Individual Residence (SRT)</w:t>
            </w:r>
          </w:p>
        </w:tc>
      </w:tr>
      <w:tr>
        <w:tc>
          <w:tcPr>
            <w:tcW w:type="dxa" w:w="4320"/>
          </w:tcPr>
          <w:p>
            <w:r/>
            <w:r>
              <w:t>Director relocation, board meetings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Corporate Residence</w:t>
            </w:r>
          </w:p>
        </w:tc>
      </w:tr>
      <w:tr>
        <w:tc>
          <w:tcPr>
            <w:tcW w:type="dxa" w:w="4320"/>
          </w:tcPr>
          <w:p>
            <w:r/>
            <w:r>
              <w:t>Offshore income, foreign property, UK expenses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Remittance Basis</w:t>
            </w:r>
          </w:p>
        </w:tc>
      </w:tr>
      <w:tr>
        <w:tc>
          <w:tcPr>
            <w:tcW w:type="dxa" w:w="4320"/>
          </w:tcPr>
          <w:p>
            <w:r/>
            <w:r>
              <w:t>Fixed place, agency, contract negotiation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Permanent Establishment</w:t>
            </w:r>
          </w:p>
        </w:tc>
      </w:tr>
      <w:tr>
        <w:tc>
          <w:tcPr>
            <w:tcW w:type="dxa" w:w="4320"/>
          </w:tcPr>
          <w:p>
            <w:r/>
            <w:r>
              <w:t>Low-tax subsidiary, IP holding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CFCs</w:t>
            </w:r>
          </w:p>
        </w:tc>
      </w:tr>
      <w:tr>
        <w:tc>
          <w:tcPr>
            <w:tcW w:type="dxa" w:w="4320"/>
          </w:tcPr>
          <w:p>
            <w:r/>
            <w:r>
              <w:t>Related party loans, interest payments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Corporate Interest Restriction/Thin Cap</w:t>
            </w:r>
          </w:p>
        </w:tc>
      </w:tr>
      <w:tr>
        <w:tc>
          <w:tcPr>
            <w:tcW w:type="dxa" w:w="4320"/>
          </w:tcPr>
          <w:p>
            <w:r/>
            <w:r>
              <w:t>Non-domiciled, offshore trust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Domicile + Remittance Basis</w:t>
            </w:r>
          </w:p>
        </w:tc>
      </w:tr>
      <w:tr>
        <w:tc>
          <w:tcPr>
            <w:tcW w:type="dxa" w:w="4320"/>
          </w:tcPr>
          <w:p>
            <w:r/>
            <w:r>
              <w:t>Investment in UK trading company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Business Investment Relief</w:t>
            </w:r>
          </w:p>
        </w:tc>
      </w:tr>
      <w:tr>
        <w:tc>
          <w:tcPr>
            <w:tcW w:type="dxa" w:w="4320"/>
          </w:tcPr>
          <w:p>
            <w:r/>
            <w:r>
              <w:t>Residential property in company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ATED</w:t>
            </w:r>
          </w:p>
        </w:tc>
      </w:tr>
      <w:tr>
        <w:tc>
          <w:tcPr>
            <w:tcW w:type="dxa" w:w="4320"/>
          </w:tcPr>
          <w:p>
            <w:r/>
            <w:r>
              <w:t>Intercompany pricing, royalties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Transfer Pricing</w:t>
            </w:r>
          </w:p>
        </w:tc>
      </w:tr>
    </w:tbl>
    <w:p/>
    <w:p>
      <w:pPr>
        <w:pStyle w:val="Heading3"/>
      </w:pPr>
      <w:r>
        <w:t>7. **Legislative Change Areas (High Exam Risk)**</w:t>
      </w:r>
    </w:p>
    <w:p>
      <w:r>
        <w:t>Recent/ongoing changes that examiners target:</w:t>
      </w:r>
    </w:p>
    <w:p>
      <w:pPr>
        <w:pStyle w:val="ListBullet"/>
      </w:pPr>
      <w:r>
        <w:rPr>
          <w:b/>
        </w:rPr>
        <w:t>Corporate Interest Restriction</w:t>
      </w:r>
      <w:r>
        <w:t xml:space="preserve"> (introduced 2017, frequently tested)</w:t>
      </w:r>
    </w:p>
    <w:p>
      <w:pPr>
        <w:pStyle w:val="ListBullet"/>
      </w:pPr>
      <w:r>
        <w:rPr>
          <w:b/>
        </w:rPr>
        <w:t>Digital Services Tax</w:t>
      </w:r>
      <w:r>
        <w:t xml:space="preserve"> (introduced 2020, increasing frequency)</w:t>
      </w:r>
    </w:p>
    <w:p>
      <w:pPr>
        <w:pStyle w:val="ListBullet"/>
      </w:pPr>
      <w:r>
        <w:rPr>
          <w:b/>
        </w:rPr>
        <w:t>Anti-Hybrid Rules</w:t>
      </w:r>
      <w:r>
        <w:t xml:space="preserve"> (BEPS implementation, tested 2021)</w:t>
      </w:r>
    </w:p>
    <w:p>
      <w:pPr>
        <w:pStyle w:val="ListBullet"/>
      </w:pPr>
      <w:r>
        <w:rPr>
          <w:b/>
        </w:rPr>
        <w:t>Non-resident companies with UK property</w:t>
      </w:r>
      <w:r>
        <w:t xml:space="preserve"> (CT from April 2020, tested)</w:t>
      </w:r>
    </w:p>
    <w:p>
      <w:pPr>
        <w:pStyle w:val="ListBullet"/>
      </w:pPr>
      <w:r>
        <w:rPr>
          <w:b/>
        </w:rPr>
        <w:t>Deemed domicile rules</w:t>
      </w:r>
      <w:r>
        <w:t xml:space="preserve"> (2017 changes, regularly tested)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Mark Allocation Insights</w:t>
      </w:r>
    </w:p>
    <w:p>
      <w:pPr>
        <w:pStyle w:val="Heading3"/>
      </w:pPr>
      <w:r>
        <w:t>Part A Question Structure</w:t>
      </w:r>
    </w:p>
    <w:p>
      <w:r>
        <w:rPr>
          <w:b/>
        </w:rPr>
        <w:t>Typical 25-mark Part A question breakdown:</w:t>
      </w:r>
    </w:p>
    <w:p>
      <w:r>
        <w:rPr>
          <w:b/>
        </w:rPr>
        <w:t>Individual Residence (SRT) Question:</w:t>
      </w:r>
    </w:p>
    <w:p>
      <w:pPr>
        <w:pStyle w:val="ListBullet"/>
      </w:pPr>
      <w:r>
        <w:t>Issue identification: 2-3 marks</w:t>
      </w:r>
    </w:p>
    <w:p>
      <w:pPr>
        <w:pStyle w:val="ListBullet"/>
      </w:pPr>
      <w:r>
        <w:t>Automatic tests analysis: 4-5 marks</w:t>
      </w:r>
    </w:p>
    <w:p>
      <w:pPr>
        <w:pStyle w:val="ListBullet"/>
      </w:pPr>
      <w:r>
        <w:t>Sufficient ties test (if applicable): 5-6 marks</w:t>
      </w:r>
    </w:p>
    <w:p>
      <w:pPr>
        <w:pStyle w:val="ListBullet"/>
      </w:pPr>
      <w:r>
        <w:t>Split year treatment: 3-4 marks</w:t>
      </w:r>
    </w:p>
    <w:p>
      <w:pPr>
        <w:pStyle w:val="ListBullet"/>
      </w:pPr>
      <w:r>
        <w:t>Temporary non-residence rules: 3-4 marks</w:t>
      </w:r>
    </w:p>
    <w:p>
      <w:pPr>
        <w:pStyle w:val="ListBullet"/>
      </w:pPr>
      <w:r>
        <w:t>Tax consequences: 4-5 marks</w:t>
      </w:r>
    </w:p>
    <w:p>
      <w:pPr>
        <w:pStyle w:val="ListBullet"/>
      </w:pPr>
      <w:r>
        <w:t>Professional skills/presentation: 2-3 marks</w:t>
      </w:r>
    </w:p>
    <w:p>
      <w:r>
        <w:rPr>
          <w:b/>
        </w:rPr>
        <w:t>Corporate Topic Question:</w:t>
      </w:r>
    </w:p>
    <w:p>
      <w:pPr>
        <w:pStyle w:val="ListBullet"/>
      </w:pPr>
      <w:r>
        <w:t>Background/rules: 4-5 marks</w:t>
      </w:r>
    </w:p>
    <w:p>
      <w:pPr>
        <w:pStyle w:val="ListBullet"/>
      </w:pPr>
      <w:r>
        <w:t>Application to scenario: 8-10 marks</w:t>
      </w:r>
    </w:p>
    <w:p>
      <w:pPr>
        <w:pStyle w:val="ListBullet"/>
      </w:pPr>
      <w:r>
        <w:t>Consequences/recommendations: 6-8 marks</w:t>
      </w:r>
    </w:p>
    <w:p>
      <w:pPr>
        <w:pStyle w:val="ListBullet"/>
      </w:pPr>
      <w:r>
        <w:t>Professional skills: 2-3 marks</w:t>
      </w:r>
    </w:p>
    <w:p>
      <w:pPr>
        <w:pStyle w:val="Heading3"/>
      </w:pPr>
      <w:r>
        <w:t>Part B Question Structure</w:t>
      </w:r>
    </w:p>
    <w:p>
      <w:r>
        <w:rPr>
          <w:b/>
        </w:rPr>
        <w:t>Typical 20-mark Part B question breakdown:</w:t>
      </w:r>
    </w:p>
    <w:p>
      <w:pPr>
        <w:pStyle w:val="ListBullet"/>
      </w:pPr>
      <w:r>
        <w:t>Rules and principles: 5-6 marks</w:t>
      </w:r>
    </w:p>
    <w:p>
      <w:pPr>
        <w:pStyle w:val="ListBullet"/>
      </w:pPr>
      <w:r>
        <w:t>Detailed application: 8-10 marks</w:t>
      </w:r>
    </w:p>
    <w:p>
      <w:pPr>
        <w:pStyle w:val="ListBullet"/>
      </w:pPr>
      <w:r>
        <w:t>Practical advice/calculations: 4-5 marks</w:t>
      </w:r>
    </w:p>
    <w:p>
      <w:pPr>
        <w:pStyle w:val="ListBullet"/>
      </w:pPr>
      <w:r>
        <w:t>Professional skills: 2 marks</w:t>
      </w:r>
    </w:p>
    <w:p>
      <w:pPr>
        <w:pStyle w:val="Heading3"/>
      </w:pPr>
      <w:r>
        <w:t>Part C Question Structure</w:t>
      </w:r>
    </w:p>
    <w:p>
      <w:r>
        <w:rPr>
          <w:b/>
        </w:rPr>
        <w:t>Typical 15-mark Part C question breakdown:</w:t>
      </w:r>
    </w:p>
    <w:p>
      <w:pPr>
        <w:pStyle w:val="ListBullet"/>
      </w:pPr>
      <w:r>
        <w:t>Brief overview of rules: 3-4 marks</w:t>
      </w:r>
    </w:p>
    <w:p>
      <w:pPr>
        <w:pStyle w:val="ListBullet"/>
      </w:pPr>
      <w:r>
        <w:t>Specific application: 7-9 marks</w:t>
      </w:r>
    </w:p>
    <w:p>
      <w:pPr>
        <w:pStyle w:val="ListBullet"/>
      </w:pPr>
      <w:r>
        <w:t>Conclusions/recommendations: 2-3 marks</w:t>
      </w:r>
    </w:p>
    <w:p>
      <w:pPr>
        <w:pStyle w:val="ListBullet"/>
      </w:pPr>
      <w:r>
        <w:t>Professional skills: 1-2 marks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Conclusion</w:t>
      </w:r>
    </w:p>
    <w:p>
      <w:r>
        <w:rPr>
          <w:b/>
        </w:rPr>
        <w:t>Priority Study Ladder (Based on 8 sessions: Dec 2020 - June 2025):</w:t>
      </w:r>
    </w:p>
    <w:p>
      <w:r>
        <w:rPr>
          <w:b/>
        </w:rPr>
        <w:t>Tier 1 (CRITICAL - Cannot skip - 45% of 1-month study time):</w:t>
      </w:r>
    </w:p>
    <w:p>
      <w:pPr>
        <w:pStyle w:val="ListNumber"/>
      </w:pPr>
      <w:r>
        <w:t>Individual Residence (SRT) - 100% (8/8)</w:t>
      </w:r>
    </w:p>
    <w:p>
      <w:pPr>
        <w:pStyle w:val="ListNumber"/>
      </w:pPr>
      <w:r>
        <w:t>Domicile - 88% (7/8)</w:t>
      </w:r>
    </w:p>
    <w:p>
      <w:pPr>
        <w:pStyle w:val="ListNumber"/>
      </w:pPr>
      <w:r>
        <w:t>Remittance Basis - 75% (6/8)</w:t>
      </w:r>
    </w:p>
    <w:p>
      <w:r>
        <w:rPr>
          <w:b/>
        </w:rPr>
        <w:t>Tier 2 (HIGH PRIORITY - Essential for good score - 35% of study time):</w:t>
      </w:r>
    </w:p>
    <w:p>
      <w:pPr>
        <w:pStyle w:val="ListNumber"/>
      </w:pPr>
      <w:r>
        <w:t>Transfer Pricing - 75% (6/8) ↑ Rising!</w:t>
      </w:r>
    </w:p>
    <w:p>
      <w:pPr>
        <w:pStyle w:val="ListNumber"/>
      </w:pPr>
      <w:r>
        <w:t>Corporate Residence &amp; PE - 63% (5/8)</w:t>
      </w:r>
    </w:p>
    <w:p>
      <w:pPr>
        <w:pStyle w:val="ListNumber"/>
      </w:pPr>
      <w:r>
        <w:t>Permanent Establishment - 63% (5/8)</w:t>
      </w:r>
    </w:p>
    <w:p>
      <w:pPr>
        <w:pStyle w:val="ListNumber"/>
      </w:pPr>
      <w:r>
        <w:t>Business Investment Relief - 63% (5/8)</w:t>
      </w:r>
    </w:p>
    <w:p>
      <w:pPr>
        <w:pStyle w:val="ListNumber"/>
      </w:pPr>
      <w:r>
        <w:t>Trusts (Offshore/International) - 63% (5/8)</w:t>
      </w:r>
    </w:p>
    <w:p>
      <w:r>
        <w:rPr>
          <w:b/>
        </w:rPr>
        <w:t>Tier 3 (IMPORTANT - Provides options - 15% of study time):</w:t>
      </w:r>
    </w:p>
    <w:p>
      <w:pPr>
        <w:pStyle w:val="ListNumber"/>
      </w:pPr>
      <w:r>
        <w:t>Controlled Foreign Companies - 50% (4/8)</w:t>
      </w:r>
    </w:p>
    <w:p>
      <w:pPr>
        <w:pStyle w:val="ListNumber"/>
      </w:pPr>
      <w:r>
        <w:t>Corporate Interest Restriction - 50% (4/8)</w:t>
      </w:r>
    </w:p>
    <w:p>
      <w:pPr>
        <w:pStyle w:val="ListNumber"/>
      </w:pPr>
      <w:r>
        <w:t>ATED - 50% (4/8) (Part C)</w:t>
      </w:r>
    </w:p>
    <w:p>
      <w:pPr>
        <w:pStyle w:val="ListNumber"/>
      </w:pPr>
      <w:r>
        <w:t>Withholding Tax - 50% (4/8)</w:t>
      </w:r>
    </w:p>
    <w:p>
      <w:r>
        <w:rPr>
          <w:b/>
        </w:rPr>
        <w:t>Tier 4 (EMERGING - Watch carefully - 5% of study time):</w:t>
      </w:r>
    </w:p>
    <w:p>
      <w:pPr>
        <w:pStyle w:val="ListNumber"/>
      </w:pPr>
      <w:r>
        <w:t>Diverted Profits Tax - NEW in June 2025 ↑↑ HIGH PRIORITY</w:t>
      </w:r>
    </w:p>
    <w:p>
      <w:pPr>
        <w:pStyle w:val="ListNumber"/>
      </w:pPr>
      <w:r>
        <w:t>Offshore Insurance Bonds - NEW in June 2025 ↑</w:t>
      </w:r>
    </w:p>
    <w:p>
      <w:pPr>
        <w:pStyle w:val="ListNumber"/>
      </w:pPr>
      <w:r>
        <w:t>Protected Settlements - NEW in June 2025 ↑</w:t>
      </w:r>
    </w:p>
    <w:p>
      <w:pPr>
        <w:pStyle w:val="ListNumber"/>
      </w:pPr>
      <w:r>
        <w:t>Digital Services Tax - 38% (3/8)</w:t>
      </w:r>
    </w:p>
    <w:p>
      <w:pPr>
        <w:pStyle w:val="ListNumber"/>
      </w:pPr>
      <w:r>
        <w:t>ToAA - 25% (2/8) ↑</w:t>
      </w:r>
    </w:p>
    <w:p>
      <w:r>
        <w:rPr>
          <w:b/>
        </w:rPr>
        <w:t>Exam Day Strategy:</w:t>
      </w:r>
    </w:p>
    <w:p>
      <w:pPr>
        <w:pStyle w:val="ListBullet"/>
      </w:pPr>
      <w:r>
        <w:t>Part A: No choice - must answer both. SRT is GUARANTEED (100%). Second question rotates between CIR, CFCs, Corporate Residence/PE.</w:t>
      </w:r>
    </w:p>
    <w:p>
      <w:pPr>
        <w:pStyle w:val="ListBullet"/>
      </w:pPr>
      <w:r>
        <w:t>Part B: Choose your stronger area between corporate (Q3) and individual/property (Q4).</w:t>
      </w:r>
    </w:p>
    <w:p>
      <w:pPr>
        <w:pStyle w:val="ListBullet"/>
      </w:pPr>
      <w:r>
        <w:t>Part C: Aim to be confident in at least 3 out of 5 topics to have genuine choice.</w:t>
      </w:r>
    </w:p>
    <w:p>
      <w:r>
        <w:rPr>
          <w:b/>
        </w:rPr>
        <w:t>Recommended 1-Month Preparation Mix:</w:t>
      </w:r>
    </w:p>
    <w:p>
      <w:pPr>
        <w:pStyle w:val="ListBullet"/>
      </w:pPr>
      <w:r>
        <w:rPr>
          <w:b/>
        </w:rPr>
        <w:t>Week 1-2</w:t>
      </w:r>
      <w:r>
        <w:t>: 45% time on Tier 1 topics (SRT, Domicile, Remittance Basis)</w:t>
      </w:r>
    </w:p>
    <w:p>
      <w:pPr>
        <w:pStyle w:val="ListBullet"/>
      </w:pPr>
      <w:r>
        <w:rPr>
          <w:b/>
        </w:rPr>
        <w:t>Week 2-3</w:t>
      </w:r>
      <w:r>
        <w:t>: 35% time on Tier 2 topics (TP, Corporate Residence/PE, Trusts, BIR)</w:t>
      </w:r>
    </w:p>
    <w:p>
      <w:pPr>
        <w:pStyle w:val="ListBullet"/>
      </w:pPr>
      <w:r>
        <w:rPr>
          <w:b/>
        </w:rPr>
        <w:t>Week 3-4</w:t>
      </w:r>
      <w:r>
        <w:t>: 15% time on Tier 3 topics (CFCs, CIR, ATED, Withholding Tax)</w:t>
      </w:r>
    </w:p>
    <w:p>
      <w:pPr>
        <w:pStyle w:val="ListBullet"/>
      </w:pPr>
      <w:r>
        <w:rPr>
          <w:b/>
        </w:rPr>
        <w:t>Week 4</w:t>
      </w:r>
      <w:r>
        <w:t>: 5% time on Tier 4 emerging topics + integration practice + past papers</w:t>
      </w:r>
    </w:p>
    <w:p>
      <w:r>
        <w:rPr>
          <w:b/>
        </w:rPr>
        <w:t>Critical Insight from June 2025 Exam:</w:t>
      </w:r>
    </w:p>
    <w:p>
      <w:r>
        <w:t xml:space="preserve">The appearance of </w:t>
      </w:r>
      <w:r>
        <w:rPr>
          <w:b/>
        </w:rPr>
        <w:t>Diverted Profits Tax</w:t>
      </w:r>
      <w:r>
        <w:t xml:space="preserve">, </w:t>
      </w:r>
      <w:r>
        <w:rPr>
          <w:b/>
        </w:rPr>
        <w:t>Offshore Insurance Bonds</w:t>
      </w:r>
      <w:r>
        <w:t xml:space="preserve">, and </w:t>
      </w:r>
      <w:r>
        <w:rPr>
          <w:b/>
        </w:rPr>
        <w:t>Protected Settlements</w:t>
      </w:r>
      <w:r>
        <w:t xml:space="preserve"> signals the examiners are introducing new technical areas. These topics have HIGH probability for December 2025!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Last Updated: November 2025</w:t>
      </w:r>
    </w:p>
    <w:p>
      <w:r>
        <w:rPr>
          <w:i/>
        </w:rPr>
        <w:t>Based on analysis of 8 exam sessions (December 2020 to June 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