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05: APPENDICES</w:t>
      </w:r>
    </w:p>
    <w:p>
      <w:pPr>
        <w:pStyle w:val="Heading2"/>
      </w:pPr>
      <w:r>
        <w:t>Quick Reference Materials for ADIT UK Module 2.09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APPENDIX 5.1: TAX RATES &amp; ALLOWANCES</w:t>
      </w:r>
    </w:p>
    <w:p>
      <w:pPr>
        <w:pStyle w:val="Heading2"/>
      </w:pPr>
      <w:r>
        <w:t>Income Tax Rates and Thresholds</w:t>
      </w:r>
    </w:p>
    <w:p>
      <w:pPr>
        <w:pStyle w:val="Heading3"/>
      </w:pPr>
      <w:r>
        <w:t>2024/25 Tax Year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Threshold</w:t>
            </w:r>
          </w:p>
        </w:tc>
      </w:tr>
      <w:tr>
        <w:tc>
          <w:tcPr>
            <w:tcW w:type="dxa" w:w="2880"/>
          </w:tcPr>
          <w:p>
            <w:r/>
            <w:r>
              <w:t>Personal Allowance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  <w:tc>
          <w:tcPr>
            <w:tcW w:type="dxa" w:w="2880"/>
          </w:tcPr>
          <w:p>
            <w:r/>
            <w:r>
              <w:t>£12,570</w:t>
            </w:r>
          </w:p>
        </w:tc>
      </w:tr>
      <w:tr>
        <w:tc>
          <w:tcPr>
            <w:tcW w:type="dxa" w:w="2880"/>
          </w:tcPr>
          <w:p>
            <w:r/>
            <w:r>
              <w:t>Basic Rate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£1 - £37,700</w:t>
            </w:r>
          </w:p>
        </w:tc>
      </w:tr>
      <w:tr>
        <w:tc>
          <w:tcPr>
            <w:tcW w:type="dxa" w:w="2880"/>
          </w:tcPr>
          <w:p>
            <w:r/>
            <w:r>
              <w:t>Higher Rate</w:t>
            </w:r>
          </w:p>
        </w:tc>
        <w:tc>
          <w:tcPr>
            <w:tcW w:type="dxa" w:w="2880"/>
          </w:tcPr>
          <w:p>
            <w:r/>
            <w:r>
              <w:t>40%</w:t>
            </w:r>
          </w:p>
        </w:tc>
        <w:tc>
          <w:tcPr>
            <w:tcW w:type="dxa" w:w="2880"/>
          </w:tcPr>
          <w:p>
            <w:r/>
            <w:r>
              <w:t>£37,701 - £125,140</w:t>
            </w:r>
          </w:p>
        </w:tc>
      </w:tr>
      <w:tr>
        <w:tc>
          <w:tcPr>
            <w:tcW w:type="dxa" w:w="2880"/>
          </w:tcPr>
          <w:p>
            <w:r/>
            <w:r>
              <w:t>Additional Rate</w:t>
            </w:r>
          </w:p>
        </w:tc>
        <w:tc>
          <w:tcPr>
            <w:tcW w:type="dxa" w:w="2880"/>
          </w:tcPr>
          <w:p>
            <w:r/>
            <w:r>
              <w:t>45%</w:t>
            </w:r>
          </w:p>
        </w:tc>
        <w:tc>
          <w:tcPr>
            <w:tcW w:type="dxa" w:w="2880"/>
          </w:tcPr>
          <w:p>
            <w:r/>
            <w:r>
              <w:t>Above £125,140</w:t>
            </w:r>
          </w:p>
        </w:tc>
      </w:tr>
    </w:tbl>
    <w:p/>
    <w:p>
      <w:r>
        <w:rPr>
          <w:b/>
        </w:rPr>
        <w:t>Note</w:t>
      </w:r>
      <w:r>
        <w:t>: Personal allowance reduced by £1 for every £2 of adjusted net income above £100,000. Fully withdrawn at £125,140.</w:t>
      </w:r>
    </w:p>
    <w:p>
      <w:pPr>
        <w:pStyle w:val="Heading3"/>
      </w:pPr>
      <w:r>
        <w:t>Savings Income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Starting rate for savings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  <w:tc>
          <w:tcPr>
            <w:tcW w:type="dxa" w:w="2880"/>
          </w:tcPr>
          <w:p>
            <w:r/>
            <w:r>
              <w:t>First £5,000 (if non-savings income below threshold)</w:t>
            </w:r>
          </w:p>
        </w:tc>
      </w:tr>
      <w:tr>
        <w:tc>
          <w:tcPr>
            <w:tcW w:type="dxa" w:w="2880"/>
          </w:tcPr>
          <w:p>
            <w:r/>
            <w:r>
              <w:t>Savings allowance - Basic rate</w:t>
            </w:r>
          </w:p>
        </w:tc>
        <w:tc>
          <w:tcPr>
            <w:tcW w:type="dxa" w:w="2880"/>
          </w:tcPr>
          <w:p>
            <w:r/>
            <w:r>
              <w:t>£1,000</w:t>
            </w:r>
          </w:p>
        </w:tc>
        <w:tc>
          <w:tcPr>
            <w:tcW w:type="dxa" w:w="2880"/>
          </w:tcPr>
          <w:p>
            <w:r/>
            <w:r>
              <w:t>Tax-free savings income</w:t>
            </w:r>
          </w:p>
        </w:tc>
      </w:tr>
      <w:tr>
        <w:tc>
          <w:tcPr>
            <w:tcW w:type="dxa" w:w="2880"/>
          </w:tcPr>
          <w:p>
            <w:r/>
            <w:r>
              <w:t>Savings allowance - Higher rate</w:t>
            </w:r>
          </w:p>
        </w:tc>
        <w:tc>
          <w:tcPr>
            <w:tcW w:type="dxa" w:w="2880"/>
          </w:tcPr>
          <w:p>
            <w:r/>
            <w:r>
              <w:t>£500</w:t>
            </w:r>
          </w:p>
        </w:tc>
        <w:tc>
          <w:tcPr>
            <w:tcW w:type="dxa" w:w="2880"/>
          </w:tcPr>
          <w:p>
            <w:r/>
            <w:r>
              <w:t>Tax-free savings income</w:t>
            </w:r>
          </w:p>
        </w:tc>
      </w:tr>
      <w:tr>
        <w:tc>
          <w:tcPr>
            <w:tcW w:type="dxa" w:w="2880"/>
          </w:tcPr>
          <w:p>
            <w:r/>
            <w:r>
              <w:t>Savings allowance - Additional rate</w:t>
            </w:r>
          </w:p>
        </w:tc>
        <w:tc>
          <w:tcPr>
            <w:tcW w:type="dxa" w:w="2880"/>
          </w:tcPr>
          <w:p>
            <w:r/>
            <w:r>
              <w:t>£Nil</w:t>
            </w:r>
          </w:p>
        </w:tc>
        <w:tc>
          <w:tcPr>
            <w:tcW w:type="dxa" w:w="2880"/>
          </w:tcPr>
          <w:p>
            <w:r/>
            <w:r>
              <w:t>No allowance</w:t>
            </w:r>
          </w:p>
        </w:tc>
      </w:tr>
    </w:tbl>
    <w:p/>
    <w:p>
      <w:pPr>
        <w:pStyle w:val="Heading3"/>
      </w:pPr>
      <w:r>
        <w:t>Dividend Tax Rates 2024/25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Band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Dividend allowance</w:t>
            </w:r>
          </w:p>
        </w:tc>
        <w:tc>
          <w:tcPr>
            <w:tcW w:type="dxa" w:w="4320"/>
          </w:tcPr>
          <w:p>
            <w:r/>
            <w:r>
              <w:t>£500 (2024/25), £1,000 (2023/24)</w:t>
            </w:r>
          </w:p>
        </w:tc>
      </w:tr>
      <w:tr>
        <w:tc>
          <w:tcPr>
            <w:tcW w:type="dxa" w:w="4320"/>
          </w:tcPr>
          <w:p>
            <w:r/>
            <w:r>
              <w:t>Dividend ordinary rate</w:t>
            </w:r>
          </w:p>
        </w:tc>
        <w:tc>
          <w:tcPr>
            <w:tcW w:type="dxa" w:w="4320"/>
          </w:tcPr>
          <w:p>
            <w:r/>
            <w:r>
              <w:t>8.75%</w:t>
            </w:r>
          </w:p>
        </w:tc>
      </w:tr>
      <w:tr>
        <w:tc>
          <w:tcPr>
            <w:tcW w:type="dxa" w:w="4320"/>
          </w:tcPr>
          <w:p>
            <w:r/>
            <w:r>
              <w:t>Dividend upper rate</w:t>
            </w:r>
          </w:p>
        </w:tc>
        <w:tc>
          <w:tcPr>
            <w:tcW w:type="dxa" w:w="4320"/>
          </w:tcPr>
          <w:p>
            <w:r/>
            <w:r>
              <w:t>33.75%</w:t>
            </w:r>
          </w:p>
        </w:tc>
      </w:tr>
      <w:tr>
        <w:tc>
          <w:tcPr>
            <w:tcW w:type="dxa" w:w="4320"/>
          </w:tcPr>
          <w:p>
            <w:r/>
            <w:r>
              <w:t>Dividend additional rate</w:t>
            </w:r>
          </w:p>
        </w:tc>
        <w:tc>
          <w:tcPr>
            <w:tcW w:type="dxa" w:w="4320"/>
          </w:tcPr>
          <w:p>
            <w:r/>
            <w:r>
              <w:t>39.35%</w:t>
            </w:r>
          </w:p>
        </w:tc>
      </w:tr>
    </w:tbl>
    <w:p/>
    <w:p>
      <w:pPr>
        <w:pStyle w:val="Heading3"/>
      </w:pPr>
      <w:r>
        <w:t>Scottish Tax Rates 2024/25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Threshold</w:t>
            </w:r>
          </w:p>
        </w:tc>
      </w:tr>
      <w:tr>
        <w:tc>
          <w:tcPr>
            <w:tcW w:type="dxa" w:w="2880"/>
          </w:tcPr>
          <w:p>
            <w:r/>
            <w:r>
              <w:t>Starter rate</w:t>
            </w:r>
          </w:p>
        </w:tc>
        <w:tc>
          <w:tcPr>
            <w:tcW w:type="dxa" w:w="2880"/>
          </w:tcPr>
          <w:p>
            <w:r/>
            <w:r>
              <w:t>19%</w:t>
            </w:r>
          </w:p>
        </w:tc>
        <w:tc>
          <w:tcPr>
            <w:tcW w:type="dxa" w:w="2880"/>
          </w:tcPr>
          <w:p>
            <w:r/>
            <w:r>
              <w:t>£1 - £2,306</w:t>
            </w:r>
          </w:p>
        </w:tc>
      </w:tr>
      <w:tr>
        <w:tc>
          <w:tcPr>
            <w:tcW w:type="dxa" w:w="2880"/>
          </w:tcPr>
          <w:p>
            <w:r/>
            <w:r>
              <w:t>Scottish basic rate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£2,307 - £13,991</w:t>
            </w:r>
          </w:p>
        </w:tc>
      </w:tr>
      <w:tr>
        <w:tc>
          <w:tcPr>
            <w:tcW w:type="dxa" w:w="2880"/>
          </w:tcPr>
          <w:p>
            <w:r/>
            <w:r>
              <w:t>Intermediate rate</w:t>
            </w:r>
          </w:p>
        </w:tc>
        <w:tc>
          <w:tcPr>
            <w:tcW w:type="dxa" w:w="2880"/>
          </w:tcPr>
          <w:p>
            <w:r/>
            <w:r>
              <w:t>21%</w:t>
            </w:r>
          </w:p>
        </w:tc>
        <w:tc>
          <w:tcPr>
            <w:tcW w:type="dxa" w:w="2880"/>
          </w:tcPr>
          <w:p>
            <w:r/>
            <w:r>
              <w:t>£13,992 - £31,092</w:t>
            </w:r>
          </w:p>
        </w:tc>
      </w:tr>
      <w:tr>
        <w:tc>
          <w:tcPr>
            <w:tcW w:type="dxa" w:w="2880"/>
          </w:tcPr>
          <w:p>
            <w:r/>
            <w:r>
              <w:t>Higher rate</w:t>
            </w:r>
          </w:p>
        </w:tc>
        <w:tc>
          <w:tcPr>
            <w:tcW w:type="dxa" w:w="2880"/>
          </w:tcPr>
          <w:p>
            <w:r/>
            <w:r>
              <w:t>42%</w:t>
            </w:r>
          </w:p>
        </w:tc>
        <w:tc>
          <w:tcPr>
            <w:tcW w:type="dxa" w:w="2880"/>
          </w:tcPr>
          <w:p>
            <w:r/>
            <w:r>
              <w:t>£31,093 - £62,430</w:t>
            </w:r>
          </w:p>
        </w:tc>
      </w:tr>
      <w:tr>
        <w:tc>
          <w:tcPr>
            <w:tcW w:type="dxa" w:w="2880"/>
          </w:tcPr>
          <w:p>
            <w:r/>
            <w:r>
              <w:t>Advanced rate</w:t>
            </w:r>
          </w:p>
        </w:tc>
        <w:tc>
          <w:tcPr>
            <w:tcW w:type="dxa" w:w="2880"/>
          </w:tcPr>
          <w:p>
            <w:r/>
            <w:r>
              <w:t>45%</w:t>
            </w:r>
          </w:p>
        </w:tc>
        <w:tc>
          <w:tcPr>
            <w:tcW w:type="dxa" w:w="2880"/>
          </w:tcPr>
          <w:p>
            <w:r/>
            <w:r>
              <w:t>£62,431 - £125,140</w:t>
            </w:r>
          </w:p>
        </w:tc>
      </w:tr>
      <w:tr>
        <w:tc>
          <w:tcPr>
            <w:tcW w:type="dxa" w:w="2880"/>
          </w:tcPr>
          <w:p>
            <w:r/>
            <w:r>
              <w:t>Top rate</w:t>
            </w:r>
          </w:p>
        </w:tc>
        <w:tc>
          <w:tcPr>
            <w:tcW w:type="dxa" w:w="2880"/>
          </w:tcPr>
          <w:p>
            <w:r/>
            <w:r>
              <w:t>48%</w:t>
            </w:r>
          </w:p>
        </w:tc>
        <w:tc>
          <w:tcPr>
            <w:tcW w:type="dxa" w:w="2880"/>
          </w:tcPr>
          <w:p>
            <w:r/>
            <w:r>
              <w:t>Above £125,140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Corporation Tax Rates</w:t>
      </w:r>
    </w:p>
    <w:p>
      <w:pPr>
        <w:pStyle w:val="Heading3"/>
      </w:pPr>
      <w:r>
        <w:t>Financial Year 2024 (1 April 2024 - 31 March 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Threshold</w:t>
            </w:r>
          </w:p>
        </w:tc>
      </w:tr>
      <w:tr>
        <w:tc>
          <w:tcPr>
            <w:tcW w:type="dxa" w:w="2880"/>
          </w:tcPr>
          <w:p>
            <w:r/>
            <w:r>
              <w:t>Main rate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  <w:tc>
          <w:tcPr>
            <w:tcW w:type="dxa" w:w="2880"/>
          </w:tcPr>
          <w:p>
            <w:r/>
            <w:r>
              <w:t>Profits &gt; £250,000</w:t>
            </w:r>
          </w:p>
        </w:tc>
      </w:tr>
      <w:tr>
        <w:tc>
          <w:tcPr>
            <w:tcW w:type="dxa" w:w="2880"/>
          </w:tcPr>
          <w:p>
            <w:r/>
            <w:r>
              <w:t>Small profits rate</w:t>
            </w:r>
          </w:p>
        </w:tc>
        <w:tc>
          <w:tcPr>
            <w:tcW w:type="dxa" w:w="2880"/>
          </w:tcPr>
          <w:p>
            <w:r/>
            <w:r>
              <w:t>19%</w:t>
            </w:r>
          </w:p>
        </w:tc>
        <w:tc>
          <w:tcPr>
            <w:tcW w:type="dxa" w:w="2880"/>
          </w:tcPr>
          <w:p>
            <w:r/>
            <w:r>
              <w:t>Profits ≤ £50,000</w:t>
            </w:r>
          </w:p>
        </w:tc>
      </w:tr>
      <w:tr>
        <w:tc>
          <w:tcPr>
            <w:tcW w:type="dxa" w:w="2880"/>
          </w:tcPr>
          <w:p>
            <w:r/>
            <w:r>
              <w:t>Marginal rate</w:t>
            </w:r>
          </w:p>
        </w:tc>
        <w:tc>
          <w:tcPr>
            <w:tcW w:type="dxa" w:w="2880"/>
          </w:tcPr>
          <w:p>
            <w:r/>
            <w:r>
              <w:t>26.5%</w:t>
            </w:r>
          </w:p>
        </w:tc>
        <w:tc>
          <w:tcPr>
            <w:tcW w:type="dxa" w:w="2880"/>
          </w:tcPr>
          <w:p>
            <w:r/>
            <w:r>
              <w:t>£50,001 - £250,000</w:t>
            </w:r>
          </w:p>
        </w:tc>
      </w:tr>
      <w:tr>
        <w:tc>
          <w:tcPr>
            <w:tcW w:type="dxa" w:w="2880"/>
          </w:tcPr>
          <w:p>
            <w:r/>
            <w:r>
              <w:t>Marginal relief fraction</w:t>
            </w:r>
          </w:p>
        </w:tc>
        <w:tc>
          <w:tcPr>
            <w:tcW w:type="dxa" w:w="2880"/>
          </w:tcPr>
          <w:p>
            <w:r/>
            <w:r>
              <w:t>3/200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Patent Box rate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Qualifying IP income</w:t>
            </w:r>
          </w:p>
        </w:tc>
      </w:tr>
    </w:tbl>
    <w:p/>
    <w:p>
      <w:r>
        <w:rPr>
          <w:b/>
        </w:rPr>
        <w:t>Associated Companies</w:t>
      </w:r>
      <w:r>
        <w:t>: Thresholds divided by number of associated companies + 1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Capital Gains Tax Rates</w:t>
      </w:r>
    </w:p>
    <w:p>
      <w:pPr>
        <w:pStyle w:val="Heading3"/>
      </w:pPr>
      <w:r>
        <w:t>2024/25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Basic Rate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Higher Rate</w:t>
            </w:r>
          </w:p>
        </w:tc>
      </w:tr>
      <w:tr>
        <w:tc>
          <w:tcPr>
            <w:tcW w:type="dxa" w:w="2880"/>
          </w:tcPr>
          <w:p>
            <w:r/>
            <w:r>
              <w:t>Standard assets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</w:tr>
      <w:tr>
        <w:tc>
          <w:tcPr>
            <w:tcW w:type="dxa" w:w="2880"/>
          </w:tcPr>
          <w:p>
            <w:r/>
            <w:r>
              <w:t>Residential property</w:t>
            </w:r>
          </w:p>
        </w:tc>
        <w:tc>
          <w:tcPr>
            <w:tcW w:type="dxa" w:w="2880"/>
          </w:tcPr>
          <w:p>
            <w:r/>
            <w:r>
              <w:t>18%</w:t>
            </w:r>
          </w:p>
        </w:tc>
        <w:tc>
          <w:tcPr>
            <w:tcW w:type="dxa" w:w="2880"/>
          </w:tcPr>
          <w:p>
            <w:r/>
            <w:r>
              <w:t>24% (was 28% in 2023/24)</w:t>
            </w:r>
          </w:p>
        </w:tc>
      </w:tr>
      <w:tr>
        <w:tc>
          <w:tcPr>
            <w:tcW w:type="dxa" w:w="2880"/>
          </w:tcPr>
          <w:p>
            <w:r/>
            <w:r>
              <w:t>Business Asset Disposal Relief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10% (up to £1m lifetime)</w:t>
            </w:r>
          </w:p>
        </w:tc>
      </w:tr>
      <w:tr>
        <w:tc>
          <w:tcPr>
            <w:tcW w:type="dxa" w:w="2880"/>
          </w:tcPr>
          <w:p>
            <w:r/>
            <w:r>
              <w:t>Investors' Relief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10% (up to £10m lifetime)</w:t>
            </w:r>
          </w:p>
        </w:tc>
      </w:tr>
    </w:tbl>
    <w:p/>
    <w:p>
      <w:pPr>
        <w:pStyle w:val="Heading3"/>
      </w:pPr>
      <w:r>
        <w:t>Annual Exempt Amounts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Individuals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Trusts</w:t>
            </w:r>
          </w:p>
        </w:tc>
      </w:tr>
      <w:tr>
        <w:tc>
          <w:tcPr>
            <w:tcW w:type="dxa" w:w="2880"/>
          </w:tcPr>
          <w:p>
            <w:r/>
            <w:r>
              <w:t>2024/25</w:t>
            </w:r>
          </w:p>
        </w:tc>
        <w:tc>
          <w:tcPr>
            <w:tcW w:type="dxa" w:w="2880"/>
          </w:tcPr>
          <w:p>
            <w:r/>
            <w:r>
              <w:t>£3,000</w:t>
            </w:r>
          </w:p>
        </w:tc>
        <w:tc>
          <w:tcPr>
            <w:tcW w:type="dxa" w:w="2880"/>
          </w:tcPr>
          <w:p>
            <w:r/>
            <w:r>
              <w:t>£1,500</w:t>
            </w:r>
          </w:p>
        </w:tc>
      </w:tr>
      <w:tr>
        <w:tc>
          <w:tcPr>
            <w:tcW w:type="dxa" w:w="2880"/>
          </w:tcPr>
          <w:p>
            <w:r/>
            <w:r>
              <w:t>2023/24</w:t>
            </w:r>
          </w:p>
        </w:tc>
        <w:tc>
          <w:tcPr>
            <w:tcW w:type="dxa" w:w="2880"/>
          </w:tcPr>
          <w:p>
            <w:r/>
            <w:r>
              <w:t>£6,000</w:t>
            </w:r>
          </w:p>
        </w:tc>
        <w:tc>
          <w:tcPr>
            <w:tcW w:type="dxa" w:w="2880"/>
          </w:tcPr>
          <w:p>
            <w:r/>
            <w:r>
              <w:t>£3,000</w:t>
            </w:r>
          </w:p>
        </w:tc>
      </w:tr>
      <w:tr>
        <w:tc>
          <w:tcPr>
            <w:tcW w:type="dxa" w:w="2880"/>
          </w:tcPr>
          <w:p>
            <w:r/>
            <w:r>
              <w:t>2022/23</w:t>
            </w:r>
          </w:p>
        </w:tc>
        <w:tc>
          <w:tcPr>
            <w:tcW w:type="dxa" w:w="2880"/>
          </w:tcPr>
          <w:p>
            <w:r/>
            <w:r>
              <w:t>£12,300</w:t>
            </w:r>
          </w:p>
        </w:tc>
        <w:tc>
          <w:tcPr>
            <w:tcW w:type="dxa" w:w="2880"/>
          </w:tcPr>
          <w:p>
            <w:r/>
            <w:r>
              <w:t>£6,150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Inheritance Tax</w:t>
      </w:r>
    </w:p>
    <w:p>
      <w:pPr>
        <w:pStyle w:val="Heading3"/>
      </w:pPr>
      <w:r>
        <w:t>Rates and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2024/25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2023/24</w:t>
            </w:r>
          </w:p>
        </w:tc>
      </w:tr>
      <w:tr>
        <w:tc>
          <w:tcPr>
            <w:tcW w:type="dxa" w:w="2880"/>
          </w:tcPr>
          <w:p>
            <w:r/>
            <w:r>
              <w:t>Death rate</w:t>
            </w:r>
          </w:p>
        </w:tc>
        <w:tc>
          <w:tcPr>
            <w:tcW w:type="dxa" w:w="2880"/>
          </w:tcPr>
          <w:p>
            <w:r/>
            <w:r>
              <w:t>40%</w:t>
            </w:r>
          </w:p>
        </w:tc>
        <w:tc>
          <w:tcPr>
            <w:tcW w:type="dxa" w:w="2880"/>
          </w:tcPr>
          <w:p>
            <w:r/>
            <w:r>
              <w:t>40%</w:t>
            </w:r>
          </w:p>
        </w:tc>
      </w:tr>
      <w:tr>
        <w:tc>
          <w:tcPr>
            <w:tcW w:type="dxa" w:w="2880"/>
          </w:tcPr>
          <w:p>
            <w:r/>
            <w:r>
              <w:t>Lifetime rate (CLTs)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</w:tr>
      <w:tr>
        <w:tc>
          <w:tcPr>
            <w:tcW w:type="dxa" w:w="2880"/>
          </w:tcPr>
          <w:p>
            <w:r/>
            <w:r>
              <w:t>Charitable rate</w:t>
            </w:r>
          </w:p>
        </w:tc>
        <w:tc>
          <w:tcPr>
            <w:tcW w:type="dxa" w:w="2880"/>
          </w:tcPr>
          <w:p>
            <w:r/>
            <w:r>
              <w:t>36%</w:t>
            </w:r>
          </w:p>
        </w:tc>
        <w:tc>
          <w:tcPr>
            <w:tcW w:type="dxa" w:w="2880"/>
          </w:tcPr>
          <w:p>
            <w:r/>
            <w:r>
              <w:t>36%</w:t>
            </w:r>
          </w:p>
        </w:tc>
      </w:tr>
      <w:tr>
        <w:tc>
          <w:tcPr>
            <w:tcW w:type="dxa" w:w="2880"/>
          </w:tcPr>
          <w:p>
            <w:r/>
            <w:r>
              <w:t>Nil rate band</w:t>
            </w:r>
          </w:p>
        </w:tc>
        <w:tc>
          <w:tcPr>
            <w:tcW w:type="dxa" w:w="2880"/>
          </w:tcPr>
          <w:p>
            <w:r/>
            <w:r>
              <w:t>£325,000</w:t>
            </w:r>
          </w:p>
        </w:tc>
        <w:tc>
          <w:tcPr>
            <w:tcW w:type="dxa" w:w="2880"/>
          </w:tcPr>
          <w:p>
            <w:r/>
            <w:r>
              <w:t>£325,000</w:t>
            </w:r>
          </w:p>
        </w:tc>
      </w:tr>
      <w:tr>
        <w:tc>
          <w:tcPr>
            <w:tcW w:type="dxa" w:w="2880"/>
          </w:tcPr>
          <w:p>
            <w:r/>
            <w:r>
              <w:t>Residence nil rate band</w:t>
            </w:r>
          </w:p>
        </w:tc>
        <w:tc>
          <w:tcPr>
            <w:tcW w:type="dxa" w:w="2880"/>
          </w:tcPr>
          <w:p>
            <w:r/>
            <w:r>
              <w:t>£175,000</w:t>
            </w:r>
          </w:p>
        </w:tc>
        <w:tc>
          <w:tcPr>
            <w:tcW w:type="dxa" w:w="2880"/>
          </w:tcPr>
          <w:p>
            <w:r/>
            <w:r>
              <w:t>£175,000</w:t>
            </w:r>
          </w:p>
        </w:tc>
      </w:tr>
      <w:tr>
        <w:tc>
          <w:tcPr>
            <w:tcW w:type="dxa" w:w="2880"/>
          </w:tcPr>
          <w:p>
            <w:r/>
            <w:r>
              <w:t>RNRB taper threshold</w:t>
            </w:r>
          </w:p>
        </w:tc>
        <w:tc>
          <w:tcPr>
            <w:tcW w:type="dxa" w:w="2880"/>
          </w:tcPr>
          <w:p>
            <w:r/>
            <w:r>
              <w:t>£2,000,000</w:t>
            </w:r>
          </w:p>
        </w:tc>
        <w:tc>
          <w:tcPr>
            <w:tcW w:type="dxa" w:w="2880"/>
          </w:tcPr>
          <w:p>
            <w:r/>
            <w:r>
              <w:t>£2,000,000</w:t>
            </w:r>
          </w:p>
        </w:tc>
      </w:tr>
    </w:tbl>
    <w:p/>
    <w:p>
      <w:pPr>
        <w:pStyle w:val="Heading3"/>
      </w:pPr>
      <w:r>
        <w:t>Taper Relief (Death Within 7 Years of Gift)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Years Before Death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Taper %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Tax Payable %</w:t>
            </w:r>
          </w:p>
        </w:tc>
      </w:tr>
      <w:tr>
        <w:tc>
          <w:tcPr>
            <w:tcW w:type="dxa" w:w="2880"/>
          </w:tcPr>
          <w:p>
            <w:r/>
            <w:r>
              <w:t>0-3 years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  <w:tc>
          <w:tcPr>
            <w:tcW w:type="dxa" w:w="2880"/>
          </w:tcPr>
          <w:p>
            <w:r/>
            <w:r>
              <w:t>40%</w:t>
            </w:r>
          </w:p>
        </w:tc>
      </w:tr>
      <w:tr>
        <w:tc>
          <w:tcPr>
            <w:tcW w:type="dxa" w:w="2880"/>
          </w:tcPr>
          <w:p>
            <w:r/>
            <w:r>
              <w:t>3-4 years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32%</w:t>
            </w:r>
          </w:p>
        </w:tc>
      </w:tr>
      <w:tr>
        <w:tc>
          <w:tcPr>
            <w:tcW w:type="dxa" w:w="2880"/>
          </w:tcPr>
          <w:p>
            <w:r/>
            <w:r>
              <w:t>4-5 years</w:t>
            </w:r>
          </w:p>
        </w:tc>
        <w:tc>
          <w:tcPr>
            <w:tcW w:type="dxa" w:w="2880"/>
          </w:tcPr>
          <w:p>
            <w:r/>
            <w:r>
              <w:t>40%</w:t>
            </w:r>
          </w:p>
        </w:tc>
        <w:tc>
          <w:tcPr>
            <w:tcW w:type="dxa" w:w="2880"/>
          </w:tcPr>
          <w:p>
            <w:r/>
            <w:r>
              <w:t>24%</w:t>
            </w:r>
          </w:p>
        </w:tc>
      </w:tr>
      <w:tr>
        <w:tc>
          <w:tcPr>
            <w:tcW w:type="dxa" w:w="2880"/>
          </w:tcPr>
          <w:p>
            <w:r/>
            <w:r>
              <w:t>5-6 years</w:t>
            </w:r>
          </w:p>
        </w:tc>
        <w:tc>
          <w:tcPr>
            <w:tcW w:type="dxa" w:w="2880"/>
          </w:tcPr>
          <w:p>
            <w:r/>
            <w:r>
              <w:t>60%</w:t>
            </w:r>
          </w:p>
        </w:tc>
        <w:tc>
          <w:tcPr>
            <w:tcW w:type="dxa" w:w="2880"/>
          </w:tcPr>
          <w:p>
            <w:r/>
            <w:r>
              <w:t>16%</w:t>
            </w:r>
          </w:p>
        </w:tc>
      </w:tr>
      <w:tr>
        <w:tc>
          <w:tcPr>
            <w:tcW w:type="dxa" w:w="2880"/>
          </w:tcPr>
          <w:p>
            <w:r/>
            <w:r>
              <w:t>6-7 years</w:t>
            </w:r>
          </w:p>
        </w:tc>
        <w:tc>
          <w:tcPr>
            <w:tcW w:type="dxa" w:w="2880"/>
          </w:tcPr>
          <w:p>
            <w:r/>
            <w:r>
              <w:t>80%</w:t>
            </w:r>
          </w:p>
        </w:tc>
        <w:tc>
          <w:tcPr>
            <w:tcW w:type="dxa" w:w="2880"/>
          </w:tcPr>
          <w:p>
            <w:r/>
            <w:r>
              <w:t>8%</w:t>
            </w:r>
          </w:p>
        </w:tc>
      </w:tr>
      <w:tr>
        <w:tc>
          <w:tcPr>
            <w:tcW w:type="dxa" w:w="2880"/>
          </w:tcPr>
          <w:p>
            <w:r/>
            <w:r>
              <w:t>7+ years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  <w:tc>
          <w:tcPr>
            <w:tcW w:type="dxa" w:w="2880"/>
          </w:tcPr>
          <w:p>
            <w:r/>
            <w:r>
              <w:t>0% (exempt)</w:t>
            </w:r>
          </w:p>
        </w:tc>
      </w:tr>
    </w:tbl>
    <w:p/>
    <w:p>
      <w:pPr>
        <w:pStyle w:val="Heading3"/>
      </w:pPr>
      <w:r>
        <w:t>Lifetime Exemptions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Exemption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Annual Limit</w:t>
            </w:r>
          </w:p>
        </w:tc>
      </w:tr>
      <w:tr>
        <w:tc>
          <w:tcPr>
            <w:tcW w:type="dxa" w:w="4320"/>
          </w:tcPr>
          <w:p>
            <w:r/>
            <w:r>
              <w:t>Annual exemption</w:t>
            </w:r>
          </w:p>
        </w:tc>
        <w:tc>
          <w:tcPr>
            <w:tcW w:type="dxa" w:w="4320"/>
          </w:tcPr>
          <w:p>
            <w:r/>
            <w:r>
              <w:t>£3,000</w:t>
            </w:r>
          </w:p>
        </w:tc>
      </w:tr>
      <w:tr>
        <w:tc>
          <w:tcPr>
            <w:tcW w:type="dxa" w:w="4320"/>
          </w:tcPr>
          <w:p>
            <w:r/>
            <w:r>
              <w:t>Small gifts</w:t>
            </w:r>
          </w:p>
        </w:tc>
        <w:tc>
          <w:tcPr>
            <w:tcW w:type="dxa" w:w="4320"/>
          </w:tcPr>
          <w:p>
            <w:r/>
            <w:r>
              <w:t>£250 per person</w:t>
            </w:r>
          </w:p>
        </w:tc>
      </w:tr>
      <w:tr>
        <w:tc>
          <w:tcPr>
            <w:tcW w:type="dxa" w:w="4320"/>
          </w:tcPr>
          <w:p>
            <w:r/>
            <w:r>
              <w:t>Wedding gift - child</w:t>
            </w:r>
          </w:p>
        </w:tc>
        <w:tc>
          <w:tcPr>
            <w:tcW w:type="dxa" w:w="4320"/>
          </w:tcPr>
          <w:p>
            <w:r/>
            <w:r>
              <w:t>£5,000</w:t>
            </w:r>
          </w:p>
        </w:tc>
      </w:tr>
      <w:tr>
        <w:tc>
          <w:tcPr>
            <w:tcW w:type="dxa" w:w="4320"/>
          </w:tcPr>
          <w:p>
            <w:r/>
            <w:r>
              <w:t>Wedding gift - grandchild</w:t>
            </w:r>
          </w:p>
        </w:tc>
        <w:tc>
          <w:tcPr>
            <w:tcW w:type="dxa" w:w="4320"/>
          </w:tcPr>
          <w:p>
            <w:r/>
            <w:r>
              <w:t>£2,500</w:t>
            </w:r>
          </w:p>
        </w:tc>
      </w:tr>
      <w:tr>
        <w:tc>
          <w:tcPr>
            <w:tcW w:type="dxa" w:w="4320"/>
          </w:tcPr>
          <w:p>
            <w:r/>
            <w:r>
              <w:t>Wedding gift - other</w:t>
            </w:r>
          </w:p>
        </w:tc>
        <w:tc>
          <w:tcPr>
            <w:tcW w:type="dxa" w:w="4320"/>
          </w:tcPr>
          <w:p>
            <w:r/>
            <w:r>
              <w:t>£1,000</w:t>
            </w:r>
          </w:p>
        </w:tc>
      </w:tr>
      <w:tr>
        <w:tc>
          <w:tcPr>
            <w:tcW w:type="dxa" w:w="4320"/>
          </w:tcPr>
          <w:p>
            <w:r/>
            <w:r>
              <w:t>Normal expenditure out of income</w:t>
            </w:r>
          </w:p>
        </w:tc>
        <w:tc>
          <w:tcPr>
            <w:tcW w:type="dxa" w:w="4320"/>
          </w:tcPr>
          <w:p>
            <w:r/>
            <w:r>
              <w:t>Unlimited</w:t>
            </w:r>
          </w:p>
        </w:tc>
      </w:tr>
      <w:tr>
        <w:tc>
          <w:tcPr>
            <w:tcW w:type="dxa" w:w="4320"/>
          </w:tcPr>
          <w:p>
            <w:r/>
            <w:r>
              <w:t>Gifts to charities</w:t>
            </w:r>
          </w:p>
        </w:tc>
        <w:tc>
          <w:tcPr>
            <w:tcW w:type="dxa" w:w="4320"/>
          </w:tcPr>
          <w:p>
            <w:r/>
            <w:r>
              <w:t>Unlimited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Annual Tax on Enveloped Dwellings (ATED)</w:t>
      </w:r>
    </w:p>
    <w:p>
      <w:pPr>
        <w:pStyle w:val="Heading3"/>
      </w:pPr>
      <w:r>
        <w:t>Charges from 1 April 2024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 Value Band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Annual Charge</w:t>
            </w:r>
          </w:p>
        </w:tc>
      </w:tr>
      <w:tr>
        <w:tc>
          <w:tcPr>
            <w:tcW w:type="dxa" w:w="4320"/>
          </w:tcPr>
          <w:p>
            <w:r/>
            <w:r>
              <w:t>&gt;£500,000 - ≤£1m</w:t>
            </w:r>
          </w:p>
        </w:tc>
        <w:tc>
          <w:tcPr>
            <w:tcW w:type="dxa" w:w="4320"/>
          </w:tcPr>
          <w:p>
            <w:r/>
            <w:r>
              <w:t>£4,400</w:t>
            </w:r>
          </w:p>
        </w:tc>
      </w:tr>
      <w:tr>
        <w:tc>
          <w:tcPr>
            <w:tcW w:type="dxa" w:w="4320"/>
          </w:tcPr>
          <w:p>
            <w:r/>
            <w:r>
              <w:t>&gt;£1m - ≤£2m</w:t>
            </w:r>
          </w:p>
        </w:tc>
        <w:tc>
          <w:tcPr>
            <w:tcW w:type="dxa" w:w="4320"/>
          </w:tcPr>
          <w:p>
            <w:r/>
            <w:r>
              <w:t>£9,000</w:t>
            </w:r>
          </w:p>
        </w:tc>
      </w:tr>
      <w:tr>
        <w:tc>
          <w:tcPr>
            <w:tcW w:type="dxa" w:w="4320"/>
          </w:tcPr>
          <w:p>
            <w:r/>
            <w:r>
              <w:t>&gt;£2m - ≤£5m</w:t>
            </w:r>
          </w:p>
        </w:tc>
        <w:tc>
          <w:tcPr>
            <w:tcW w:type="dxa" w:w="4320"/>
          </w:tcPr>
          <w:p>
            <w:r/>
            <w:r>
              <w:t>£30,550</w:t>
            </w:r>
          </w:p>
        </w:tc>
      </w:tr>
      <w:tr>
        <w:tc>
          <w:tcPr>
            <w:tcW w:type="dxa" w:w="4320"/>
          </w:tcPr>
          <w:p>
            <w:r/>
            <w:r>
              <w:t>&gt;£5m - ≤£10m</w:t>
            </w:r>
          </w:p>
        </w:tc>
        <w:tc>
          <w:tcPr>
            <w:tcW w:type="dxa" w:w="4320"/>
          </w:tcPr>
          <w:p>
            <w:r/>
            <w:r>
              <w:t>£71,500</w:t>
            </w:r>
          </w:p>
        </w:tc>
      </w:tr>
      <w:tr>
        <w:tc>
          <w:tcPr>
            <w:tcW w:type="dxa" w:w="4320"/>
          </w:tcPr>
          <w:p>
            <w:r/>
            <w:r>
              <w:t>&gt;£10m - ≤£20m</w:t>
            </w:r>
          </w:p>
        </w:tc>
        <w:tc>
          <w:tcPr>
            <w:tcW w:type="dxa" w:w="4320"/>
          </w:tcPr>
          <w:p>
            <w:r/>
            <w:r>
              <w:t>£143,550</w:t>
            </w:r>
          </w:p>
        </w:tc>
      </w:tr>
      <w:tr>
        <w:tc>
          <w:tcPr>
            <w:tcW w:type="dxa" w:w="4320"/>
          </w:tcPr>
          <w:p>
            <w:r/>
            <w:r>
              <w:t>&gt;£20m</w:t>
            </w:r>
          </w:p>
        </w:tc>
        <w:tc>
          <w:tcPr>
            <w:tcW w:type="dxa" w:w="4320"/>
          </w:tcPr>
          <w:p>
            <w:r/>
            <w:r>
              <w:t>£287,500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National Insurance Contributions</w:t>
      </w:r>
    </w:p>
    <w:p>
      <w:pPr>
        <w:pStyle w:val="Heading3"/>
      </w:pPr>
      <w:r>
        <w:t>Class 1 (Employees) 2024/25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Annual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Weekly</w:t>
            </w:r>
          </w:p>
        </w:tc>
      </w:tr>
      <w:tr>
        <w:tc>
          <w:tcPr>
            <w:tcW w:type="dxa" w:w="2880"/>
          </w:tcPr>
          <w:p>
            <w:r/>
            <w:r>
              <w:t>Lower Earnings Limit (LEL)</w:t>
            </w:r>
          </w:p>
        </w:tc>
        <w:tc>
          <w:tcPr>
            <w:tcW w:type="dxa" w:w="2880"/>
          </w:tcPr>
          <w:p>
            <w:r/>
            <w:r>
              <w:t>£6,396</w:t>
            </w:r>
          </w:p>
        </w:tc>
        <w:tc>
          <w:tcPr>
            <w:tcW w:type="dxa" w:w="2880"/>
          </w:tcPr>
          <w:p>
            <w:r/>
            <w:r>
              <w:t>£123</w:t>
            </w:r>
          </w:p>
        </w:tc>
      </w:tr>
      <w:tr>
        <w:tc>
          <w:tcPr>
            <w:tcW w:type="dxa" w:w="2880"/>
          </w:tcPr>
          <w:p>
            <w:r/>
            <w:r>
              <w:t>Primary Threshold (PT)</w:t>
            </w:r>
          </w:p>
        </w:tc>
        <w:tc>
          <w:tcPr>
            <w:tcW w:type="dxa" w:w="2880"/>
          </w:tcPr>
          <w:p>
            <w:r/>
            <w:r>
              <w:t>£12,570</w:t>
            </w:r>
          </w:p>
        </w:tc>
        <w:tc>
          <w:tcPr>
            <w:tcW w:type="dxa" w:w="2880"/>
          </w:tcPr>
          <w:p>
            <w:r/>
            <w:r>
              <w:t>£242</w:t>
            </w:r>
          </w:p>
        </w:tc>
      </w:tr>
      <w:tr>
        <w:tc>
          <w:tcPr>
            <w:tcW w:type="dxa" w:w="2880"/>
          </w:tcPr>
          <w:p>
            <w:r/>
            <w:r>
              <w:t>Secondary Threshold (ST)</w:t>
            </w:r>
          </w:p>
        </w:tc>
        <w:tc>
          <w:tcPr>
            <w:tcW w:type="dxa" w:w="2880"/>
          </w:tcPr>
          <w:p>
            <w:r/>
            <w:r>
              <w:t>£9,100</w:t>
            </w:r>
          </w:p>
        </w:tc>
        <w:tc>
          <w:tcPr>
            <w:tcW w:type="dxa" w:w="2880"/>
          </w:tcPr>
          <w:p>
            <w:r/>
            <w:r>
              <w:t>£175</w:t>
            </w:r>
          </w:p>
        </w:tc>
      </w:tr>
      <w:tr>
        <w:tc>
          <w:tcPr>
            <w:tcW w:type="dxa" w:w="2880"/>
          </w:tcPr>
          <w:p>
            <w:r/>
            <w:r>
              <w:t>Upper Earnings Limit (UEL)</w:t>
            </w:r>
          </w:p>
        </w:tc>
        <w:tc>
          <w:tcPr>
            <w:tcW w:type="dxa" w:w="2880"/>
          </w:tcPr>
          <w:p>
            <w:r/>
            <w:r>
              <w:t>£50,270</w:t>
            </w:r>
          </w:p>
        </w:tc>
        <w:tc>
          <w:tcPr>
            <w:tcW w:type="dxa" w:w="2880"/>
          </w:tcPr>
          <w:p>
            <w:r/>
            <w:r>
              <w:t>£967</w:t>
            </w:r>
          </w:p>
        </w:tc>
      </w:tr>
    </w:tbl>
    <w:p/>
    <w:p>
      <w:pPr>
        <w:pStyle w:val="Heading3"/>
      </w:pPr>
      <w:r>
        <w:t>Class 1 Rates 2024/25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On Earnings</w:t>
            </w:r>
          </w:p>
        </w:tc>
      </w:tr>
      <w:tr>
        <w:tc>
          <w:tcPr>
            <w:tcW w:type="dxa" w:w="2880"/>
          </w:tcPr>
          <w:p>
            <w:r/>
            <w:r>
              <w:t>Employee (primary)</w:t>
            </w:r>
          </w:p>
        </w:tc>
        <w:tc>
          <w:tcPr>
            <w:tcW w:type="dxa" w:w="2880"/>
          </w:tcPr>
          <w:p>
            <w:r/>
            <w:r>
              <w:t>8%</w:t>
            </w:r>
          </w:p>
        </w:tc>
        <w:tc>
          <w:tcPr>
            <w:tcW w:type="dxa" w:w="2880"/>
          </w:tcPr>
          <w:p>
            <w:r/>
            <w:r>
              <w:t>PT to UEL</w:t>
            </w:r>
          </w:p>
        </w:tc>
      </w:tr>
      <w:tr>
        <w:tc>
          <w:tcPr>
            <w:tcW w:type="dxa" w:w="2880"/>
          </w:tcPr>
          <w:p>
            <w:r/>
            <w:r>
              <w:t>Employee (primary)</w:t>
            </w:r>
          </w:p>
        </w:tc>
        <w:tc>
          <w:tcPr>
            <w:tcW w:type="dxa" w:w="2880"/>
          </w:tcPr>
          <w:p>
            <w:r/>
            <w:r>
              <w:t>2%</w:t>
            </w:r>
          </w:p>
        </w:tc>
        <w:tc>
          <w:tcPr>
            <w:tcW w:type="dxa" w:w="2880"/>
          </w:tcPr>
          <w:p>
            <w:r/>
            <w:r>
              <w:t>Above UEL</w:t>
            </w:r>
          </w:p>
        </w:tc>
      </w:tr>
      <w:tr>
        <w:tc>
          <w:tcPr>
            <w:tcW w:type="dxa" w:w="2880"/>
          </w:tcPr>
          <w:p>
            <w:r/>
            <w:r>
              <w:t>Employer (secondary)</w:t>
            </w:r>
          </w:p>
        </w:tc>
        <w:tc>
          <w:tcPr>
            <w:tcW w:type="dxa" w:w="2880"/>
          </w:tcPr>
          <w:p>
            <w:r/>
            <w:r>
              <w:t>13.8%</w:t>
            </w:r>
          </w:p>
        </w:tc>
        <w:tc>
          <w:tcPr>
            <w:tcW w:type="dxa" w:w="2880"/>
          </w:tcPr>
          <w:p>
            <w:r/>
            <w:r>
              <w:t>Above ST</w:t>
            </w:r>
          </w:p>
        </w:tc>
      </w:tr>
    </w:tbl>
    <w:p/>
    <w:p>
      <w:pPr>
        <w:pStyle w:val="Heading3"/>
      </w:pPr>
      <w:r>
        <w:t>Other NIC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Class 1A</w:t>
            </w:r>
          </w:p>
        </w:tc>
        <w:tc>
          <w:tcPr>
            <w:tcW w:type="dxa" w:w="2880"/>
          </w:tcPr>
          <w:p>
            <w:r/>
            <w:r>
              <w:t>13.8%</w:t>
            </w:r>
          </w:p>
        </w:tc>
        <w:tc>
          <w:tcPr>
            <w:tcW w:type="dxa" w:w="2880"/>
          </w:tcPr>
          <w:p>
            <w:r/>
            <w:r>
              <w:t>Benefits in kind</w:t>
            </w:r>
          </w:p>
        </w:tc>
      </w:tr>
      <w:tr>
        <w:tc>
          <w:tcPr>
            <w:tcW w:type="dxa" w:w="2880"/>
          </w:tcPr>
          <w:p>
            <w:r/>
            <w:r>
              <w:t>Class 1B</w:t>
            </w:r>
          </w:p>
        </w:tc>
        <w:tc>
          <w:tcPr>
            <w:tcW w:type="dxa" w:w="2880"/>
          </w:tcPr>
          <w:p>
            <w:r/>
            <w:r>
              <w:t>13.8%</w:t>
            </w:r>
          </w:p>
        </w:tc>
        <w:tc>
          <w:tcPr>
            <w:tcW w:type="dxa" w:w="2880"/>
          </w:tcPr>
          <w:p>
            <w:r/>
            <w:r>
              <w:t>PAYE Settlement Agreements</w:t>
            </w:r>
          </w:p>
        </w:tc>
      </w:tr>
      <w:tr>
        <w:tc>
          <w:tcPr>
            <w:tcW w:type="dxa" w:w="2880"/>
          </w:tcPr>
          <w:p>
            <w:r/>
            <w:r>
              <w:t>Class 2</w:t>
            </w:r>
          </w:p>
        </w:tc>
        <w:tc>
          <w:tcPr>
            <w:tcW w:type="dxa" w:w="2880"/>
          </w:tcPr>
          <w:p>
            <w:r/>
            <w:r>
              <w:t>£3.45/week</w:t>
            </w:r>
          </w:p>
        </w:tc>
        <w:tc>
          <w:tcPr>
            <w:tcW w:type="dxa" w:w="2880"/>
          </w:tcPr>
          <w:p>
            <w:r/>
            <w:r>
              <w:t>Self-employed</w:t>
            </w:r>
          </w:p>
        </w:tc>
      </w:tr>
      <w:tr>
        <w:tc>
          <w:tcPr>
            <w:tcW w:type="dxa" w:w="2880"/>
          </w:tcPr>
          <w:p>
            <w:r/>
            <w:r>
              <w:t>Class 4</w:t>
            </w:r>
          </w:p>
        </w:tc>
        <w:tc>
          <w:tcPr>
            <w:tcW w:type="dxa" w:w="2880"/>
          </w:tcPr>
          <w:p>
            <w:r/>
            <w:r>
              <w:t>6% / 2%</w:t>
            </w:r>
          </w:p>
        </w:tc>
        <w:tc>
          <w:tcPr>
            <w:tcW w:type="dxa" w:w="2880"/>
          </w:tcPr>
          <w:p>
            <w:r/>
            <w:r>
              <w:t>Self-employed profits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Stamp Taxes</w:t>
      </w:r>
    </w:p>
    <w:p>
      <w:pPr>
        <w:pStyle w:val="Heading3"/>
      </w:pPr>
      <w:r>
        <w:t>Stamp Duty Land Tax (SDLT) - Residential (England &amp; NI)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Additional Property (+3%)</w:t>
            </w:r>
          </w:p>
        </w:tc>
      </w:tr>
      <w:tr>
        <w:tc>
          <w:tcPr>
            <w:tcW w:type="dxa" w:w="2880"/>
          </w:tcPr>
          <w:p>
            <w:r/>
            <w:r>
              <w:t>£0 - £250,000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  <w:tc>
          <w:tcPr>
            <w:tcW w:type="dxa" w:w="2880"/>
          </w:tcPr>
          <w:p>
            <w:r/>
            <w:r>
              <w:t>3%</w:t>
            </w:r>
          </w:p>
        </w:tc>
      </w:tr>
      <w:tr>
        <w:tc>
          <w:tcPr>
            <w:tcW w:type="dxa" w:w="2880"/>
          </w:tcPr>
          <w:p>
            <w:r/>
            <w:r>
              <w:t>£250,001 - £925,000</w:t>
            </w:r>
          </w:p>
        </w:tc>
        <w:tc>
          <w:tcPr>
            <w:tcW w:type="dxa" w:w="2880"/>
          </w:tcPr>
          <w:p>
            <w:r/>
            <w:r>
              <w:t>5%</w:t>
            </w:r>
          </w:p>
        </w:tc>
        <w:tc>
          <w:tcPr>
            <w:tcW w:type="dxa" w:w="2880"/>
          </w:tcPr>
          <w:p>
            <w:r/>
            <w:r>
              <w:t>8%</w:t>
            </w:r>
          </w:p>
        </w:tc>
      </w:tr>
      <w:tr>
        <w:tc>
          <w:tcPr>
            <w:tcW w:type="dxa" w:w="2880"/>
          </w:tcPr>
          <w:p>
            <w:r/>
            <w:r>
              <w:t>£925,001 - £1,500,000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13%</w:t>
            </w:r>
          </w:p>
        </w:tc>
      </w:tr>
      <w:tr>
        <w:tc>
          <w:tcPr>
            <w:tcW w:type="dxa" w:w="2880"/>
          </w:tcPr>
          <w:p>
            <w:r/>
            <w:r>
              <w:t>Above £1,500,000</w:t>
            </w:r>
          </w:p>
        </w:tc>
        <w:tc>
          <w:tcPr>
            <w:tcW w:type="dxa" w:w="2880"/>
          </w:tcPr>
          <w:p>
            <w:r/>
            <w:r>
              <w:t>12%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</w:tr>
    </w:tbl>
    <w:p/>
    <w:p>
      <w:r>
        <w:rPr>
          <w:b/>
        </w:rPr>
        <w:t>Non-resident surcharge</w:t>
      </w:r>
      <w:r>
        <w:t>: Additional 2% on all bands</w:t>
      </w:r>
    </w:p>
    <w:p>
      <w:r>
        <w:rPr>
          <w:b/>
        </w:rPr>
        <w:t>Companies purchasing residential &gt;£500,000</w:t>
      </w:r>
      <w:r>
        <w:t>: 15% flat rate</w:t>
      </w:r>
    </w:p>
    <w:p>
      <w:pPr>
        <w:pStyle w:val="Heading3"/>
      </w:pPr>
      <w:r>
        <w:t>SDLT - Non-Residential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Band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£0 - £150,000</w:t>
            </w:r>
          </w:p>
        </w:tc>
        <w:tc>
          <w:tcPr>
            <w:tcW w:type="dxa" w:w="4320"/>
          </w:tcPr>
          <w:p>
            <w:r/>
            <w:r>
              <w:t>0%</w:t>
            </w:r>
          </w:p>
        </w:tc>
      </w:tr>
      <w:tr>
        <w:tc>
          <w:tcPr>
            <w:tcW w:type="dxa" w:w="4320"/>
          </w:tcPr>
          <w:p>
            <w:r/>
            <w:r>
              <w:t>£150,001 - £250,000</w:t>
            </w:r>
          </w:p>
        </w:tc>
        <w:tc>
          <w:tcPr>
            <w:tcW w:type="dxa" w:w="4320"/>
          </w:tcPr>
          <w:p>
            <w:r/>
            <w:r>
              <w:t>2%</w:t>
            </w:r>
          </w:p>
        </w:tc>
      </w:tr>
      <w:tr>
        <w:tc>
          <w:tcPr>
            <w:tcW w:type="dxa" w:w="4320"/>
          </w:tcPr>
          <w:p>
            <w:r/>
            <w:r>
              <w:t>Above £250,000</w:t>
            </w:r>
          </w:p>
        </w:tc>
        <w:tc>
          <w:tcPr>
            <w:tcW w:type="dxa" w:w="4320"/>
          </w:tcPr>
          <w:p>
            <w:r/>
            <w:r>
              <w:t>5%</w:t>
            </w:r>
          </w:p>
        </w:tc>
      </w:tr>
    </w:tbl>
    <w:p/>
    <w:p>
      <w:pPr>
        <w:pStyle w:val="Heading3"/>
      </w:pPr>
      <w:r>
        <w:t>Stamp Duty / SDRT (Shares)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Stamp duty on shares</w:t>
            </w:r>
          </w:p>
        </w:tc>
        <w:tc>
          <w:tcPr>
            <w:tcW w:type="dxa" w:w="4320"/>
          </w:tcPr>
          <w:p>
            <w:r/>
            <w:r>
              <w:t>0.5%</w:t>
            </w:r>
          </w:p>
        </w:tc>
      </w:tr>
      <w:tr>
        <w:tc>
          <w:tcPr>
            <w:tcW w:type="dxa" w:w="4320"/>
          </w:tcPr>
          <w:p>
            <w:r/>
            <w:r>
              <w:t>SDRT</w:t>
            </w:r>
          </w:p>
        </w:tc>
        <w:tc>
          <w:tcPr>
            <w:tcW w:type="dxa" w:w="4320"/>
          </w:tcPr>
          <w:p>
            <w:r/>
            <w:r>
              <w:t>0.5%</w:t>
            </w:r>
          </w:p>
        </w:tc>
      </w:tr>
      <w:tr>
        <w:tc>
          <w:tcPr>
            <w:tcW w:type="dxa" w:w="4320"/>
          </w:tcPr>
          <w:p>
            <w:r/>
            <w:r>
              <w:t>Transfer to depositary receipt</w:t>
            </w:r>
          </w:p>
        </w:tc>
        <w:tc>
          <w:tcPr>
            <w:tcW w:type="dxa" w:w="4320"/>
          </w:tcPr>
          <w:p>
            <w:r/>
            <w:r>
              <w:t>1.5%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Value Added Tax</w:t>
      </w:r>
    </w:p>
    <w:p>
      <w:pPr>
        <w:pStyle w:val="Heading3"/>
      </w:pPr>
      <w:r>
        <w:t>Rates 2024/25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Standard rate</w:t>
            </w:r>
          </w:p>
        </w:tc>
        <w:tc>
          <w:tcPr>
            <w:tcW w:type="dxa" w:w="4320"/>
          </w:tcPr>
          <w:p>
            <w:r/>
            <w:r>
              <w:t>20%</w:t>
            </w:r>
          </w:p>
        </w:tc>
      </w:tr>
      <w:tr>
        <w:tc>
          <w:tcPr>
            <w:tcW w:type="dxa" w:w="4320"/>
          </w:tcPr>
          <w:p>
            <w:r/>
            <w:r>
              <w:t>Reduced rate</w:t>
            </w:r>
          </w:p>
        </w:tc>
        <w:tc>
          <w:tcPr>
            <w:tcW w:type="dxa" w:w="4320"/>
          </w:tcPr>
          <w:p>
            <w:r/>
            <w:r>
              <w:t>5%</w:t>
            </w:r>
          </w:p>
        </w:tc>
      </w:tr>
      <w:tr>
        <w:tc>
          <w:tcPr>
            <w:tcW w:type="dxa" w:w="4320"/>
          </w:tcPr>
          <w:p>
            <w:r/>
            <w:r>
              <w:t>Zero rate</w:t>
            </w:r>
          </w:p>
        </w:tc>
        <w:tc>
          <w:tcPr>
            <w:tcW w:type="dxa" w:w="4320"/>
          </w:tcPr>
          <w:p>
            <w:r/>
            <w:r>
              <w:t>0%</w:t>
            </w:r>
          </w:p>
        </w:tc>
      </w:tr>
      <w:tr>
        <w:tc>
          <w:tcPr>
            <w:tcW w:type="dxa" w:w="4320"/>
          </w:tcPr>
          <w:p>
            <w:r/>
            <w:r>
              <w:t>VAT fraction (standard)</w:t>
            </w:r>
          </w:p>
        </w:tc>
        <w:tc>
          <w:tcPr>
            <w:tcW w:type="dxa" w:w="4320"/>
          </w:tcPr>
          <w:p>
            <w:r/>
            <w:r>
              <w:t>1/6</w:t>
            </w:r>
          </w:p>
        </w:tc>
      </w:tr>
    </w:tbl>
    <w:p/>
    <w:p>
      <w:pPr>
        <w:pStyle w:val="Heading3"/>
      </w:pPr>
      <w:r>
        <w:t>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Threshold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t>Registration threshold</w:t>
            </w:r>
          </w:p>
        </w:tc>
        <w:tc>
          <w:tcPr>
            <w:tcW w:type="dxa" w:w="4320"/>
          </w:tcPr>
          <w:p>
            <w:r/>
            <w:r>
              <w:t>£90,000 (2024/25)</w:t>
            </w:r>
          </w:p>
        </w:tc>
      </w:tr>
      <w:tr>
        <w:tc>
          <w:tcPr>
            <w:tcW w:type="dxa" w:w="4320"/>
          </w:tcPr>
          <w:p>
            <w:r/>
            <w:r>
              <w:t>Deregistration threshold</w:t>
            </w:r>
          </w:p>
        </w:tc>
        <w:tc>
          <w:tcPr>
            <w:tcW w:type="dxa" w:w="4320"/>
          </w:tcPr>
          <w:p>
            <w:r/>
            <w:r>
              <w:t>£88,000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Employment Benefits</w:t>
      </w:r>
    </w:p>
    <w:p>
      <w:pPr>
        <w:pStyle w:val="Heading3"/>
      </w:pPr>
      <w:r>
        <w:t>Company Car Benefit 2024/25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CO2 Emissions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Electric Range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/>
            <w:r>
              <w:t>0 g/km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  <w:tc>
          <w:tcPr>
            <w:tcW w:type="dxa" w:w="2880"/>
          </w:tcPr>
          <w:p>
            <w:r/>
            <w:r>
              <w:t>2%</w:t>
            </w:r>
          </w:p>
        </w:tc>
      </w:tr>
      <w:tr>
        <w:tc>
          <w:tcPr>
            <w:tcW w:type="dxa" w:w="2880"/>
          </w:tcPr>
          <w:p>
            <w:r/>
            <w:r>
              <w:t>1-50 g/km</w:t>
            </w:r>
          </w:p>
        </w:tc>
        <w:tc>
          <w:tcPr>
            <w:tcW w:type="dxa" w:w="2880"/>
          </w:tcPr>
          <w:p>
            <w:r/>
            <w:r>
              <w:t>&gt;130 miles</w:t>
            </w:r>
          </w:p>
        </w:tc>
        <w:tc>
          <w:tcPr>
            <w:tcW w:type="dxa" w:w="2880"/>
          </w:tcPr>
          <w:p>
            <w:r/>
            <w:r>
              <w:t>2%</w:t>
            </w:r>
          </w:p>
        </w:tc>
      </w:tr>
      <w:tr>
        <w:tc>
          <w:tcPr>
            <w:tcW w:type="dxa" w:w="2880"/>
          </w:tcPr>
          <w:p>
            <w:r/>
            <w:r>
              <w:t>1-50 g/km</w:t>
            </w:r>
          </w:p>
        </w:tc>
        <w:tc>
          <w:tcPr>
            <w:tcW w:type="dxa" w:w="2880"/>
          </w:tcPr>
          <w:p>
            <w:r/>
            <w:r>
              <w:t>70-129 miles</w:t>
            </w:r>
          </w:p>
        </w:tc>
        <w:tc>
          <w:tcPr>
            <w:tcW w:type="dxa" w:w="2880"/>
          </w:tcPr>
          <w:p>
            <w:r/>
            <w:r>
              <w:t>5%</w:t>
            </w:r>
          </w:p>
        </w:tc>
      </w:tr>
      <w:tr>
        <w:tc>
          <w:tcPr>
            <w:tcW w:type="dxa" w:w="2880"/>
          </w:tcPr>
          <w:p>
            <w:r/>
            <w:r>
              <w:t>1-50 g/km</w:t>
            </w:r>
          </w:p>
        </w:tc>
        <w:tc>
          <w:tcPr>
            <w:tcW w:type="dxa" w:w="2880"/>
          </w:tcPr>
          <w:p>
            <w:r/>
            <w:r>
              <w:t>40-69 miles</w:t>
            </w:r>
          </w:p>
        </w:tc>
        <w:tc>
          <w:tcPr>
            <w:tcW w:type="dxa" w:w="2880"/>
          </w:tcPr>
          <w:p>
            <w:r/>
            <w:r>
              <w:t>8%</w:t>
            </w:r>
          </w:p>
        </w:tc>
      </w:tr>
      <w:tr>
        <w:tc>
          <w:tcPr>
            <w:tcW w:type="dxa" w:w="2880"/>
          </w:tcPr>
          <w:p>
            <w:r/>
            <w:r>
              <w:t>1-50 g/km</w:t>
            </w:r>
          </w:p>
        </w:tc>
        <w:tc>
          <w:tcPr>
            <w:tcW w:type="dxa" w:w="2880"/>
          </w:tcPr>
          <w:p>
            <w:r/>
            <w:r>
              <w:t>30-39 miles</w:t>
            </w:r>
          </w:p>
        </w:tc>
        <w:tc>
          <w:tcPr>
            <w:tcW w:type="dxa" w:w="2880"/>
          </w:tcPr>
          <w:p>
            <w:r/>
            <w:r>
              <w:t>12%</w:t>
            </w:r>
          </w:p>
        </w:tc>
      </w:tr>
      <w:tr>
        <w:tc>
          <w:tcPr>
            <w:tcW w:type="dxa" w:w="2880"/>
          </w:tcPr>
          <w:p>
            <w:r/>
            <w:r>
              <w:t>1-50 g/km</w:t>
            </w:r>
          </w:p>
        </w:tc>
        <w:tc>
          <w:tcPr>
            <w:tcW w:type="dxa" w:w="2880"/>
          </w:tcPr>
          <w:p>
            <w:r/>
            <w:r>
              <w:t>&lt;30 miles</w:t>
            </w:r>
          </w:p>
        </w:tc>
        <w:tc>
          <w:tcPr>
            <w:tcW w:type="dxa" w:w="2880"/>
          </w:tcPr>
          <w:p>
            <w:r/>
            <w:r>
              <w:t>14%</w:t>
            </w:r>
          </w:p>
        </w:tc>
      </w:tr>
      <w:tr>
        <w:tc>
          <w:tcPr>
            <w:tcW w:type="dxa" w:w="2880"/>
          </w:tcPr>
          <w:p>
            <w:r/>
            <w:r>
              <w:t>51-54 g/km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15%</w:t>
            </w:r>
          </w:p>
        </w:tc>
      </w:tr>
      <w:tr>
        <w:tc>
          <w:tcPr>
            <w:tcW w:type="dxa" w:w="2880"/>
          </w:tcPr>
          <w:p>
            <w:r/>
            <w:r>
              <w:t>55-59 g/km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16%</w:t>
            </w:r>
          </w:p>
        </w:tc>
      </w:tr>
      <w:tr>
        <w:tc>
          <w:tcPr>
            <w:tcW w:type="dxa" w:w="2880"/>
          </w:tcPr>
          <w:p>
            <w:r/>
            <w:r>
              <w:t>60-64 g/km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17%</w:t>
            </w:r>
          </w:p>
        </w:tc>
      </w:tr>
      <w:tr>
        <w:tc>
          <w:tcPr>
            <w:tcW w:type="dxa" w:w="2880"/>
          </w:tcPr>
          <w:p>
            <w:r/>
            <w:r>
              <w:t>65-69 g/km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18%</w:t>
            </w:r>
          </w:p>
        </w:tc>
      </w:tr>
      <w:tr>
        <w:tc>
          <w:tcPr>
            <w:tcW w:type="dxa" w:w="2880"/>
          </w:tcPr>
          <w:p>
            <w:r/>
            <w:r>
              <w:t>70-74 g/km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19%</w:t>
            </w:r>
          </w:p>
        </w:tc>
      </w:tr>
      <w:tr>
        <w:tc>
          <w:tcPr>
            <w:tcW w:type="dxa" w:w="2880"/>
          </w:tcPr>
          <w:p>
            <w:r/>
            <w:r>
              <w:t>75+ g/km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20% + 1% per 5g/km</w:t>
            </w:r>
          </w:p>
        </w:tc>
      </w:tr>
      <w:tr>
        <w:tc>
          <w:tcPr>
            <w:tcW w:type="dxa" w:w="2880"/>
          </w:tcPr>
          <w:p>
            <w:r/>
            <w:r>
              <w:t>Maximum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t>37%</w:t>
            </w:r>
          </w:p>
        </w:tc>
      </w:tr>
    </w:tbl>
    <w:p/>
    <w:p>
      <w:r>
        <w:rPr>
          <w:b/>
        </w:rPr>
        <w:t>Diesel supplement</w:t>
      </w:r>
      <w:r>
        <w:t>: 4% (max 37%) unless RDE2 compliant</w:t>
      </w:r>
    </w:p>
    <w:p>
      <w:pPr>
        <w:pStyle w:val="Heading3"/>
      </w:pPr>
      <w:r>
        <w:t>Other Benefits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Benefit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2024/25</w:t>
            </w:r>
          </w:p>
        </w:tc>
      </w:tr>
      <w:tr>
        <w:tc>
          <w:tcPr>
            <w:tcW w:type="dxa" w:w="4320"/>
          </w:tcPr>
          <w:p>
            <w:r/>
            <w:r>
              <w:t>Fuel benefit multiplier</w:t>
            </w:r>
          </w:p>
        </w:tc>
        <w:tc>
          <w:tcPr>
            <w:tcW w:type="dxa" w:w="4320"/>
          </w:tcPr>
          <w:p>
            <w:r/>
            <w:r>
              <w:t>£27,800</w:t>
            </w:r>
          </w:p>
        </w:tc>
      </w:tr>
      <w:tr>
        <w:tc>
          <w:tcPr>
            <w:tcW w:type="dxa" w:w="4320"/>
          </w:tcPr>
          <w:p>
            <w:r/>
            <w:r>
              <w:t>Van benefit (with emissions)</w:t>
            </w:r>
          </w:p>
        </w:tc>
        <w:tc>
          <w:tcPr>
            <w:tcW w:type="dxa" w:w="4320"/>
          </w:tcPr>
          <w:p>
            <w:r/>
            <w:r>
              <w:t>£3,960</w:t>
            </w:r>
          </w:p>
        </w:tc>
      </w:tr>
      <w:tr>
        <w:tc>
          <w:tcPr>
            <w:tcW w:type="dxa" w:w="4320"/>
          </w:tcPr>
          <w:p>
            <w:r/>
            <w:r>
              <w:t>Van fuel benefit</w:t>
            </w:r>
          </w:p>
        </w:tc>
        <w:tc>
          <w:tcPr>
            <w:tcW w:type="dxa" w:w="4320"/>
          </w:tcPr>
          <w:p>
            <w:r/>
            <w:r>
              <w:t>£757</w:t>
            </w:r>
          </w:p>
        </w:tc>
      </w:tr>
      <w:tr>
        <w:tc>
          <w:tcPr>
            <w:tcW w:type="dxa" w:w="4320"/>
          </w:tcPr>
          <w:p>
            <w:r/>
            <w:r>
              <w:t>Official rate of interest</w:t>
            </w:r>
          </w:p>
        </w:tc>
        <w:tc>
          <w:tcPr>
            <w:tcW w:type="dxa" w:w="4320"/>
          </w:tcPr>
          <w:p>
            <w:r/>
            <w:r>
              <w:t>2.25%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Pension Contributions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2024/25</w:t>
            </w:r>
          </w:p>
        </w:tc>
      </w:tr>
      <w:tr>
        <w:tc>
          <w:tcPr>
            <w:tcW w:type="dxa" w:w="4320"/>
          </w:tcPr>
          <w:p>
            <w:r/>
            <w:r>
              <w:t>Annual allowance</w:t>
            </w:r>
          </w:p>
        </w:tc>
        <w:tc>
          <w:tcPr>
            <w:tcW w:type="dxa" w:w="4320"/>
          </w:tcPr>
          <w:p>
            <w:r/>
            <w:r>
              <w:t>£60,000</w:t>
            </w:r>
          </w:p>
        </w:tc>
      </w:tr>
      <w:tr>
        <w:tc>
          <w:tcPr>
            <w:tcW w:type="dxa" w:w="4320"/>
          </w:tcPr>
          <w:p>
            <w:r/>
            <w:r>
              <w:t>Money purchase annual allowance</w:t>
            </w:r>
          </w:p>
        </w:tc>
        <w:tc>
          <w:tcPr>
            <w:tcW w:type="dxa" w:w="4320"/>
          </w:tcPr>
          <w:p>
            <w:r/>
            <w:r>
              <w:t>£10,000</w:t>
            </w:r>
          </w:p>
        </w:tc>
      </w:tr>
      <w:tr>
        <w:tc>
          <w:tcPr>
            <w:tcW w:type="dxa" w:w="4320"/>
          </w:tcPr>
          <w:p>
            <w:r/>
            <w:r>
              <w:t>Tapered AA threshold income</w:t>
            </w:r>
          </w:p>
        </w:tc>
        <w:tc>
          <w:tcPr>
            <w:tcW w:type="dxa" w:w="4320"/>
          </w:tcPr>
          <w:p>
            <w:r/>
            <w:r>
              <w:t>£200,000</w:t>
            </w:r>
          </w:p>
        </w:tc>
      </w:tr>
      <w:tr>
        <w:tc>
          <w:tcPr>
            <w:tcW w:type="dxa" w:w="4320"/>
          </w:tcPr>
          <w:p>
            <w:r/>
            <w:r>
              <w:t>Tapered AA adjusted income</w:t>
            </w:r>
          </w:p>
        </w:tc>
        <w:tc>
          <w:tcPr>
            <w:tcW w:type="dxa" w:w="4320"/>
          </w:tcPr>
          <w:p>
            <w:r/>
            <w:r>
              <w:t>£260,000</w:t>
            </w:r>
          </w:p>
        </w:tc>
      </w:tr>
      <w:tr>
        <w:tc>
          <w:tcPr>
            <w:tcW w:type="dxa" w:w="4320"/>
          </w:tcPr>
          <w:p>
            <w:r/>
            <w:r>
              <w:t>Minimum tapered AA</w:t>
            </w:r>
          </w:p>
        </w:tc>
        <w:tc>
          <w:tcPr>
            <w:tcW w:type="dxa" w:w="4320"/>
          </w:tcPr>
          <w:p>
            <w:r/>
            <w:r>
              <w:t>£10,000</w:t>
            </w:r>
          </w:p>
        </w:tc>
      </w:tr>
      <w:tr>
        <w:tc>
          <w:tcPr>
            <w:tcW w:type="dxa" w:w="4320"/>
          </w:tcPr>
          <w:p>
            <w:r/>
            <w:r>
              <w:t>Lump sum allowance</w:t>
            </w:r>
          </w:p>
        </w:tc>
        <w:tc>
          <w:tcPr>
            <w:tcW w:type="dxa" w:w="4320"/>
          </w:tcPr>
          <w:p>
            <w:r/>
            <w:r>
              <w:t>£268,275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Capital Allowances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Annual Investment Allowance (AIA)</w:t>
            </w:r>
          </w:p>
        </w:tc>
        <w:tc>
          <w:tcPr>
            <w:tcW w:type="dxa" w:w="4320"/>
          </w:tcPr>
          <w:p>
            <w:r/>
            <w:r>
              <w:t>100% on first £1m</w:t>
            </w:r>
          </w:p>
        </w:tc>
      </w:tr>
      <w:tr>
        <w:tc>
          <w:tcPr>
            <w:tcW w:type="dxa" w:w="4320"/>
          </w:tcPr>
          <w:p>
            <w:r/>
            <w:r>
              <w:t>Main pool WDA</w:t>
            </w:r>
          </w:p>
        </w:tc>
        <w:tc>
          <w:tcPr>
            <w:tcW w:type="dxa" w:w="4320"/>
          </w:tcPr>
          <w:p>
            <w:r/>
            <w:r>
              <w:t>18%</w:t>
            </w:r>
          </w:p>
        </w:tc>
      </w:tr>
      <w:tr>
        <w:tc>
          <w:tcPr>
            <w:tcW w:type="dxa" w:w="4320"/>
          </w:tcPr>
          <w:p>
            <w:r/>
            <w:r>
              <w:t>Special rate pool WDA</w:t>
            </w:r>
          </w:p>
        </w:tc>
        <w:tc>
          <w:tcPr>
            <w:tcW w:type="dxa" w:w="4320"/>
          </w:tcPr>
          <w:p>
            <w:r/>
            <w:r>
              <w:t>6%</w:t>
            </w:r>
          </w:p>
        </w:tc>
      </w:tr>
      <w:tr>
        <w:tc>
          <w:tcPr>
            <w:tcW w:type="dxa" w:w="4320"/>
          </w:tcPr>
          <w:p>
            <w:r/>
            <w:r>
              <w:t>Structures and buildings (SBA)</w:t>
            </w:r>
          </w:p>
        </w:tc>
        <w:tc>
          <w:tcPr>
            <w:tcW w:type="dxa" w:w="4320"/>
          </w:tcPr>
          <w:p>
            <w:r/>
            <w:r>
              <w:t>3%</w:t>
            </w:r>
          </w:p>
        </w:tc>
      </w:tr>
      <w:tr>
        <w:tc>
          <w:tcPr>
            <w:tcW w:type="dxa" w:w="4320"/>
          </w:tcPr>
          <w:p>
            <w:r/>
            <w:r>
              <w:t>Full expensing (companies)</w:t>
            </w:r>
          </w:p>
        </w:tc>
        <w:tc>
          <w:tcPr>
            <w:tcW w:type="dxa" w:w="4320"/>
          </w:tcPr>
          <w:p>
            <w:r/>
            <w:r>
              <w:t>100% main pool</w:t>
            </w:r>
          </w:p>
        </w:tc>
      </w:tr>
      <w:tr>
        <w:tc>
          <w:tcPr>
            <w:tcW w:type="dxa" w:w="4320"/>
          </w:tcPr>
          <w:p>
            <w:r/>
            <w:r>
              <w:t>50% FYA (companies)</w:t>
            </w:r>
          </w:p>
        </w:tc>
        <w:tc>
          <w:tcPr>
            <w:tcW w:type="dxa" w:w="4320"/>
          </w:tcPr>
          <w:p>
            <w:r/>
            <w:r>
              <w:t>50% special rate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APPENDIX 5.2: KEY DEFINITIONS</w:t>
      </w:r>
    </w:p>
    <w:p>
      <w:pPr>
        <w:pStyle w:val="Heading2"/>
      </w:pPr>
      <w:r>
        <w:t>Residence Definitions</w:t>
      </w:r>
    </w:p>
    <w:p>
      <w:pPr>
        <w:pStyle w:val="Heading3"/>
      </w:pPr>
      <w:r>
        <w:t>UK Resident Individual (SRT - FA 2013, Sch 45)</w:t>
      </w:r>
    </w:p>
    <w:p>
      <w:r>
        <w:t>An individual is UK resident if they:</w:t>
      </w:r>
    </w:p>
    <w:p>
      <w:pPr>
        <w:pStyle w:val="ListBullet"/>
      </w:pPr>
      <w:r>
        <w:t xml:space="preserve">Meet an </w:t>
      </w:r>
      <w:r>
        <w:rPr>
          <w:b/>
        </w:rPr>
        <w:t>automatic UK test</w:t>
      </w:r>
      <w:r>
        <w:t>, OR</w:t>
      </w:r>
    </w:p>
    <w:p>
      <w:pPr>
        <w:pStyle w:val="ListBullet"/>
      </w:pPr>
      <w:r>
        <w:t xml:space="preserve">Do not meet an </w:t>
      </w:r>
      <w:r>
        <w:rPr>
          <w:b/>
        </w:rPr>
        <w:t>automatic overseas test</w:t>
      </w:r>
      <w:r>
        <w:t xml:space="preserve"> AND have sufficient UK ties</w:t>
      </w:r>
    </w:p>
    <w:p>
      <w:pPr>
        <w:pStyle w:val="Heading3"/>
      </w:pPr>
      <w:r>
        <w:t>Automatic Overseas Tests</w:t>
      </w:r>
    </w:p>
    <w:p>
      <w:pPr>
        <w:pStyle w:val="ListNumber"/>
      </w:pPr>
      <w:r>
        <w:rPr>
          <w:b/>
        </w:rPr>
        <w:t>Not UK resident in any of prior 3 tax years</w:t>
      </w:r>
      <w:r>
        <w:t xml:space="preserve"> AND present &lt;46 days in UK</w:t>
      </w:r>
    </w:p>
    <w:p>
      <w:pPr>
        <w:pStyle w:val="ListNumber"/>
      </w:pPr>
      <w:r>
        <w:rPr>
          <w:b/>
        </w:rPr>
        <w:t>UK resident in 1+ of prior 3 tax years</w:t>
      </w:r>
      <w:r>
        <w:t xml:space="preserve"> AND present &lt;16 days in UK</w:t>
      </w:r>
    </w:p>
    <w:p>
      <w:pPr>
        <w:pStyle w:val="ListNumber"/>
      </w:pPr>
      <w:r>
        <w:rPr>
          <w:b/>
        </w:rPr>
        <w:t>Works full-time overseas</w:t>
      </w:r>
      <w:r>
        <w:t xml:space="preserve"> AND present &lt;91 days AND &lt;31 UK workdays</w:t>
      </w:r>
    </w:p>
    <w:p>
      <w:pPr>
        <w:pStyle w:val="Heading3"/>
      </w:pPr>
      <w:r>
        <w:t>Automatic UK Tests</w:t>
      </w:r>
    </w:p>
    <w:p>
      <w:pPr>
        <w:pStyle w:val="ListNumber"/>
      </w:pPr>
      <w:r>
        <w:rPr>
          <w:b/>
        </w:rPr>
        <w:t>Present in UK ≥183 days</w:t>
      </w:r>
      <w:r>
        <w:t xml:space="preserve"> in tax year</w:t>
      </w:r>
    </w:p>
    <w:p>
      <w:pPr>
        <w:pStyle w:val="ListNumber"/>
      </w:pPr>
      <w:r>
        <w:rPr>
          <w:b/>
        </w:rPr>
        <w:t>Only home in UK</w:t>
      </w:r>
      <w:r>
        <w:t xml:space="preserve"> (available 91+ days, used 30+ days)</w:t>
      </w:r>
    </w:p>
    <w:p>
      <w:pPr>
        <w:pStyle w:val="ListNumber"/>
      </w:pPr>
      <w:r>
        <w:rPr>
          <w:b/>
        </w:rPr>
        <w:t>Full-time work in UK</w:t>
      </w:r>
      <w:r>
        <w:t xml:space="preserve"> for 365-day period</w:t>
      </w:r>
    </w:p>
    <w:p>
      <w:pPr>
        <w:pStyle w:val="Heading3"/>
      </w:pPr>
      <w:r>
        <w:t>Sufficient 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Family</w:t>
            </w:r>
          </w:p>
        </w:tc>
        <w:tc>
          <w:tcPr>
            <w:tcW w:type="dxa" w:w="4320"/>
          </w:tcPr>
          <w:p>
            <w:r/>
            <w:r>
              <w:t>Spouse/civil partner/minor child UK resident</w:t>
            </w:r>
          </w:p>
        </w:tc>
      </w:tr>
      <w:tr>
        <w:tc>
          <w:tcPr>
            <w:tcW w:type="dxa" w:w="4320"/>
          </w:tcPr>
          <w:p>
            <w:r/>
            <w:r>
              <w:t>Accommodation</w:t>
            </w:r>
          </w:p>
        </w:tc>
        <w:tc>
          <w:tcPr>
            <w:tcW w:type="dxa" w:w="4320"/>
          </w:tcPr>
          <w:p>
            <w:r/>
            <w:r>
              <w:t>Available 91+ days, used 1+ day</w:t>
            </w:r>
          </w:p>
        </w:tc>
      </w:tr>
      <w:tr>
        <w:tc>
          <w:tcPr>
            <w:tcW w:type="dxa" w:w="4320"/>
          </w:tcPr>
          <w:p>
            <w:r/>
            <w:r>
              <w:t>Work</w:t>
            </w:r>
          </w:p>
        </w:tc>
        <w:tc>
          <w:tcPr>
            <w:tcW w:type="dxa" w:w="4320"/>
          </w:tcPr>
          <w:p>
            <w:r/>
            <w:r>
              <w:t>40+ UK workdays</w:t>
            </w:r>
          </w:p>
        </w:tc>
      </w:tr>
      <w:tr>
        <w:tc>
          <w:tcPr>
            <w:tcW w:type="dxa" w:w="4320"/>
          </w:tcPr>
          <w:p>
            <w:r/>
            <w:r>
              <w:t>90-day</w:t>
            </w:r>
          </w:p>
        </w:tc>
        <w:tc>
          <w:tcPr>
            <w:tcW w:type="dxa" w:w="4320"/>
          </w:tcPr>
          <w:p>
            <w:r/>
            <w:r>
              <w:t>&gt;90 days in UK in either of 2 prior years</w:t>
            </w:r>
          </w:p>
        </w:tc>
      </w:tr>
      <w:tr>
        <w:tc>
          <w:tcPr>
            <w:tcW w:type="dxa" w:w="4320"/>
          </w:tcPr>
          <w:p>
            <w:r/>
            <w:r>
              <w:t>Country</w:t>
            </w:r>
          </w:p>
        </w:tc>
        <w:tc>
          <w:tcPr>
            <w:tcW w:type="dxa" w:w="4320"/>
          </w:tcPr>
          <w:p>
            <w:r/>
            <w:r>
              <w:t>More days in UK than any other country (leavers only)</w:t>
            </w:r>
          </w:p>
        </w:tc>
      </w:tr>
    </w:tbl>
    <w:p/>
    <w:p>
      <w:pPr>
        <w:pStyle w:val="Heading3"/>
      </w:pPr>
      <w:r>
        <w:t>UK Resident Company (CTA 2009, s.14)</w:t>
      </w:r>
    </w:p>
    <w:p>
      <w:r>
        <w:t>A company is UK resident if:</w:t>
      </w:r>
    </w:p>
    <w:p>
      <w:pPr>
        <w:pStyle w:val="ListBullet"/>
      </w:pPr>
      <w:r>
        <w:rPr>
          <w:b/>
        </w:rPr>
        <w:t>Incorporated in UK</w:t>
      </w:r>
      <w:r>
        <w:t xml:space="preserve"> (s.14(1)), OR</w:t>
      </w:r>
    </w:p>
    <w:p>
      <w:pPr>
        <w:pStyle w:val="ListBullet"/>
      </w:pPr>
      <w:r>
        <w:rPr>
          <w:b/>
        </w:rPr>
        <w:t>Central management and control</w:t>
      </w:r>
      <w:r>
        <w:t xml:space="preserve"> exercised in UK (s.14(3))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Domicile Definitions</w:t>
      </w:r>
    </w:p>
    <w:p>
      <w:pPr>
        <w:pStyle w:val="Heading3"/>
      </w:pPr>
      <w:r>
        <w:t>Domicile of Origin</w:t>
      </w:r>
    </w:p>
    <w:p>
      <w:pPr>
        <w:pStyle w:val="ListBullet"/>
      </w:pPr>
      <w:r>
        <w:t>Acquired at birth</w:t>
      </w:r>
    </w:p>
    <w:p>
      <w:pPr>
        <w:pStyle w:val="ListBullet"/>
      </w:pPr>
      <w:r>
        <w:t>Usually father's domicile (if parents married)</w:t>
      </w:r>
    </w:p>
    <w:p>
      <w:pPr>
        <w:pStyle w:val="ListBullet"/>
      </w:pPr>
      <w:r>
        <w:t>Mother's domicile (if parents unmarried)</w:t>
      </w:r>
    </w:p>
    <w:p>
      <w:pPr>
        <w:pStyle w:val="ListBullet"/>
      </w:pPr>
      <w:r>
        <w:t>Revives if domicile of choice abandoned without acquiring new one</w:t>
      </w:r>
    </w:p>
    <w:p>
      <w:pPr>
        <w:pStyle w:val="Heading3"/>
      </w:pPr>
      <w:r>
        <w:t>Domicile of Choice</w:t>
      </w:r>
    </w:p>
    <w:p>
      <w:pPr>
        <w:pStyle w:val="ListBullet"/>
      </w:pPr>
      <w:r>
        <w:t>Acquired by:</w:t>
      </w:r>
    </w:p>
    <w:p>
      <w:pPr>
        <w:pStyle w:val="ListNumber"/>
        <w:ind w:left="360"/>
      </w:pPr>
      <w:r>
        <w:t>Physical presence in new country, AND</w:t>
      </w:r>
    </w:p>
    <w:p>
      <w:pPr>
        <w:pStyle w:val="ListNumber"/>
        <w:ind w:left="360"/>
      </w:pPr>
      <w:r>
        <w:t>Intention to remain permanently/indefinitely</w:t>
      </w:r>
    </w:p>
    <w:p>
      <w:pPr>
        <w:pStyle w:val="ListBullet"/>
      </w:pPr>
      <w:r>
        <w:t>Abandoned by leaving with no intention to return</w:t>
      </w:r>
    </w:p>
    <w:p>
      <w:pPr>
        <w:pStyle w:val="Heading3"/>
      </w:pPr>
      <w:r>
        <w:t>Deemed Domicile (ITA 2007, s.835BA)</w:t>
      </w:r>
    </w:p>
    <w:p>
      <w:r>
        <w:t>For IT/CGT purposes, non-dom becomes deemed UK domiciled if:</w:t>
      </w:r>
    </w:p>
    <w:p>
      <w:pPr>
        <w:pStyle w:val="ListBullet"/>
      </w:pPr>
      <w:r>
        <w:rPr>
          <w:b/>
        </w:rPr>
        <w:t>Condition A</w:t>
      </w:r>
      <w:r>
        <w:t>: UK resident in 15+ of prior 20 tax years, OR</w:t>
      </w:r>
    </w:p>
    <w:p>
      <w:pPr>
        <w:pStyle w:val="ListBullet"/>
      </w:pPr>
      <w:r>
        <w:rPr>
          <w:b/>
        </w:rPr>
        <w:t>Condition B</w:t>
      </w:r>
      <w:r>
        <w:t>: Born in UK with UK domicile of origin AND UK resident</w:t>
      </w:r>
    </w:p>
    <w:p>
      <w:r>
        <w:t>For IHT purposes (IHTA 1984, s.267 as amended by FA 2017):</w:t>
      </w:r>
    </w:p>
    <w:p>
      <w:pPr>
        <w:pStyle w:val="ListBullet"/>
      </w:pPr>
      <w:r>
        <w:t xml:space="preserve">UK resident in </w:t>
      </w:r>
      <w:r>
        <w:rPr>
          <w:b/>
        </w:rPr>
        <w:t>15 of prior 20 tax years</w:t>
      </w:r>
      <w:r>
        <w:t xml:space="preserve"> (aligned with IT/CGT), OR</w:t>
      </w:r>
    </w:p>
    <w:p>
      <w:pPr>
        <w:pStyle w:val="ListBullet"/>
      </w:pPr>
      <w:r>
        <w:t xml:space="preserve">UK domiciled at any time in </w:t>
      </w:r>
      <w:r>
        <w:rPr>
          <w:b/>
        </w:rPr>
        <w:t>prior 3 years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Corporate Definitions</w:t>
      </w:r>
    </w:p>
    <w:p>
      <w:pPr>
        <w:pStyle w:val="Heading3"/>
      </w:pPr>
      <w:r>
        <w:t>Permanent Establishment (OECD Art 5)</w:t>
      </w:r>
    </w:p>
    <w:p>
      <w:r>
        <w:rPr>
          <w:b/>
        </w:rPr>
        <w:t>Fixed place PE</w:t>
      </w:r>
      <w:r>
        <w:t>: A fixed place of business through which the business of an enterprise is wholly or partly carried on, including:</w:t>
      </w:r>
    </w:p>
    <w:p>
      <w:pPr>
        <w:pStyle w:val="ListBullet"/>
      </w:pPr>
      <w:r>
        <w:t>Place of management</w:t>
      </w:r>
    </w:p>
    <w:p>
      <w:pPr>
        <w:pStyle w:val="ListBullet"/>
      </w:pPr>
      <w:r>
        <w:t>Branch</w:t>
      </w:r>
    </w:p>
    <w:p>
      <w:pPr>
        <w:pStyle w:val="ListBullet"/>
      </w:pPr>
      <w:r>
        <w:t>Office</w:t>
      </w:r>
    </w:p>
    <w:p>
      <w:pPr>
        <w:pStyle w:val="ListBullet"/>
      </w:pPr>
      <w:r>
        <w:t>Factory</w:t>
      </w:r>
    </w:p>
    <w:p>
      <w:pPr>
        <w:pStyle w:val="ListBullet"/>
      </w:pPr>
      <w:r>
        <w:t>Workshop</w:t>
      </w:r>
    </w:p>
    <w:p>
      <w:pPr>
        <w:pStyle w:val="ListBullet"/>
      </w:pPr>
      <w:r>
        <w:t>Mine, oil well, quarry</w:t>
      </w:r>
    </w:p>
    <w:p>
      <w:r>
        <w:rPr>
          <w:b/>
        </w:rPr>
        <w:t>Exclusions (Art 5(4))</w:t>
      </w:r>
      <w:r>
        <w:t>:</w:t>
      </w:r>
    </w:p>
    <w:p>
      <w:pPr>
        <w:pStyle w:val="ListBullet"/>
      </w:pPr>
      <w:r>
        <w:t>Storage facilities</w:t>
      </w:r>
    </w:p>
    <w:p>
      <w:pPr>
        <w:pStyle w:val="ListBullet"/>
      </w:pPr>
      <w:r>
        <w:t>Purchasing offices</w:t>
      </w:r>
    </w:p>
    <w:p>
      <w:pPr>
        <w:pStyle w:val="ListBullet"/>
      </w:pPr>
      <w:r>
        <w:t>Preparatory/auxiliary activities</w:t>
      </w:r>
    </w:p>
    <w:p>
      <w:r>
        <w:rPr>
          <w:b/>
        </w:rPr>
        <w:t>Agency PE (Art 5(5))</w:t>
      </w:r>
      <w:r>
        <w:t>: Dependent agent habitually concluding contracts in the name of the enterprise</w:t>
      </w:r>
    </w:p>
    <w:p>
      <w:pPr>
        <w:pStyle w:val="Heading3"/>
      </w:pPr>
      <w:r>
        <w:t>Control (TIOPA 2010, s.371RA)</w:t>
      </w:r>
    </w:p>
    <w:p>
      <w:r>
        <w:t>For CFC purposes:</w:t>
      </w:r>
    </w:p>
    <w:p>
      <w:pPr>
        <w:pStyle w:val="ListBullet"/>
      </w:pPr>
      <w:r>
        <w:rPr>
          <w:b/>
        </w:rPr>
        <w:t>40% or more</w:t>
      </w:r>
      <w:r>
        <w:t xml:space="preserve"> of voting rights, OR</w:t>
      </w:r>
    </w:p>
    <w:p>
      <w:pPr>
        <w:pStyle w:val="ListBullet"/>
      </w:pPr>
      <w:r>
        <w:rPr>
          <w:b/>
        </w:rPr>
        <w:t>40% or more</w:t>
      </w:r>
      <w:r>
        <w:t xml:space="preserve"> of income rights, OR</w:t>
      </w:r>
    </w:p>
    <w:p>
      <w:pPr>
        <w:pStyle w:val="ListBullet"/>
      </w:pPr>
      <w:r>
        <w:rPr>
          <w:b/>
        </w:rPr>
        <w:t>40% or more</w:t>
      </w:r>
      <w:r>
        <w:t xml:space="preserve"> on winding up, OR</w:t>
      </w:r>
    </w:p>
    <w:p>
      <w:pPr>
        <w:pStyle w:val="ListBullet"/>
      </w:pPr>
      <w:r>
        <w:rPr>
          <w:b/>
        </w:rPr>
        <w:t>Majority of voting power</w:t>
      </w:r>
      <w:r>
        <w:t xml:space="preserve"> (for companies jointly owned)</w:t>
      </w:r>
    </w:p>
    <w:p>
      <w:pPr>
        <w:pStyle w:val="Heading3"/>
      </w:pPr>
      <w:r>
        <w:t>Connected Persons (CTA 2010, s.1122)</w:t>
      </w:r>
    </w:p>
    <w:p>
      <w:r>
        <w:t>Companies are connected if:</w:t>
      </w:r>
    </w:p>
    <w:p>
      <w:pPr>
        <w:pStyle w:val="ListBullet"/>
      </w:pPr>
      <w:r>
        <w:t>One controls the other, OR</w:t>
      </w:r>
    </w:p>
    <w:p>
      <w:pPr>
        <w:pStyle w:val="ListBullet"/>
      </w:pPr>
      <w:r>
        <w:t>Both controlled by same person(s)</w:t>
      </w:r>
    </w:p>
    <w:p>
      <w:r>
        <w:t>Individuals connected with:</w:t>
      </w:r>
    </w:p>
    <w:p>
      <w:pPr>
        <w:pStyle w:val="ListBullet"/>
      </w:pPr>
      <w:r>
        <w:t>Spouse/civil partner</w:t>
      </w:r>
    </w:p>
    <w:p>
      <w:pPr>
        <w:pStyle w:val="ListBullet"/>
      </w:pPr>
      <w:r>
        <w:t>Relatives and their spouses</w:t>
      </w:r>
    </w:p>
    <w:p>
      <w:pPr>
        <w:pStyle w:val="ListBullet"/>
      </w:pPr>
      <w:r>
        <w:t>Partners and their spouses/relatives</w:t>
      </w:r>
    </w:p>
    <w:p>
      <w:pPr>
        <w:pStyle w:val="Heading3"/>
      </w:pPr>
      <w:r>
        <w:t>Close Company (CTA 2010, s.439)</w:t>
      </w:r>
    </w:p>
    <w:p>
      <w:r>
        <w:t>A UK resident company is close if controlled by:</w:t>
      </w:r>
    </w:p>
    <w:p>
      <w:pPr>
        <w:pStyle w:val="ListBullet"/>
      </w:pPr>
      <w:r>
        <w:t>5 or fewer participators, OR</w:t>
      </w:r>
    </w:p>
    <w:p>
      <w:pPr>
        <w:pStyle w:val="ListBullet"/>
      </w:pPr>
      <w:r>
        <w:t>Any number of participators who are directors</w:t>
      </w:r>
    </w:p>
    <w:p>
      <w:pPr>
        <w:pStyle w:val="Heading3"/>
      </w:pPr>
      <w:r>
        <w:t>Participator (CTA 2010, s.454)</w:t>
      </w:r>
    </w:p>
    <w:p>
      <w:r>
        <w:t>A person having a share or interest in the capital or income of the company, including:</w:t>
      </w:r>
    </w:p>
    <w:p>
      <w:pPr>
        <w:pStyle w:val="ListBullet"/>
      </w:pPr>
      <w:r>
        <w:t>Shareholders</w:t>
      </w:r>
    </w:p>
    <w:p>
      <w:pPr>
        <w:pStyle w:val="ListBullet"/>
      </w:pPr>
      <w:r>
        <w:t>Loan creditors</w:t>
      </w:r>
    </w:p>
    <w:p>
      <w:pPr>
        <w:pStyle w:val="ListBullet"/>
      </w:pPr>
      <w:r>
        <w:t>Persons with rights to distributions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Transfer Pricing Definitions</w:t>
      </w:r>
    </w:p>
    <w:p>
      <w:pPr>
        <w:pStyle w:val="Heading3"/>
      </w:pPr>
      <w:r>
        <w:t>Arm's Length Principle (TIOPA 2010, s.147)</w:t>
      </w:r>
    </w:p>
    <w:p>
      <w:r>
        <w:t>Conditions imposed between associated parties must reflect those that would have been agreed between independent parties.</w:t>
      </w:r>
    </w:p>
    <w:p>
      <w:pPr>
        <w:pStyle w:val="Heading3"/>
      </w:pPr>
      <w:r>
        <w:t>Participation Condition (TIOPA 2010, s.148)</w:t>
      </w:r>
    </w:p>
    <w:p>
      <w:r>
        <w:t>Met when:</w:t>
      </w:r>
    </w:p>
    <w:p>
      <w:pPr>
        <w:pStyle w:val="ListBullet"/>
      </w:pPr>
      <w:r>
        <w:t xml:space="preserve">One party </w:t>
      </w:r>
      <w:r>
        <w:rPr>
          <w:b/>
        </w:rPr>
        <w:t>controls</w:t>
      </w:r>
      <w:r>
        <w:t xml:space="preserve"> the other, OR</w:t>
      </w:r>
    </w:p>
    <w:p>
      <w:pPr>
        <w:pStyle w:val="ListBullet"/>
      </w:pPr>
      <w:r>
        <w:t xml:space="preserve">Third person </w:t>
      </w:r>
      <w:r>
        <w:rPr>
          <w:b/>
        </w:rPr>
        <w:t>controls both</w:t>
      </w:r>
      <w:r>
        <w:t xml:space="preserve"> parties</w:t>
      </w:r>
    </w:p>
    <w:p>
      <w:pPr>
        <w:pStyle w:val="Heading3"/>
      </w:pPr>
      <w:r>
        <w:t>Transfer Pricing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CUP</w:t>
            </w:r>
          </w:p>
        </w:tc>
        <w:tc>
          <w:tcPr>
            <w:tcW w:type="dxa" w:w="2880"/>
          </w:tcPr>
          <w:p>
            <w:r/>
            <w:r>
              <w:t>Comparable Uncontrolled Price</w:t>
            </w:r>
          </w:p>
        </w:tc>
        <w:tc>
          <w:tcPr>
            <w:tcW w:type="dxa" w:w="2880"/>
          </w:tcPr>
          <w:p>
            <w:r/>
            <w:r>
              <w:t>Compare with third-party transactions</w:t>
            </w:r>
          </w:p>
        </w:tc>
      </w:tr>
      <w:tr>
        <w:tc>
          <w:tcPr>
            <w:tcW w:type="dxa" w:w="2880"/>
          </w:tcPr>
          <w:p>
            <w:r/>
            <w:r>
              <w:t>RPM</w:t>
            </w:r>
          </w:p>
        </w:tc>
        <w:tc>
          <w:tcPr>
            <w:tcW w:type="dxa" w:w="2880"/>
          </w:tcPr>
          <w:p>
            <w:r/>
            <w:r>
              <w:t>Resale Price Method</w:t>
            </w:r>
          </w:p>
        </w:tc>
        <w:tc>
          <w:tcPr>
            <w:tcW w:type="dxa" w:w="2880"/>
          </w:tcPr>
          <w:p>
            <w:r/>
            <w:r>
              <w:t>Start from resale, deduct margin</w:t>
            </w:r>
          </w:p>
        </w:tc>
      </w:tr>
      <w:tr>
        <w:tc>
          <w:tcPr>
            <w:tcW w:type="dxa" w:w="2880"/>
          </w:tcPr>
          <w:p>
            <w:r/>
            <w:r>
              <w:t>CPM</w:t>
            </w:r>
          </w:p>
        </w:tc>
        <w:tc>
          <w:tcPr>
            <w:tcW w:type="dxa" w:w="2880"/>
          </w:tcPr>
          <w:p>
            <w:r/>
            <w:r>
              <w:t>Cost Plus Method</w:t>
            </w:r>
          </w:p>
        </w:tc>
        <w:tc>
          <w:tcPr>
            <w:tcW w:type="dxa" w:w="2880"/>
          </w:tcPr>
          <w:p>
            <w:r/>
            <w:r>
              <w:t>Start from cost, add markup</w:t>
            </w:r>
          </w:p>
        </w:tc>
      </w:tr>
      <w:tr>
        <w:tc>
          <w:tcPr>
            <w:tcW w:type="dxa" w:w="2880"/>
          </w:tcPr>
          <w:p>
            <w:r/>
            <w:r>
              <w:t>TNMM</w:t>
            </w:r>
          </w:p>
        </w:tc>
        <w:tc>
          <w:tcPr>
            <w:tcW w:type="dxa" w:w="2880"/>
          </w:tcPr>
          <w:p>
            <w:r/>
            <w:r>
              <w:t>Transactional Net Margin Method</w:t>
            </w:r>
          </w:p>
        </w:tc>
        <w:tc>
          <w:tcPr>
            <w:tcW w:type="dxa" w:w="2880"/>
          </w:tcPr>
          <w:p>
            <w:r/>
            <w:r>
              <w:t>Compare net profit margins</w:t>
            </w:r>
          </w:p>
        </w:tc>
      </w:tr>
      <w:tr>
        <w:tc>
          <w:tcPr>
            <w:tcW w:type="dxa" w:w="2880"/>
          </w:tcPr>
          <w:p>
            <w:r/>
            <w:r>
              <w:t>PSM</w:t>
            </w:r>
          </w:p>
        </w:tc>
        <w:tc>
          <w:tcPr>
            <w:tcW w:type="dxa" w:w="2880"/>
          </w:tcPr>
          <w:p>
            <w:r/>
            <w:r>
              <w:t>Profit Split Method</w:t>
            </w:r>
          </w:p>
        </w:tc>
        <w:tc>
          <w:tcPr>
            <w:tcW w:type="dxa" w:w="2880"/>
          </w:tcPr>
          <w:p>
            <w:r/>
            <w:r>
              <w:t>Split combined profits based on contributions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Remittance Basis Definitions</w:t>
      </w:r>
    </w:p>
    <w:p>
      <w:pPr>
        <w:pStyle w:val="Heading3"/>
      </w:pPr>
      <w:r>
        <w:t>Remittance (ITA 2007, s.809L)</w:t>
      </w:r>
    </w:p>
    <w:p>
      <w:r>
        <w:t>Foreign income/gains brought to, received in, or used in the UK by or for the benefit of a relevant person.</w:t>
      </w:r>
    </w:p>
    <w:p>
      <w:pPr>
        <w:pStyle w:val="Heading3"/>
      </w:pPr>
      <w:r>
        <w:t>Relevant Person</w:t>
      </w:r>
    </w:p>
    <w:p>
      <w:pPr>
        <w:pStyle w:val="ListBullet"/>
      </w:pPr>
      <w:r>
        <w:t>The individual</w:t>
      </w:r>
    </w:p>
    <w:p>
      <w:pPr>
        <w:pStyle w:val="ListBullet"/>
      </w:pPr>
      <w:r>
        <w:t>Spouse/civil partner</w:t>
      </w:r>
    </w:p>
    <w:p>
      <w:pPr>
        <w:pStyle w:val="ListBullet"/>
      </w:pPr>
      <w:r>
        <w:t>Minor child</w:t>
      </w:r>
    </w:p>
    <w:p>
      <w:pPr>
        <w:pStyle w:val="ListBullet"/>
      </w:pPr>
      <w:r>
        <w:t>Close family member</w:t>
      </w:r>
    </w:p>
    <w:p>
      <w:pPr>
        <w:pStyle w:val="ListBullet"/>
      </w:pPr>
      <w:r>
        <w:t>Trustee of connected settlement</w:t>
      </w:r>
    </w:p>
    <w:p>
      <w:pPr>
        <w:pStyle w:val="Heading3"/>
      </w:pPr>
      <w:r>
        <w:t>Mixed Fund (ITA 2007, s.809Q)</w:t>
      </w:r>
    </w:p>
    <w:p>
      <w:r>
        <w:t>A fund containing two or more of:</w:t>
      </w:r>
    </w:p>
    <w:p>
      <w:pPr>
        <w:pStyle w:val="ListBullet"/>
      </w:pPr>
      <w:r>
        <w:t>Untaxed foreign income</w:t>
      </w:r>
    </w:p>
    <w:p>
      <w:pPr>
        <w:pStyle w:val="ListBullet"/>
      </w:pPr>
      <w:r>
        <w:t>Untaxed foreign gains</w:t>
      </w:r>
    </w:p>
    <w:p>
      <w:pPr>
        <w:pStyle w:val="ListBullet"/>
      </w:pPr>
      <w:r>
        <w:t>Clean capital</w:t>
      </w:r>
    </w:p>
    <w:p>
      <w:pPr>
        <w:pStyle w:val="ListBullet"/>
      </w:pPr>
      <w:r>
        <w:t>UK income/gains</w:t>
      </w:r>
    </w:p>
    <w:p>
      <w:pPr>
        <w:pStyle w:val="Heading3"/>
      </w:pPr>
      <w:r>
        <w:t>Ordering Rule (for mixed funds)</w:t>
      </w:r>
    </w:p>
    <w:p>
      <w:pPr>
        <w:pStyle w:val="ListNumber"/>
      </w:pPr>
      <w:r>
        <w:t>Employment income</w:t>
      </w:r>
    </w:p>
    <w:p>
      <w:pPr>
        <w:pStyle w:val="ListNumber"/>
      </w:pPr>
      <w:r>
        <w:t>Relevant foreign income</w:t>
      </w:r>
    </w:p>
    <w:p>
      <w:pPr>
        <w:pStyle w:val="ListNumber"/>
      </w:pPr>
      <w:r>
        <w:t>Foreign chargeable gains</w:t>
      </w:r>
    </w:p>
    <w:p>
      <w:pPr>
        <w:pStyle w:val="ListNumber"/>
      </w:pPr>
      <w:r>
        <w:t>Relevant foreign earnings</w:t>
      </w:r>
    </w:p>
    <w:p>
      <w:pPr>
        <w:pStyle w:val="ListNumber"/>
      </w:pPr>
      <w:r>
        <w:t>Amounts taxed on remittance</w:t>
      </w:r>
    </w:p>
    <w:p>
      <w:pPr>
        <w:pStyle w:val="ListNumber"/>
      </w:pPr>
      <w:r>
        <w:t>Amounts non-taxable if remitted</w:t>
      </w:r>
    </w:p>
    <w:p>
      <w:pPr>
        <w:pStyle w:val="ListNumber"/>
      </w:pPr>
      <w:r>
        <w:t>Clean capital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CFC Definitions</w:t>
      </w:r>
    </w:p>
    <w:p>
      <w:pPr>
        <w:pStyle w:val="Heading3"/>
      </w:pPr>
      <w:r>
        <w:t>Controlled Foreign Company (TIOPA 2010, s.371AA)</w:t>
      </w:r>
    </w:p>
    <w:p>
      <w:r>
        <w:t>A company that is:</w:t>
      </w:r>
    </w:p>
    <w:p>
      <w:pPr>
        <w:pStyle w:val="ListBullet"/>
      </w:pPr>
      <w:r>
        <w:rPr>
          <w:b/>
        </w:rPr>
        <w:t>Non-UK resident</w:t>
      </w:r>
      <w:r>
        <w:t>, AND</w:t>
      </w:r>
    </w:p>
    <w:p>
      <w:pPr>
        <w:pStyle w:val="ListBullet"/>
      </w:pPr>
      <w:r>
        <w:rPr>
          <w:b/>
        </w:rPr>
        <w:t>Controlled</w:t>
      </w:r>
      <w:r>
        <w:t xml:space="preserve"> by UK residents</w:t>
      </w:r>
    </w:p>
    <w:p>
      <w:pPr>
        <w:pStyle w:val="Heading3"/>
      </w:pPr>
      <w:r>
        <w:t>Chargeable Company</w:t>
      </w:r>
    </w:p>
    <w:p>
      <w:r>
        <w:t xml:space="preserve">A UK resident company with at least </w:t>
      </w:r>
      <w:r>
        <w:rPr>
          <w:b/>
        </w:rPr>
        <w:t>25%</w:t>
      </w:r>
      <w:r>
        <w:t xml:space="preserve"> relevant interest in the CFC.</w:t>
      </w:r>
    </w:p>
    <w:p>
      <w:pPr>
        <w:pStyle w:val="Heading3"/>
      </w:pPr>
      <w:r>
        <w:t>Gateway Conditions (Chapter Exemptions)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Gateway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Low profits</w:t>
            </w:r>
          </w:p>
        </w:tc>
        <w:tc>
          <w:tcPr>
            <w:tcW w:type="dxa" w:w="4320"/>
          </w:tcPr>
          <w:p>
            <w:r/>
            <w:r>
              <w:t>Accounting profits &lt;£500,000</w:t>
            </w:r>
          </w:p>
        </w:tc>
      </w:tr>
      <w:tr>
        <w:tc>
          <w:tcPr>
            <w:tcW w:type="dxa" w:w="4320"/>
          </w:tcPr>
          <w:p>
            <w:r/>
            <w:r>
              <w:t>Low profit margin</w:t>
            </w:r>
          </w:p>
        </w:tc>
        <w:tc>
          <w:tcPr>
            <w:tcW w:type="dxa" w:w="4320"/>
          </w:tcPr>
          <w:p>
            <w:r/>
            <w:r>
              <w:t>&lt;10% of relevant operating expenditure</w:t>
            </w:r>
          </w:p>
        </w:tc>
      </w:tr>
      <w:tr>
        <w:tc>
          <w:tcPr>
            <w:tcW w:type="dxa" w:w="4320"/>
          </w:tcPr>
          <w:p>
            <w:r/>
            <w:r>
              <w:t>Tax exemption</w:t>
            </w:r>
          </w:p>
        </w:tc>
        <w:tc>
          <w:tcPr>
            <w:tcW w:type="dxa" w:w="4320"/>
          </w:tcPr>
          <w:p>
            <w:r/>
            <w:r>
              <w:t>Pays &gt;75% of corresponding UK tax</w:t>
            </w:r>
          </w:p>
        </w:tc>
      </w:tr>
      <w:tr>
        <w:tc>
          <w:tcPr>
            <w:tcW w:type="dxa" w:w="4320"/>
          </w:tcPr>
          <w:p>
            <w:r/>
            <w:r>
              <w:t>Excluded territories</w:t>
            </w:r>
          </w:p>
        </w:tc>
        <w:tc>
          <w:tcPr>
            <w:tcW w:type="dxa" w:w="4320"/>
          </w:tcPr>
          <w:p>
            <w:r/>
            <w:r>
              <w:t>In specified low-risk territory</w:t>
            </w:r>
          </w:p>
        </w:tc>
      </w:tr>
      <w:tr>
        <w:tc>
          <w:tcPr>
            <w:tcW w:type="dxa" w:w="4320"/>
          </w:tcPr>
          <w:p>
            <w:r/>
            <w:r>
              <w:t>Low accounting profit</w:t>
            </w:r>
          </w:p>
        </w:tc>
        <w:tc>
          <w:tcPr>
            <w:tcW w:type="dxa" w:w="4320"/>
          </w:tcPr>
          <w:p>
            <w:r/>
            <w:r>
              <w:t>&lt;£50,000 (for certain entities)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Anti-Avoidance Definitions</w:t>
      </w:r>
    </w:p>
    <w:p>
      <w:pPr>
        <w:pStyle w:val="Heading3"/>
      </w:pPr>
      <w:r>
        <w:t>Unallowable Purpose (CTA 2009, s.441)</w:t>
      </w:r>
    </w:p>
    <w:p>
      <w:r>
        <w:t xml:space="preserve">Loan relationships entered into for </w:t>
      </w:r>
      <w:r>
        <w:rPr>
          <w:b/>
        </w:rPr>
        <w:t>tax avoidance purpose</w:t>
      </w:r>
      <w:r>
        <w:t xml:space="preserve"> rather than commercial purpose.</w:t>
      </w:r>
    </w:p>
    <w:p>
      <w:pPr>
        <w:pStyle w:val="Heading3"/>
      </w:pPr>
      <w:r>
        <w:t>GAAR (General Anti-Abuse Rule - FA 2013, Part 5)</w:t>
      </w:r>
    </w:p>
    <w:p>
      <w:r>
        <w:t>Counteracts tax advantages from arrangements that are:</w:t>
      </w:r>
    </w:p>
    <w:p>
      <w:pPr>
        <w:pStyle w:val="ListBullet"/>
      </w:pPr>
      <w:r>
        <w:rPr>
          <w:b/>
        </w:rPr>
        <w:t>Abusive</w:t>
      </w:r>
      <w:r>
        <w:t xml:space="preserve"> (cannot reasonably be regarded as reasonable course of action)</w:t>
      </w:r>
    </w:p>
    <w:p>
      <w:pPr>
        <w:pStyle w:val="Heading3"/>
      </w:pPr>
      <w:r>
        <w:t>TAAR (Targeted Anti-Avoidance Rules)</w:t>
      </w:r>
    </w:p>
    <w:p>
      <w:r>
        <w:t>Specific rules targeting particular avoidance arrangements in individual tax codes.</w:t>
      </w:r>
    </w:p>
    <w:p>
      <w:pPr>
        <w:pStyle w:val="Heading3"/>
      </w:pPr>
      <w:r>
        <w:t>Transactions in Securities (ITA 2007, s.684)</w:t>
      </w:r>
    </w:p>
    <w:p>
      <w:r>
        <w:t>HMRC can counteract income tax advantages from:</w:t>
      </w:r>
    </w:p>
    <w:p>
      <w:pPr>
        <w:pStyle w:val="ListBullet"/>
      </w:pPr>
      <w:r>
        <w:t>Abnormal dividends</w:t>
      </w:r>
    </w:p>
    <w:p>
      <w:pPr>
        <w:pStyle w:val="ListBullet"/>
      </w:pPr>
      <w:r>
        <w:t>Transactions in securities for tax avoidance purpose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Treaty Definitions</w:t>
      </w:r>
    </w:p>
    <w:p>
      <w:pPr>
        <w:pStyle w:val="Heading3"/>
      </w:pPr>
      <w:r>
        <w:t>Beneficial Owner</w:t>
      </w:r>
    </w:p>
    <w:p>
      <w:r>
        <w:t>The person with the right to use and enjoy income, not just a conduit or agent.</w:t>
      </w:r>
    </w:p>
    <w:p>
      <w:pPr>
        <w:pStyle w:val="Heading3"/>
      </w:pPr>
      <w:r>
        <w:t>Place of Effective Management (POEM)</w:t>
      </w:r>
    </w:p>
    <w:p>
      <w:r>
        <w:t>Where key management and commercial decisions are made.</w:t>
      </w:r>
    </w:p>
    <w:p>
      <w:pPr>
        <w:pStyle w:val="Heading3"/>
      </w:pPr>
      <w:r>
        <w:t>Permanent Establishment (Treaty)</w:t>
      </w:r>
    </w:p>
    <w:p>
      <w:r>
        <w:t>Similar to OECD definition but may vary by specific treaty.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APPENDIX 5.3: LEGISLATION QUICK INDEX</w:t>
      </w:r>
    </w:p>
    <w:p>
      <w:pPr>
        <w:pStyle w:val="Heading2"/>
      </w:pPr>
      <w:r>
        <w:t>Primary Legislation by Topic</w:t>
      </w:r>
    </w:p>
    <w:p>
      <w:pPr>
        <w:pStyle w:val="Heading3"/>
      </w:pPr>
      <w:r>
        <w:t>Individual Residence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Legislation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Sections</w:t>
            </w:r>
          </w:p>
        </w:tc>
      </w:tr>
      <w:tr>
        <w:tc>
          <w:tcPr>
            <w:tcW w:type="dxa" w:w="2880"/>
          </w:tcPr>
          <w:p>
            <w:r/>
            <w:r>
              <w:t>Statutory Residence Test</w:t>
            </w:r>
          </w:p>
        </w:tc>
        <w:tc>
          <w:tcPr>
            <w:tcW w:type="dxa" w:w="2880"/>
          </w:tcPr>
          <w:p>
            <w:r/>
            <w:r>
              <w:t>FA 2013</w:t>
            </w:r>
          </w:p>
        </w:tc>
        <w:tc>
          <w:tcPr>
            <w:tcW w:type="dxa" w:w="2880"/>
          </w:tcPr>
          <w:p>
            <w:r/>
            <w:r>
              <w:t>Schedule 45</w:t>
            </w:r>
          </w:p>
        </w:tc>
      </w:tr>
      <w:tr>
        <w:tc>
          <w:tcPr>
            <w:tcW w:type="dxa" w:w="2880"/>
          </w:tcPr>
          <w:p>
            <w:r/>
            <w:r>
              <w:t>Split year treatment</w:t>
            </w:r>
          </w:p>
        </w:tc>
        <w:tc>
          <w:tcPr>
            <w:tcW w:type="dxa" w:w="2880"/>
          </w:tcPr>
          <w:p>
            <w:r/>
            <w:r>
              <w:t>FA 2013</w:t>
            </w:r>
          </w:p>
        </w:tc>
        <w:tc>
          <w:tcPr>
            <w:tcW w:type="dxa" w:w="2880"/>
          </w:tcPr>
          <w:p>
            <w:r/>
            <w:r>
              <w:t>Schedule 45, Part 3</w:t>
            </w:r>
          </w:p>
        </w:tc>
      </w:tr>
      <w:tr>
        <w:tc>
          <w:tcPr>
            <w:tcW w:type="dxa" w:w="2880"/>
          </w:tcPr>
          <w:p>
            <w:r/>
            <w:r>
              <w:t>Temporary non-residence</w:t>
            </w:r>
          </w:p>
        </w:tc>
        <w:tc>
          <w:tcPr>
            <w:tcW w:type="dxa" w:w="2880"/>
          </w:tcPr>
          <w:p>
            <w:r/>
            <w:r>
              <w:t>TCGA 1992</w:t>
            </w:r>
          </w:p>
        </w:tc>
        <w:tc>
          <w:tcPr>
            <w:tcW w:type="dxa" w:w="2880"/>
          </w:tcPr>
          <w:p>
            <w:r/>
            <w:r>
              <w:t>s.10A</w:t>
            </w:r>
          </w:p>
        </w:tc>
      </w:tr>
      <w:tr>
        <w:tc>
          <w:tcPr>
            <w:tcW w:type="dxa" w:w="2880"/>
          </w:tcPr>
          <w:p>
            <w:r/>
            <w:r>
              <w:t>Domicile</w:t>
            </w:r>
          </w:p>
        </w:tc>
        <w:tc>
          <w:tcPr>
            <w:tcW w:type="dxa" w:w="2880"/>
          </w:tcPr>
          <w:p>
            <w:r/>
            <w:r>
              <w:t>Common law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</w:tr>
      <w:tr>
        <w:tc>
          <w:tcPr>
            <w:tcW w:type="dxa" w:w="2880"/>
          </w:tcPr>
          <w:p>
            <w:r/>
            <w:r>
              <w:t>Deemed domicile</w:t>
            </w:r>
          </w:p>
        </w:tc>
        <w:tc>
          <w:tcPr>
            <w:tcW w:type="dxa" w:w="2880"/>
          </w:tcPr>
          <w:p>
            <w:r/>
            <w:r>
              <w:t>ITA 2007</w:t>
            </w:r>
          </w:p>
        </w:tc>
        <w:tc>
          <w:tcPr>
            <w:tcW w:type="dxa" w:w="2880"/>
          </w:tcPr>
          <w:p>
            <w:r/>
            <w:r>
              <w:t>s.835BA</w:t>
            </w:r>
          </w:p>
        </w:tc>
      </w:tr>
    </w:tbl>
    <w:p/>
    <w:p>
      <w:pPr>
        <w:pStyle w:val="Heading3"/>
      </w:pPr>
      <w:r>
        <w:t>Remittance Basis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Legislation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Sections</w:t>
            </w:r>
          </w:p>
        </w:tc>
      </w:tr>
      <w:tr>
        <w:tc>
          <w:tcPr>
            <w:tcW w:type="dxa" w:w="2880"/>
          </w:tcPr>
          <w:p>
            <w:r/>
            <w:r>
              <w:t>Remittance basis claim</w:t>
            </w:r>
          </w:p>
        </w:tc>
        <w:tc>
          <w:tcPr>
            <w:tcW w:type="dxa" w:w="2880"/>
          </w:tcPr>
          <w:p>
            <w:r/>
            <w:r>
              <w:t>ITA 2007</w:t>
            </w:r>
          </w:p>
        </w:tc>
        <w:tc>
          <w:tcPr>
            <w:tcW w:type="dxa" w:w="2880"/>
          </w:tcPr>
          <w:p>
            <w:r/>
            <w:r>
              <w:t>s.809B</w:t>
            </w:r>
          </w:p>
        </w:tc>
      </w:tr>
      <w:tr>
        <w:tc>
          <w:tcPr>
            <w:tcW w:type="dxa" w:w="2880"/>
          </w:tcPr>
          <w:p>
            <w:r/>
            <w:r>
              <w:t>Remittance definition</w:t>
            </w:r>
          </w:p>
        </w:tc>
        <w:tc>
          <w:tcPr>
            <w:tcW w:type="dxa" w:w="2880"/>
          </w:tcPr>
          <w:p>
            <w:r/>
            <w:r>
              <w:t>ITA 2007</w:t>
            </w:r>
          </w:p>
        </w:tc>
        <w:tc>
          <w:tcPr>
            <w:tcW w:type="dxa" w:w="2880"/>
          </w:tcPr>
          <w:p>
            <w:r/>
            <w:r>
              <w:t>s.809L</w:t>
            </w:r>
          </w:p>
        </w:tc>
      </w:tr>
      <w:tr>
        <w:tc>
          <w:tcPr>
            <w:tcW w:type="dxa" w:w="2880"/>
          </w:tcPr>
          <w:p>
            <w:r/>
            <w:r>
              <w:t>Mixed funds</w:t>
            </w:r>
          </w:p>
        </w:tc>
        <w:tc>
          <w:tcPr>
            <w:tcW w:type="dxa" w:w="2880"/>
          </w:tcPr>
          <w:p>
            <w:r/>
            <w:r>
              <w:t>ITA 2007</w:t>
            </w:r>
          </w:p>
        </w:tc>
        <w:tc>
          <w:tcPr>
            <w:tcW w:type="dxa" w:w="2880"/>
          </w:tcPr>
          <w:p>
            <w:r/>
            <w:r>
              <w:t>s.809Q-809S</w:t>
            </w:r>
          </w:p>
        </w:tc>
      </w:tr>
      <w:tr>
        <w:tc>
          <w:tcPr>
            <w:tcW w:type="dxa" w:w="2880"/>
          </w:tcPr>
          <w:p>
            <w:r/>
            <w:r>
              <w:t>Remittance basis charge</w:t>
            </w:r>
          </w:p>
        </w:tc>
        <w:tc>
          <w:tcPr>
            <w:tcW w:type="dxa" w:w="2880"/>
          </w:tcPr>
          <w:p>
            <w:r/>
            <w:r>
              <w:t>ITA 2007</w:t>
            </w:r>
          </w:p>
        </w:tc>
        <w:tc>
          <w:tcPr>
            <w:tcW w:type="dxa" w:w="2880"/>
          </w:tcPr>
          <w:p>
            <w:r/>
            <w:r>
              <w:t>s.809H</w:t>
            </w:r>
          </w:p>
        </w:tc>
      </w:tr>
      <w:tr>
        <w:tc>
          <w:tcPr>
            <w:tcW w:type="dxa" w:w="2880"/>
          </w:tcPr>
          <w:p>
            <w:r/>
            <w:r>
              <w:t>Business Investment Relief</w:t>
            </w:r>
          </w:p>
        </w:tc>
        <w:tc>
          <w:tcPr>
            <w:tcW w:type="dxa" w:w="2880"/>
          </w:tcPr>
          <w:p>
            <w:r/>
            <w:r>
              <w:t>ITA 2007</w:t>
            </w:r>
          </w:p>
        </w:tc>
        <w:tc>
          <w:tcPr>
            <w:tcW w:type="dxa" w:w="2880"/>
          </w:tcPr>
          <w:p>
            <w:r/>
            <w:r>
              <w:t>ss.809VA-809VO</w:t>
            </w:r>
          </w:p>
        </w:tc>
      </w:tr>
    </w:tbl>
    <w:p/>
    <w:p>
      <w:pPr>
        <w:pStyle w:val="Heading3"/>
      </w:pPr>
      <w:r>
        <w:t>Corporate Residence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Legislation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Sections</w:t>
            </w:r>
          </w:p>
        </w:tc>
      </w:tr>
      <w:tr>
        <w:tc>
          <w:tcPr>
            <w:tcW w:type="dxa" w:w="2880"/>
          </w:tcPr>
          <w:p>
            <w:r/>
            <w:r>
              <w:t>Company residence</w:t>
            </w:r>
          </w:p>
        </w:tc>
        <w:tc>
          <w:tcPr>
            <w:tcW w:type="dxa" w:w="2880"/>
          </w:tcPr>
          <w:p>
            <w:r/>
            <w:r>
              <w:t>CTA 2009</w:t>
            </w:r>
          </w:p>
        </w:tc>
        <w:tc>
          <w:tcPr>
            <w:tcW w:type="dxa" w:w="2880"/>
          </w:tcPr>
          <w:p>
            <w:r/>
            <w:r>
              <w:t>ss.14-18</w:t>
            </w:r>
          </w:p>
        </w:tc>
      </w:tr>
      <w:tr>
        <w:tc>
          <w:tcPr>
            <w:tcW w:type="dxa" w:w="2880"/>
          </w:tcPr>
          <w:p>
            <w:r/>
            <w:r>
              <w:t>Central management</w:t>
            </w:r>
          </w:p>
        </w:tc>
        <w:tc>
          <w:tcPr>
            <w:tcW w:type="dxa" w:w="2880"/>
          </w:tcPr>
          <w:p>
            <w:r/>
            <w:r>
              <w:t>Common law</w:t>
            </w:r>
          </w:p>
        </w:tc>
        <w:tc>
          <w:tcPr>
            <w:tcW w:type="dxa" w:w="2880"/>
          </w:tcPr>
          <w:p>
            <w:r/>
            <w:r>
              <w:t>De Beers v Howe</w:t>
            </w:r>
          </w:p>
        </w:tc>
      </w:tr>
      <w:tr>
        <w:tc>
          <w:tcPr>
            <w:tcW w:type="dxa" w:w="2880"/>
          </w:tcPr>
          <w:p>
            <w:r/>
            <w:r>
              <w:t>Treaty tie-breaker</w:t>
            </w:r>
          </w:p>
        </w:tc>
        <w:tc>
          <w:tcPr>
            <w:tcW w:type="dxa" w:w="2880"/>
          </w:tcPr>
          <w:p>
            <w:r/>
            <w:r>
              <w:t>Various DTAs</w:t>
            </w:r>
          </w:p>
        </w:tc>
        <w:tc>
          <w:tcPr>
            <w:tcW w:type="dxa" w:w="2880"/>
          </w:tcPr>
          <w:p>
            <w:r/>
            <w:r>
              <w:t>Article 4</w:t>
            </w:r>
          </w:p>
        </w:tc>
      </w:tr>
      <w:tr>
        <w:tc>
          <w:tcPr>
            <w:tcW w:type="dxa" w:w="2880"/>
          </w:tcPr>
          <w:p>
            <w:r/>
            <w:r>
              <w:t>PE definition</w:t>
            </w:r>
          </w:p>
        </w:tc>
        <w:tc>
          <w:tcPr>
            <w:tcW w:type="dxa" w:w="2880"/>
          </w:tcPr>
          <w:p>
            <w:r/>
            <w:r>
              <w:t>CTA 2010</w:t>
            </w:r>
          </w:p>
        </w:tc>
        <w:tc>
          <w:tcPr>
            <w:tcW w:type="dxa" w:w="2880"/>
          </w:tcPr>
          <w:p>
            <w:r/>
            <w:r>
              <w:t>ss.1141-1142</w:t>
            </w:r>
          </w:p>
        </w:tc>
      </w:tr>
      <w:tr>
        <w:tc>
          <w:tcPr>
            <w:tcW w:type="dxa" w:w="2880"/>
          </w:tcPr>
          <w:p>
            <w:r/>
            <w:r>
              <w:t>PE profits</w:t>
            </w:r>
          </w:p>
        </w:tc>
        <w:tc>
          <w:tcPr>
            <w:tcW w:type="dxa" w:w="2880"/>
          </w:tcPr>
          <w:p>
            <w:r/>
            <w:r>
              <w:t>CTA 2009</w:t>
            </w:r>
          </w:p>
        </w:tc>
        <w:tc>
          <w:tcPr>
            <w:tcW w:type="dxa" w:w="2880"/>
          </w:tcPr>
          <w:p>
            <w:r/>
            <w:r>
              <w:t>s.19</w:t>
            </w:r>
          </w:p>
        </w:tc>
      </w:tr>
    </w:tbl>
    <w:p/>
    <w:p>
      <w:pPr>
        <w:pStyle w:val="Heading3"/>
      </w:pPr>
      <w:r>
        <w:t>Controlled Foreign Companies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Legislation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Sections</w:t>
            </w:r>
          </w:p>
        </w:tc>
      </w:tr>
      <w:tr>
        <w:tc>
          <w:tcPr>
            <w:tcW w:type="dxa" w:w="2880"/>
          </w:tcPr>
          <w:p>
            <w:r/>
            <w:r>
              <w:t>CFC definition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Part 9A, Chapter 2</w:t>
            </w:r>
          </w:p>
        </w:tc>
      </w:tr>
      <w:tr>
        <w:tc>
          <w:tcPr>
            <w:tcW w:type="dxa" w:w="2880"/>
          </w:tcPr>
          <w:p>
            <w:r/>
            <w:r>
              <w:t>Gateway tests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Part 9A, Chapter 3</w:t>
            </w:r>
          </w:p>
        </w:tc>
      </w:tr>
      <w:tr>
        <w:tc>
          <w:tcPr>
            <w:tcW w:type="dxa" w:w="2880"/>
          </w:tcPr>
          <w:p>
            <w:r/>
            <w:r>
              <w:t>Charging provisions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Part 9A, Chapters 4-8</w:t>
            </w:r>
          </w:p>
        </w:tc>
      </w:tr>
      <w:tr>
        <w:tc>
          <w:tcPr>
            <w:tcW w:type="dxa" w:w="2880"/>
          </w:tcPr>
          <w:p>
            <w:r/>
            <w:r>
              <w:t>Exemptions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Part 9A, Chapter 9</w:t>
            </w:r>
          </w:p>
        </w:tc>
      </w:tr>
      <w:tr>
        <w:tc>
          <w:tcPr>
            <w:tcW w:type="dxa" w:w="2880"/>
          </w:tcPr>
          <w:p>
            <w:r/>
            <w:r>
              <w:t>CFC charge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Part 9A, Chapter 15</w:t>
            </w:r>
          </w:p>
        </w:tc>
      </w:tr>
    </w:tbl>
    <w:p/>
    <w:p>
      <w:pPr>
        <w:pStyle w:val="Heading3"/>
      </w:pPr>
      <w:r>
        <w:t>Transfer Pricing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Legislation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Sections</w:t>
            </w:r>
          </w:p>
        </w:tc>
      </w:tr>
      <w:tr>
        <w:tc>
          <w:tcPr>
            <w:tcW w:type="dxa" w:w="2880"/>
          </w:tcPr>
          <w:p>
            <w:r/>
            <w:r>
              <w:t>Basic rule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s.147</w:t>
            </w:r>
          </w:p>
        </w:tc>
      </w:tr>
      <w:tr>
        <w:tc>
          <w:tcPr>
            <w:tcW w:type="dxa" w:w="2880"/>
          </w:tcPr>
          <w:p>
            <w:r/>
            <w:r>
              <w:t>Participation condition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s.148</w:t>
            </w:r>
          </w:p>
        </w:tc>
      </w:tr>
      <w:tr>
        <w:tc>
          <w:tcPr>
            <w:tcW w:type="dxa" w:w="2880"/>
          </w:tcPr>
          <w:p>
            <w:r/>
            <w:r>
              <w:t>Arm's length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ss.150-164</w:t>
            </w:r>
          </w:p>
        </w:tc>
      </w:tr>
      <w:tr>
        <w:tc>
          <w:tcPr>
            <w:tcW w:type="dxa" w:w="2880"/>
          </w:tcPr>
          <w:p>
            <w:r/>
            <w:r>
              <w:t>SME exemption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s.166</w:t>
            </w:r>
          </w:p>
        </w:tc>
      </w:tr>
      <w:tr>
        <w:tc>
          <w:tcPr>
            <w:tcW w:type="dxa" w:w="2880"/>
          </w:tcPr>
          <w:p>
            <w:r/>
            <w:r>
              <w:t>Compensating adjustment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s.174</w:t>
            </w:r>
          </w:p>
        </w:tc>
      </w:tr>
    </w:tbl>
    <w:p/>
    <w:p>
      <w:pPr>
        <w:pStyle w:val="Heading3"/>
      </w:pPr>
      <w:r>
        <w:t>Corporate Interest Restriction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Legislation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Sections</w:t>
            </w:r>
          </w:p>
        </w:tc>
      </w:tr>
      <w:tr>
        <w:tc>
          <w:tcPr>
            <w:tcW w:type="dxa" w:w="2880"/>
          </w:tcPr>
          <w:p>
            <w:r/>
            <w:r>
              <w:t>Main provisions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Part 10</w:t>
            </w:r>
          </w:p>
        </w:tc>
      </w:tr>
      <w:tr>
        <w:tc>
          <w:tcPr>
            <w:tcW w:type="dxa" w:w="2880"/>
          </w:tcPr>
          <w:p>
            <w:r/>
            <w:r>
              <w:t>De minimis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s.392</w:t>
            </w:r>
          </w:p>
        </w:tc>
      </w:tr>
      <w:tr>
        <w:tc>
          <w:tcPr>
            <w:tcW w:type="dxa" w:w="2880"/>
          </w:tcPr>
          <w:p>
            <w:r/>
            <w:r>
              <w:t>Fixed ratio rule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s.393</w:t>
            </w:r>
          </w:p>
        </w:tc>
      </w:tr>
      <w:tr>
        <w:tc>
          <w:tcPr>
            <w:tcW w:type="dxa" w:w="2880"/>
          </w:tcPr>
          <w:p>
            <w:r/>
            <w:r>
              <w:t>Group ratio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ss.398-399</w:t>
            </w:r>
          </w:p>
        </w:tc>
      </w:tr>
      <w:tr>
        <w:tc>
          <w:tcPr>
            <w:tcW w:type="dxa" w:w="2880"/>
          </w:tcPr>
          <w:p>
            <w:r/>
            <w:r>
              <w:t>Carry forward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ss.378-392</w:t>
            </w:r>
          </w:p>
        </w:tc>
      </w:tr>
    </w:tbl>
    <w:p/>
    <w:p>
      <w:pPr>
        <w:pStyle w:val="Heading3"/>
      </w:pPr>
      <w:r>
        <w:t>Inheritance Tax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Legislation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Sections</w:t>
            </w:r>
          </w:p>
        </w:tc>
      </w:tr>
      <w:tr>
        <w:tc>
          <w:tcPr>
            <w:tcW w:type="dxa" w:w="2880"/>
          </w:tcPr>
          <w:p>
            <w:r/>
            <w:r>
              <w:t>Charge to IHT</w:t>
            </w:r>
          </w:p>
        </w:tc>
        <w:tc>
          <w:tcPr>
            <w:tcW w:type="dxa" w:w="2880"/>
          </w:tcPr>
          <w:p>
            <w:r/>
            <w:r>
              <w:t>IHTA 1984</w:t>
            </w:r>
          </w:p>
        </w:tc>
        <w:tc>
          <w:tcPr>
            <w:tcW w:type="dxa" w:w="2880"/>
          </w:tcPr>
          <w:p>
            <w:r/>
            <w:r>
              <w:t>ss.1-8</w:t>
            </w:r>
          </w:p>
        </w:tc>
      </w:tr>
      <w:tr>
        <w:tc>
          <w:tcPr>
            <w:tcW w:type="dxa" w:w="2880"/>
          </w:tcPr>
          <w:p>
            <w:r/>
            <w:r>
              <w:t>Exempt transfers</w:t>
            </w:r>
          </w:p>
        </w:tc>
        <w:tc>
          <w:tcPr>
            <w:tcW w:type="dxa" w:w="2880"/>
          </w:tcPr>
          <w:p>
            <w:r/>
            <w:r>
              <w:t>IHTA 1984</w:t>
            </w:r>
          </w:p>
        </w:tc>
        <w:tc>
          <w:tcPr>
            <w:tcW w:type="dxa" w:w="2880"/>
          </w:tcPr>
          <w:p>
            <w:r/>
            <w:r>
              <w:t>ss.18-28</w:t>
            </w:r>
          </w:p>
        </w:tc>
      </w:tr>
      <w:tr>
        <w:tc>
          <w:tcPr>
            <w:tcW w:type="dxa" w:w="2880"/>
          </w:tcPr>
          <w:p>
            <w:r/>
            <w:r>
              <w:t>Potentially exempt transfers</w:t>
            </w:r>
          </w:p>
        </w:tc>
        <w:tc>
          <w:tcPr>
            <w:tcW w:type="dxa" w:w="2880"/>
          </w:tcPr>
          <w:p>
            <w:r/>
            <w:r>
              <w:t>IHTA 1984</w:t>
            </w:r>
          </w:p>
        </w:tc>
        <w:tc>
          <w:tcPr>
            <w:tcW w:type="dxa" w:w="2880"/>
          </w:tcPr>
          <w:p>
            <w:r/>
            <w:r>
              <w:t>ss.3A-3B</w:t>
            </w:r>
          </w:p>
        </w:tc>
      </w:tr>
      <w:tr>
        <w:tc>
          <w:tcPr>
            <w:tcW w:type="dxa" w:w="2880"/>
          </w:tcPr>
          <w:p>
            <w:r/>
            <w:r>
              <w:t>Business property relief</w:t>
            </w:r>
          </w:p>
        </w:tc>
        <w:tc>
          <w:tcPr>
            <w:tcW w:type="dxa" w:w="2880"/>
          </w:tcPr>
          <w:p>
            <w:r/>
            <w:r>
              <w:t>IHTA 1984</w:t>
            </w:r>
          </w:p>
        </w:tc>
        <w:tc>
          <w:tcPr>
            <w:tcW w:type="dxa" w:w="2880"/>
          </w:tcPr>
          <w:p>
            <w:r/>
            <w:r>
              <w:t>ss.103-114</w:t>
            </w:r>
          </w:p>
        </w:tc>
      </w:tr>
      <w:tr>
        <w:tc>
          <w:tcPr>
            <w:tcW w:type="dxa" w:w="2880"/>
          </w:tcPr>
          <w:p>
            <w:r/>
            <w:r>
              <w:t>Agricultural property relief</w:t>
            </w:r>
          </w:p>
        </w:tc>
        <w:tc>
          <w:tcPr>
            <w:tcW w:type="dxa" w:w="2880"/>
          </w:tcPr>
          <w:p>
            <w:r/>
            <w:r>
              <w:t>IHTA 1984</w:t>
            </w:r>
          </w:p>
        </w:tc>
        <w:tc>
          <w:tcPr>
            <w:tcW w:type="dxa" w:w="2880"/>
          </w:tcPr>
          <w:p>
            <w:r/>
            <w:r>
              <w:t>ss.115-124C</w:t>
            </w:r>
          </w:p>
        </w:tc>
      </w:tr>
      <w:tr>
        <w:tc>
          <w:tcPr>
            <w:tcW w:type="dxa" w:w="2880"/>
          </w:tcPr>
          <w:p>
            <w:r/>
            <w:r>
              <w:t>Trusts</w:t>
            </w:r>
          </w:p>
        </w:tc>
        <w:tc>
          <w:tcPr>
            <w:tcW w:type="dxa" w:w="2880"/>
          </w:tcPr>
          <w:p>
            <w:r/>
            <w:r>
              <w:t>IHTA 1984</w:t>
            </w:r>
          </w:p>
        </w:tc>
        <w:tc>
          <w:tcPr>
            <w:tcW w:type="dxa" w:w="2880"/>
          </w:tcPr>
          <w:p>
            <w:r/>
            <w:r>
              <w:t>ss.43-93</w:t>
            </w:r>
          </w:p>
        </w:tc>
      </w:tr>
      <w:tr>
        <w:tc>
          <w:tcPr>
            <w:tcW w:type="dxa" w:w="2880"/>
          </w:tcPr>
          <w:p>
            <w:r/>
            <w:r>
              <w:t>Excluded property</w:t>
            </w:r>
          </w:p>
        </w:tc>
        <w:tc>
          <w:tcPr>
            <w:tcW w:type="dxa" w:w="2880"/>
          </w:tcPr>
          <w:p>
            <w:r/>
            <w:r>
              <w:t>IHTA 1984</w:t>
            </w:r>
          </w:p>
        </w:tc>
        <w:tc>
          <w:tcPr>
            <w:tcW w:type="dxa" w:w="2880"/>
          </w:tcPr>
          <w:p>
            <w:r/>
            <w:r>
              <w:t>s.48</w:t>
            </w:r>
          </w:p>
        </w:tc>
      </w:tr>
      <w:tr>
        <w:tc>
          <w:tcPr>
            <w:tcW w:type="dxa" w:w="2880"/>
          </w:tcPr>
          <w:p>
            <w:r/>
            <w:r>
              <w:t>Deemed domicile</w:t>
            </w:r>
          </w:p>
        </w:tc>
        <w:tc>
          <w:tcPr>
            <w:tcW w:type="dxa" w:w="2880"/>
          </w:tcPr>
          <w:p>
            <w:r/>
            <w:r>
              <w:t>IHTA 1984</w:t>
            </w:r>
          </w:p>
        </w:tc>
        <w:tc>
          <w:tcPr>
            <w:tcW w:type="dxa" w:w="2880"/>
          </w:tcPr>
          <w:p>
            <w:r/>
            <w:r>
              <w:t>s.267</w:t>
            </w:r>
          </w:p>
        </w:tc>
      </w:tr>
    </w:tbl>
    <w:p/>
    <w:p>
      <w:pPr>
        <w:pStyle w:val="Heading3"/>
      </w:pPr>
      <w:r>
        <w:t>Capital Gains Tax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Legislation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Sections</w:t>
            </w:r>
          </w:p>
        </w:tc>
      </w:tr>
      <w:tr>
        <w:tc>
          <w:tcPr>
            <w:tcW w:type="dxa" w:w="2880"/>
          </w:tcPr>
          <w:p>
            <w:r/>
            <w:r>
              <w:t>Charge to CGT</w:t>
            </w:r>
          </w:p>
        </w:tc>
        <w:tc>
          <w:tcPr>
            <w:tcW w:type="dxa" w:w="2880"/>
          </w:tcPr>
          <w:p>
            <w:r/>
            <w:r>
              <w:t>TCGA 1992</w:t>
            </w:r>
          </w:p>
        </w:tc>
        <w:tc>
          <w:tcPr>
            <w:tcW w:type="dxa" w:w="2880"/>
          </w:tcPr>
          <w:p>
            <w:r/>
            <w:r>
              <w:t>ss.1-3</w:t>
            </w:r>
          </w:p>
        </w:tc>
      </w:tr>
      <w:tr>
        <w:tc>
          <w:tcPr>
            <w:tcW w:type="dxa" w:w="2880"/>
          </w:tcPr>
          <w:p>
            <w:r/>
            <w:r>
              <w:t>Disposal of assets</w:t>
            </w:r>
          </w:p>
        </w:tc>
        <w:tc>
          <w:tcPr>
            <w:tcW w:type="dxa" w:w="2880"/>
          </w:tcPr>
          <w:p>
            <w:r/>
            <w:r>
              <w:t>TCGA 1992</w:t>
            </w:r>
          </w:p>
        </w:tc>
        <w:tc>
          <w:tcPr>
            <w:tcW w:type="dxa" w:w="2880"/>
          </w:tcPr>
          <w:p>
            <w:r/>
            <w:r>
              <w:t>ss.21-28</w:t>
            </w:r>
          </w:p>
        </w:tc>
      </w:tr>
      <w:tr>
        <w:tc>
          <w:tcPr>
            <w:tcW w:type="dxa" w:w="2880"/>
          </w:tcPr>
          <w:p>
            <w:r/>
            <w:r>
              <w:t>Computation</w:t>
            </w:r>
          </w:p>
        </w:tc>
        <w:tc>
          <w:tcPr>
            <w:tcW w:type="dxa" w:w="2880"/>
          </w:tcPr>
          <w:p>
            <w:r/>
            <w:r>
              <w:t>TCGA 1992</w:t>
            </w:r>
          </w:p>
        </w:tc>
        <w:tc>
          <w:tcPr>
            <w:tcW w:type="dxa" w:w="2880"/>
          </w:tcPr>
          <w:p>
            <w:r/>
            <w:r>
              <w:t>ss.35-57</w:t>
            </w:r>
          </w:p>
        </w:tc>
      </w:tr>
      <w:tr>
        <w:tc>
          <w:tcPr>
            <w:tcW w:type="dxa" w:w="2880"/>
          </w:tcPr>
          <w:p>
            <w:r/>
            <w:r>
              <w:t>Business Asset Disposal Relief</w:t>
            </w:r>
          </w:p>
        </w:tc>
        <w:tc>
          <w:tcPr>
            <w:tcW w:type="dxa" w:w="2880"/>
          </w:tcPr>
          <w:p>
            <w:r/>
            <w:r>
              <w:t>TCGA 1992</w:t>
            </w:r>
          </w:p>
        </w:tc>
        <w:tc>
          <w:tcPr>
            <w:tcW w:type="dxa" w:w="2880"/>
          </w:tcPr>
          <w:p>
            <w:r/>
            <w:r>
              <w:t>ss.169H-169S</w:t>
            </w:r>
          </w:p>
        </w:tc>
      </w:tr>
      <w:tr>
        <w:tc>
          <w:tcPr>
            <w:tcW w:type="dxa" w:w="2880"/>
          </w:tcPr>
          <w:p>
            <w:r/>
            <w:r>
              <w:t>Rollover relief</w:t>
            </w:r>
          </w:p>
        </w:tc>
        <w:tc>
          <w:tcPr>
            <w:tcW w:type="dxa" w:w="2880"/>
          </w:tcPr>
          <w:p>
            <w:r/>
            <w:r>
              <w:t>TCGA 1992</w:t>
            </w:r>
          </w:p>
        </w:tc>
        <w:tc>
          <w:tcPr>
            <w:tcW w:type="dxa" w:w="2880"/>
          </w:tcPr>
          <w:p>
            <w:r/>
            <w:r>
              <w:t>ss.152-158</w:t>
            </w:r>
          </w:p>
        </w:tc>
      </w:tr>
      <w:tr>
        <w:tc>
          <w:tcPr>
            <w:tcW w:type="dxa" w:w="2880"/>
          </w:tcPr>
          <w:p>
            <w:r/>
            <w:r>
              <w:t>Holdover relief</w:t>
            </w:r>
          </w:p>
        </w:tc>
        <w:tc>
          <w:tcPr>
            <w:tcW w:type="dxa" w:w="2880"/>
          </w:tcPr>
          <w:p>
            <w:r/>
            <w:r>
              <w:t>TCGA 1992</w:t>
            </w:r>
          </w:p>
        </w:tc>
        <w:tc>
          <w:tcPr>
            <w:tcW w:type="dxa" w:w="2880"/>
          </w:tcPr>
          <w:p>
            <w:r/>
            <w:r>
              <w:t>s.165, s.260</w:t>
            </w:r>
          </w:p>
        </w:tc>
      </w:tr>
      <w:tr>
        <w:tc>
          <w:tcPr>
            <w:tcW w:type="dxa" w:w="2880"/>
          </w:tcPr>
          <w:p>
            <w:r/>
            <w:r>
              <w:t>Non-resident CGT</w:t>
            </w:r>
          </w:p>
        </w:tc>
        <w:tc>
          <w:tcPr>
            <w:tcW w:type="dxa" w:w="2880"/>
          </w:tcPr>
          <w:p>
            <w:r/>
            <w:r>
              <w:t>TCGA 1992</w:t>
            </w:r>
          </w:p>
        </w:tc>
        <w:tc>
          <w:tcPr>
            <w:tcW w:type="dxa" w:w="2880"/>
          </w:tcPr>
          <w:p>
            <w:r/>
            <w:r>
              <w:t>Schedule 1A</w:t>
            </w:r>
          </w:p>
        </w:tc>
      </w:tr>
      <w:tr>
        <w:tc>
          <w:tcPr>
            <w:tcW w:type="dxa" w:w="2880"/>
          </w:tcPr>
          <w:p>
            <w:r/>
            <w:r>
              <w:t>Section 86 (trusts)</w:t>
            </w:r>
          </w:p>
        </w:tc>
        <w:tc>
          <w:tcPr>
            <w:tcW w:type="dxa" w:w="2880"/>
          </w:tcPr>
          <w:p>
            <w:r/>
            <w:r>
              <w:t>TCGA 1992</w:t>
            </w:r>
          </w:p>
        </w:tc>
        <w:tc>
          <w:tcPr>
            <w:tcW w:type="dxa" w:w="2880"/>
          </w:tcPr>
          <w:p>
            <w:r/>
            <w:r>
              <w:t>s.86</w:t>
            </w:r>
          </w:p>
        </w:tc>
      </w:tr>
      <w:tr>
        <w:tc>
          <w:tcPr>
            <w:tcW w:type="dxa" w:w="2880"/>
          </w:tcPr>
          <w:p>
            <w:r/>
            <w:r>
              <w:t>Section 87 (trusts)</w:t>
            </w:r>
          </w:p>
        </w:tc>
        <w:tc>
          <w:tcPr>
            <w:tcW w:type="dxa" w:w="2880"/>
          </w:tcPr>
          <w:p>
            <w:r/>
            <w:r>
              <w:t>TCGA 1992</w:t>
            </w:r>
          </w:p>
        </w:tc>
        <w:tc>
          <w:tcPr>
            <w:tcW w:type="dxa" w:w="2880"/>
          </w:tcPr>
          <w:p>
            <w:r/>
            <w:r>
              <w:t>s.87</w:t>
            </w:r>
          </w:p>
        </w:tc>
      </w:tr>
    </w:tbl>
    <w:p/>
    <w:p>
      <w:pPr>
        <w:pStyle w:val="Heading3"/>
      </w:pPr>
      <w:r>
        <w:t>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Legislation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Sections</w:t>
            </w:r>
          </w:p>
        </w:tc>
      </w:tr>
      <w:tr>
        <w:tc>
          <w:tcPr>
            <w:tcW w:type="dxa" w:w="2880"/>
          </w:tcPr>
          <w:p>
            <w:r/>
            <w:r>
              <w:t>Charge</w:t>
            </w:r>
          </w:p>
        </w:tc>
        <w:tc>
          <w:tcPr>
            <w:tcW w:type="dxa" w:w="2880"/>
          </w:tcPr>
          <w:p>
            <w:r/>
            <w:r>
              <w:t>FA 2013</w:t>
            </w:r>
          </w:p>
        </w:tc>
        <w:tc>
          <w:tcPr>
            <w:tcW w:type="dxa" w:w="2880"/>
          </w:tcPr>
          <w:p>
            <w:r/>
            <w:r>
              <w:t>Schedule 33</w:t>
            </w:r>
          </w:p>
        </w:tc>
      </w:tr>
      <w:tr>
        <w:tc>
          <w:tcPr>
            <w:tcW w:type="dxa" w:w="2880"/>
          </w:tcPr>
          <w:p>
            <w:r/>
            <w:r>
              <w:t>Reliefs</w:t>
            </w:r>
          </w:p>
        </w:tc>
        <w:tc>
          <w:tcPr>
            <w:tcW w:type="dxa" w:w="2880"/>
          </w:tcPr>
          <w:p>
            <w:r/>
            <w:r>
              <w:t>FA 2013</w:t>
            </w:r>
          </w:p>
        </w:tc>
        <w:tc>
          <w:tcPr>
            <w:tcW w:type="dxa" w:w="2880"/>
          </w:tcPr>
          <w:p>
            <w:r/>
            <w:r>
              <w:t>Schedule 33, paras 4-11</w:t>
            </w:r>
          </w:p>
        </w:tc>
      </w:tr>
      <w:tr>
        <w:tc>
          <w:tcPr>
            <w:tcW w:type="dxa" w:w="2880"/>
          </w:tcPr>
          <w:p>
            <w:r/>
            <w:r>
              <w:t>ATED-related CGT</w:t>
            </w:r>
          </w:p>
        </w:tc>
        <w:tc>
          <w:tcPr>
            <w:tcW w:type="dxa" w:w="2880"/>
          </w:tcPr>
          <w:p>
            <w:r/>
            <w:r>
              <w:t>FA 2013</w:t>
            </w:r>
          </w:p>
        </w:tc>
        <w:tc>
          <w:tcPr>
            <w:tcW w:type="dxa" w:w="2880"/>
          </w:tcPr>
          <w:p>
            <w:r/>
            <w:r>
              <w:t>Schedule 25</w:t>
            </w:r>
          </w:p>
        </w:tc>
      </w:tr>
      <w:tr>
        <w:tc>
          <w:tcPr>
            <w:tcW w:type="dxa" w:w="2880"/>
          </w:tcPr>
          <w:p>
            <w:r/>
            <w:r>
              <w:t>Returns</w:t>
            </w:r>
          </w:p>
        </w:tc>
        <w:tc>
          <w:tcPr>
            <w:tcW w:type="dxa" w:w="2880"/>
          </w:tcPr>
          <w:p>
            <w:r/>
            <w:r>
              <w:t>FA 2013</w:t>
            </w:r>
          </w:p>
        </w:tc>
        <w:tc>
          <w:tcPr>
            <w:tcW w:type="dxa" w:w="2880"/>
          </w:tcPr>
          <w:p>
            <w:r/>
            <w:r>
              <w:t>Schedule 34</w:t>
            </w:r>
          </w:p>
        </w:tc>
      </w:tr>
    </w:tbl>
    <w:p/>
    <w:p>
      <w:pPr>
        <w:pStyle w:val="Heading3"/>
      </w:pPr>
      <w:r>
        <w:t>Other Anti-Avoidance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Legislation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Sections</w:t>
            </w:r>
          </w:p>
        </w:tc>
      </w:tr>
      <w:tr>
        <w:tc>
          <w:tcPr>
            <w:tcW w:type="dxa" w:w="2880"/>
          </w:tcPr>
          <w:p>
            <w:r/>
            <w:r>
              <w:t>GAAR</w:t>
            </w:r>
          </w:p>
        </w:tc>
        <w:tc>
          <w:tcPr>
            <w:tcW w:type="dxa" w:w="2880"/>
          </w:tcPr>
          <w:p>
            <w:r/>
            <w:r>
              <w:t>FA 2013</w:t>
            </w:r>
          </w:p>
        </w:tc>
        <w:tc>
          <w:tcPr>
            <w:tcW w:type="dxa" w:w="2880"/>
          </w:tcPr>
          <w:p>
            <w:r/>
            <w:r>
              <w:t>Part 5</w:t>
            </w:r>
          </w:p>
        </w:tc>
      </w:tr>
      <w:tr>
        <w:tc>
          <w:tcPr>
            <w:tcW w:type="dxa" w:w="2880"/>
          </w:tcPr>
          <w:p>
            <w:r/>
            <w:r>
              <w:t>Transactions in securities</w:t>
            </w:r>
          </w:p>
        </w:tc>
        <w:tc>
          <w:tcPr>
            <w:tcW w:type="dxa" w:w="2880"/>
          </w:tcPr>
          <w:p>
            <w:r/>
            <w:r>
              <w:t>ITA 2007</w:t>
            </w:r>
          </w:p>
        </w:tc>
        <w:tc>
          <w:tcPr>
            <w:tcW w:type="dxa" w:w="2880"/>
          </w:tcPr>
          <w:p>
            <w:r/>
            <w:r>
              <w:t>ss.682-713</w:t>
            </w:r>
          </w:p>
        </w:tc>
      </w:tr>
      <w:tr>
        <w:tc>
          <w:tcPr>
            <w:tcW w:type="dxa" w:w="2880"/>
          </w:tcPr>
          <w:p>
            <w:r/>
            <w:r>
              <w:t>Transfer of assets abroad</w:t>
            </w:r>
          </w:p>
        </w:tc>
        <w:tc>
          <w:tcPr>
            <w:tcW w:type="dxa" w:w="2880"/>
          </w:tcPr>
          <w:p>
            <w:r/>
            <w:r>
              <w:t>ITA 2007</w:t>
            </w:r>
          </w:p>
        </w:tc>
        <w:tc>
          <w:tcPr>
            <w:tcW w:type="dxa" w:w="2880"/>
          </w:tcPr>
          <w:p>
            <w:r/>
            <w:r>
              <w:t>ss.720-730</w:t>
            </w:r>
          </w:p>
        </w:tc>
      </w:tr>
      <w:tr>
        <w:tc>
          <w:tcPr>
            <w:tcW w:type="dxa" w:w="2880"/>
          </w:tcPr>
          <w:p>
            <w:r/>
            <w:r>
              <w:t>Diverted Profits Tax</w:t>
            </w:r>
          </w:p>
        </w:tc>
        <w:tc>
          <w:tcPr>
            <w:tcW w:type="dxa" w:w="2880"/>
          </w:tcPr>
          <w:p>
            <w:r/>
            <w:r>
              <w:t>FA 2015</w:t>
            </w:r>
          </w:p>
        </w:tc>
        <w:tc>
          <w:tcPr>
            <w:tcW w:type="dxa" w:w="2880"/>
          </w:tcPr>
          <w:p>
            <w:r/>
            <w:r>
              <w:t>Part 3</w:t>
            </w:r>
          </w:p>
        </w:tc>
      </w:tr>
      <w:tr>
        <w:tc>
          <w:tcPr>
            <w:tcW w:type="dxa" w:w="2880"/>
          </w:tcPr>
          <w:p>
            <w:r/>
            <w:r>
              <w:t>Hybrid mismatches</w:t>
            </w:r>
          </w:p>
        </w:tc>
        <w:tc>
          <w:tcPr>
            <w:tcW w:type="dxa" w:w="2880"/>
          </w:tcPr>
          <w:p>
            <w:r/>
            <w:r>
              <w:t>TIOPA 2010</w:t>
            </w:r>
          </w:p>
        </w:tc>
        <w:tc>
          <w:tcPr>
            <w:tcW w:type="dxa" w:w="2880"/>
          </w:tcPr>
          <w:p>
            <w:r/>
            <w:r>
              <w:t>Part 6A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APPENDIX 5.4: TIMELINE &amp; DEADLINES</w:t>
      </w:r>
    </w:p>
    <w:p>
      <w:pPr>
        <w:pStyle w:val="Heading2"/>
      </w:pPr>
      <w:r>
        <w:t>Tax Year Key 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t>UK tax year starts</w:t>
            </w:r>
          </w:p>
        </w:tc>
        <w:tc>
          <w:tcPr>
            <w:tcW w:type="dxa" w:w="4320"/>
          </w:tcPr>
          <w:p>
            <w:r/>
            <w:r>
              <w:t>6 April</w:t>
            </w:r>
          </w:p>
        </w:tc>
      </w:tr>
      <w:tr>
        <w:tc>
          <w:tcPr>
            <w:tcW w:type="dxa" w:w="4320"/>
          </w:tcPr>
          <w:p>
            <w:r/>
            <w:r>
              <w:t>UK tax year ends</w:t>
            </w:r>
          </w:p>
        </w:tc>
        <w:tc>
          <w:tcPr>
            <w:tcW w:type="dxa" w:w="4320"/>
          </w:tcPr>
          <w:p>
            <w:r/>
            <w:r>
              <w:t>5 April</w:t>
            </w:r>
          </w:p>
        </w:tc>
      </w:tr>
      <w:tr>
        <w:tc>
          <w:tcPr>
            <w:tcW w:type="dxa" w:w="4320"/>
          </w:tcPr>
          <w:p>
            <w:r/>
            <w:r>
              <w:t>UK financial year starts</w:t>
            </w:r>
          </w:p>
        </w:tc>
        <w:tc>
          <w:tcPr>
            <w:tcW w:type="dxa" w:w="4320"/>
          </w:tcPr>
          <w:p>
            <w:r/>
            <w:r>
              <w:t>1 April</w:t>
            </w:r>
          </w:p>
        </w:tc>
      </w:tr>
      <w:tr>
        <w:tc>
          <w:tcPr>
            <w:tcW w:type="dxa" w:w="4320"/>
          </w:tcPr>
          <w:p>
            <w:r/>
            <w:r>
              <w:t>UK financial year ends</w:t>
            </w:r>
          </w:p>
        </w:tc>
        <w:tc>
          <w:tcPr>
            <w:tcW w:type="dxa" w:w="4320"/>
          </w:tcPr>
          <w:p>
            <w:r/>
            <w:r>
              <w:t>31 March</w:t>
            </w:r>
          </w:p>
        </w:tc>
      </w:tr>
    </w:tbl>
    <w:p/>
    <w:p>
      <w:pPr>
        <w:pStyle w:val="Heading2"/>
      </w:pPr>
      <w:r>
        <w:t>Income Tax Deadlines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Obligation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Deadline</w:t>
            </w:r>
          </w:p>
        </w:tc>
      </w:tr>
      <w:tr>
        <w:tc>
          <w:tcPr>
            <w:tcW w:type="dxa" w:w="4320"/>
          </w:tcPr>
          <w:p>
            <w:r/>
            <w:r>
              <w:t>Self-assessment registration</w:t>
            </w:r>
          </w:p>
        </w:tc>
        <w:tc>
          <w:tcPr>
            <w:tcW w:type="dxa" w:w="4320"/>
          </w:tcPr>
          <w:p>
            <w:r/>
            <w:r>
              <w:t>5 October following tax year</w:t>
            </w:r>
          </w:p>
        </w:tc>
      </w:tr>
      <w:tr>
        <w:tc>
          <w:tcPr>
            <w:tcW w:type="dxa" w:w="4320"/>
          </w:tcPr>
          <w:p>
            <w:r/>
            <w:r>
              <w:t>Paper return submission</w:t>
            </w:r>
          </w:p>
        </w:tc>
        <w:tc>
          <w:tcPr>
            <w:tcW w:type="dxa" w:w="4320"/>
          </w:tcPr>
          <w:p>
            <w:r/>
            <w:r>
              <w:t>31 October following tax year</w:t>
            </w:r>
          </w:p>
        </w:tc>
      </w:tr>
      <w:tr>
        <w:tc>
          <w:tcPr>
            <w:tcW w:type="dxa" w:w="4320"/>
          </w:tcPr>
          <w:p>
            <w:r/>
            <w:r>
              <w:t>Online return submission</w:t>
            </w:r>
          </w:p>
        </w:tc>
        <w:tc>
          <w:tcPr>
            <w:tcW w:type="dxa" w:w="4320"/>
          </w:tcPr>
          <w:p>
            <w:r/>
            <w:r>
              <w:t>31 January following tax year</w:t>
            </w:r>
          </w:p>
        </w:tc>
      </w:tr>
      <w:tr>
        <w:tc>
          <w:tcPr>
            <w:tcW w:type="dxa" w:w="4320"/>
          </w:tcPr>
          <w:p>
            <w:r/>
            <w:r>
              <w:t>Payment of balancing liability</w:t>
            </w:r>
          </w:p>
        </w:tc>
        <w:tc>
          <w:tcPr>
            <w:tcW w:type="dxa" w:w="4320"/>
          </w:tcPr>
          <w:p>
            <w:r/>
            <w:r>
              <w:t>31 January following tax year</w:t>
            </w:r>
          </w:p>
        </w:tc>
      </w:tr>
      <w:tr>
        <w:tc>
          <w:tcPr>
            <w:tcW w:type="dxa" w:w="4320"/>
          </w:tcPr>
          <w:p>
            <w:r/>
            <w:r>
              <w:t>First payment on account</w:t>
            </w:r>
          </w:p>
        </w:tc>
        <w:tc>
          <w:tcPr>
            <w:tcW w:type="dxa" w:w="4320"/>
          </w:tcPr>
          <w:p>
            <w:r/>
            <w:r>
              <w:t>31 January in tax year</w:t>
            </w:r>
          </w:p>
        </w:tc>
      </w:tr>
      <w:tr>
        <w:tc>
          <w:tcPr>
            <w:tcW w:type="dxa" w:w="4320"/>
          </w:tcPr>
          <w:p>
            <w:r/>
            <w:r>
              <w:t>Second payment on account</w:t>
            </w:r>
          </w:p>
        </w:tc>
        <w:tc>
          <w:tcPr>
            <w:tcW w:type="dxa" w:w="4320"/>
          </w:tcPr>
          <w:p>
            <w:r/>
            <w:r>
              <w:t>31 July following tax year</w:t>
            </w:r>
          </w:p>
        </w:tc>
      </w:tr>
    </w:tbl>
    <w:p/>
    <w:p>
      <w:pPr>
        <w:pStyle w:val="Heading2"/>
      </w:pPr>
      <w:r>
        <w:t>Corporation Tax Deadlines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Obligation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Deadline</w:t>
            </w:r>
          </w:p>
        </w:tc>
      </w:tr>
      <w:tr>
        <w:tc>
          <w:tcPr>
            <w:tcW w:type="dxa" w:w="4320"/>
          </w:tcPr>
          <w:p>
            <w:r/>
            <w:r>
              <w:t>CT return filing</w:t>
            </w:r>
          </w:p>
        </w:tc>
        <w:tc>
          <w:tcPr>
            <w:tcW w:type="dxa" w:w="4320"/>
          </w:tcPr>
          <w:p>
            <w:r/>
            <w:r>
              <w:t>12 months after period end</w:t>
            </w:r>
          </w:p>
        </w:tc>
      </w:tr>
      <w:tr>
        <w:tc>
          <w:tcPr>
            <w:tcW w:type="dxa" w:w="4320"/>
          </w:tcPr>
          <w:p>
            <w:r/>
            <w:r>
              <w:t>Payment (small company)</w:t>
            </w:r>
          </w:p>
        </w:tc>
        <w:tc>
          <w:tcPr>
            <w:tcW w:type="dxa" w:w="4320"/>
          </w:tcPr>
          <w:p>
            <w:r/>
            <w:r>
              <w:t>9 months + 1 day after period end</w:t>
            </w:r>
          </w:p>
        </w:tc>
      </w:tr>
      <w:tr>
        <w:tc>
          <w:tcPr>
            <w:tcW w:type="dxa" w:w="4320"/>
          </w:tcPr>
          <w:p>
            <w:r/>
            <w:r>
              <w:t>Payment (large company - QIPs)</w:t>
            </w:r>
          </w:p>
        </w:tc>
        <w:tc>
          <w:tcPr>
            <w:tcW w:type="dxa" w:w="4320"/>
          </w:tcPr>
          <w:p>
            <w:r/>
            <w:r>
              <w:t>Quarterly instalments</w:t>
            </w:r>
          </w:p>
        </w:tc>
      </w:tr>
    </w:tbl>
    <w:p/>
    <w:p>
      <w:pPr>
        <w:pStyle w:val="Heading3"/>
      </w:pPr>
      <w:r>
        <w:t>Quarterly Instalment Payments (Large Companies)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Instalment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Due Date</w:t>
            </w:r>
          </w:p>
        </w:tc>
      </w:tr>
      <w:tr>
        <w:tc>
          <w:tcPr>
            <w:tcW w:type="dxa" w:w="4320"/>
          </w:tcPr>
          <w:p>
            <w:r/>
            <w:r>
              <w:t>1st</w:t>
            </w:r>
          </w:p>
        </w:tc>
        <w:tc>
          <w:tcPr>
            <w:tcW w:type="dxa" w:w="4320"/>
          </w:tcPr>
          <w:p>
            <w:r/>
            <w:r>
              <w:t>6 months + 14 days into period</w:t>
            </w:r>
          </w:p>
        </w:tc>
      </w:tr>
      <w:tr>
        <w:tc>
          <w:tcPr>
            <w:tcW w:type="dxa" w:w="4320"/>
          </w:tcPr>
          <w:p>
            <w:r/>
            <w:r>
              <w:t>2nd</w:t>
            </w:r>
          </w:p>
        </w:tc>
        <w:tc>
          <w:tcPr>
            <w:tcW w:type="dxa" w:w="4320"/>
          </w:tcPr>
          <w:p>
            <w:r/>
            <w:r>
              <w:t>9 months + 14 days into period</w:t>
            </w:r>
          </w:p>
        </w:tc>
      </w:tr>
      <w:tr>
        <w:tc>
          <w:tcPr>
            <w:tcW w:type="dxa" w:w="4320"/>
          </w:tcPr>
          <w:p>
            <w:r/>
            <w:r>
              <w:t>3rd</w:t>
            </w:r>
          </w:p>
        </w:tc>
        <w:tc>
          <w:tcPr>
            <w:tcW w:type="dxa" w:w="4320"/>
          </w:tcPr>
          <w:p>
            <w:r/>
            <w:r>
              <w:t>14 days after period end</w:t>
            </w:r>
          </w:p>
        </w:tc>
      </w:tr>
      <w:tr>
        <w:tc>
          <w:tcPr>
            <w:tcW w:type="dxa" w:w="4320"/>
          </w:tcPr>
          <w:p>
            <w:r/>
            <w:r>
              <w:t>4th</w:t>
            </w:r>
          </w:p>
        </w:tc>
        <w:tc>
          <w:tcPr>
            <w:tcW w:type="dxa" w:w="4320"/>
          </w:tcPr>
          <w:p>
            <w:r/>
            <w:r>
              <w:t>3 months + 14 days after period end</w:t>
            </w:r>
          </w:p>
        </w:tc>
      </w:tr>
    </w:tbl>
    <w:p/>
    <w:p>
      <w:pPr>
        <w:pStyle w:val="Heading2"/>
      </w:pPr>
      <w:r>
        <w:t>Capital Gains Tax Deadlines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Deadline</w:t>
            </w:r>
          </w:p>
        </w:tc>
      </w:tr>
      <w:tr>
        <w:tc>
          <w:tcPr>
            <w:tcW w:type="dxa" w:w="4320"/>
          </w:tcPr>
          <w:p>
            <w:r/>
            <w:r>
              <w:t>CGT on residential property (UK resident)</w:t>
            </w:r>
          </w:p>
        </w:tc>
        <w:tc>
          <w:tcPr>
            <w:tcW w:type="dxa" w:w="4320"/>
          </w:tcPr>
          <w:p>
            <w:r/>
            <w:r>
              <w:t>60 days from completion</w:t>
            </w:r>
          </w:p>
        </w:tc>
      </w:tr>
      <w:tr>
        <w:tc>
          <w:tcPr>
            <w:tcW w:type="dxa" w:w="4320"/>
          </w:tcPr>
          <w:p>
            <w:r/>
            <w:r>
              <w:t>CGT on residential property (non-resident)</w:t>
            </w:r>
          </w:p>
        </w:tc>
        <w:tc>
          <w:tcPr>
            <w:tcW w:type="dxa" w:w="4320"/>
          </w:tcPr>
          <w:p>
            <w:r/>
            <w:r>
              <w:t>60 days from completion</w:t>
            </w:r>
          </w:p>
        </w:tc>
      </w:tr>
      <w:tr>
        <w:tc>
          <w:tcPr>
            <w:tcW w:type="dxa" w:w="4320"/>
          </w:tcPr>
          <w:p>
            <w:r/>
            <w:r>
              <w:t>Annual CGT (via self-assessment)</w:t>
            </w:r>
          </w:p>
        </w:tc>
        <w:tc>
          <w:tcPr>
            <w:tcW w:type="dxa" w:w="4320"/>
          </w:tcPr>
          <w:p>
            <w:r/>
            <w:r>
              <w:t>31 January following tax year</w:t>
            </w:r>
          </w:p>
        </w:tc>
      </w:tr>
    </w:tbl>
    <w:p/>
    <w:p>
      <w:pPr>
        <w:pStyle w:val="Heading2"/>
      </w:pPr>
      <w:r>
        <w:t>Inheritance Tax Deadlines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Deadline</w:t>
            </w:r>
          </w:p>
        </w:tc>
      </w:tr>
      <w:tr>
        <w:tc>
          <w:tcPr>
            <w:tcW w:type="dxa" w:w="4320"/>
          </w:tcPr>
          <w:p>
            <w:r/>
            <w:r>
              <w:t>IHT on death - 6 months return</w:t>
            </w:r>
          </w:p>
        </w:tc>
        <w:tc>
          <w:tcPr>
            <w:tcW w:type="dxa" w:w="4320"/>
          </w:tcPr>
          <w:p>
            <w:r/>
            <w:r>
              <w:t>6 months from end of month of death</w:t>
            </w:r>
          </w:p>
        </w:tc>
      </w:tr>
      <w:tr>
        <w:tc>
          <w:tcPr>
            <w:tcW w:type="dxa" w:w="4320"/>
          </w:tcPr>
          <w:p>
            <w:r/>
            <w:r>
              <w:t>IHT on death - payment</w:t>
            </w:r>
          </w:p>
        </w:tc>
        <w:tc>
          <w:tcPr>
            <w:tcW w:type="dxa" w:w="4320"/>
          </w:tcPr>
          <w:p>
            <w:r/>
            <w:r>
              <w:t>6 months from end of month of death</w:t>
            </w:r>
          </w:p>
        </w:tc>
      </w:tr>
      <w:tr>
        <w:tc>
          <w:tcPr>
            <w:tcW w:type="dxa" w:w="4320"/>
          </w:tcPr>
          <w:p>
            <w:r/>
            <w:r>
              <w:t>IHT on lifetime transfer</w:t>
            </w:r>
          </w:p>
        </w:tc>
        <w:tc>
          <w:tcPr>
            <w:tcW w:type="dxa" w:w="4320"/>
          </w:tcPr>
          <w:p>
            <w:r/>
            <w:r>
              <w:t>6 months from end of month (if CLT)</w:t>
            </w:r>
          </w:p>
        </w:tc>
      </w:tr>
      <w:tr>
        <w:tc>
          <w:tcPr>
            <w:tcW w:type="dxa" w:w="4320"/>
          </w:tcPr>
          <w:p>
            <w:r/>
            <w:r>
              <w:t>Excepted estates return</w:t>
            </w:r>
          </w:p>
        </w:tc>
        <w:tc>
          <w:tcPr>
            <w:tcW w:type="dxa" w:w="4320"/>
          </w:tcPr>
          <w:p>
            <w:r/>
            <w:r>
              <w:t>12 months from end of month of death</w:t>
            </w:r>
          </w:p>
        </w:tc>
      </w:tr>
    </w:tbl>
    <w:p/>
    <w:p>
      <w:pPr>
        <w:pStyle w:val="Heading2"/>
      </w:pPr>
      <w:r>
        <w:t>ATED Deadlines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Obligation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Deadline</w:t>
            </w:r>
          </w:p>
        </w:tc>
      </w:tr>
      <w:tr>
        <w:tc>
          <w:tcPr>
            <w:tcW w:type="dxa" w:w="4320"/>
          </w:tcPr>
          <w:p>
            <w:r/>
            <w:r>
              <w:t>ATED return</w:t>
            </w:r>
          </w:p>
        </w:tc>
        <w:tc>
          <w:tcPr>
            <w:tcW w:type="dxa" w:w="4320"/>
          </w:tcPr>
          <w:p>
            <w:r/>
            <w:r>
              <w:t>30 April for following year</w:t>
            </w:r>
          </w:p>
        </w:tc>
      </w:tr>
      <w:tr>
        <w:tc>
          <w:tcPr>
            <w:tcW w:type="dxa" w:w="4320"/>
          </w:tcPr>
          <w:p>
            <w:r/>
            <w:r>
              <w:t>ATED payment</w:t>
            </w:r>
          </w:p>
        </w:tc>
        <w:tc>
          <w:tcPr>
            <w:tcW w:type="dxa" w:w="4320"/>
          </w:tcPr>
          <w:p>
            <w:r/>
            <w:r>
              <w:t>30 April for following year</w:t>
            </w:r>
          </w:p>
        </w:tc>
      </w:tr>
      <w:tr>
        <w:tc>
          <w:tcPr>
            <w:tcW w:type="dxa" w:w="4320"/>
          </w:tcPr>
          <w:p>
            <w:r/>
            <w:r>
              <w:t>Relief declarations</w:t>
            </w:r>
          </w:p>
        </w:tc>
        <w:tc>
          <w:tcPr>
            <w:tcW w:type="dxa" w:w="4320"/>
          </w:tcPr>
          <w:p>
            <w:r/>
            <w:r>
              <w:t>30 April for following year</w:t>
            </w:r>
          </w:p>
        </w:tc>
      </w:tr>
    </w:tbl>
    <w:p/>
    <w:p>
      <w:pPr>
        <w:pStyle w:val="Heading2"/>
      </w:pPr>
      <w:r>
        <w:t>VAT Deadlines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Obligation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Deadline</w:t>
            </w:r>
          </w:p>
        </w:tc>
      </w:tr>
      <w:tr>
        <w:tc>
          <w:tcPr>
            <w:tcW w:type="dxa" w:w="4320"/>
          </w:tcPr>
          <w:p>
            <w:r/>
            <w:r>
              <w:t>Registration (exceeded threshold)</w:t>
            </w:r>
          </w:p>
        </w:tc>
        <w:tc>
          <w:tcPr>
            <w:tcW w:type="dxa" w:w="4320"/>
          </w:tcPr>
          <w:p>
            <w:r/>
            <w:r>
              <w:t>30 days from end of month threshold exceeded</w:t>
            </w:r>
          </w:p>
        </w:tc>
      </w:tr>
      <w:tr>
        <w:tc>
          <w:tcPr>
            <w:tcW w:type="dxa" w:w="4320"/>
          </w:tcPr>
          <w:p>
            <w:r/>
            <w:r>
              <w:t>Quarterly return + payment</w:t>
            </w:r>
          </w:p>
        </w:tc>
        <w:tc>
          <w:tcPr>
            <w:tcW w:type="dxa" w:w="4320"/>
          </w:tcPr>
          <w:p>
            <w:r/>
            <w:r>
              <w:t>1 month + 7 days after quarter end</w:t>
            </w:r>
          </w:p>
        </w:tc>
      </w:tr>
      <w:tr>
        <w:tc>
          <w:tcPr>
            <w:tcW w:type="dxa" w:w="4320"/>
          </w:tcPr>
          <w:p>
            <w:r/>
            <w:r>
              <w:t>Annual return</w:t>
            </w:r>
          </w:p>
        </w:tc>
        <w:tc>
          <w:tcPr>
            <w:tcW w:type="dxa" w:w="4320"/>
          </w:tcPr>
          <w:p>
            <w:r/>
            <w:r>
              <w:t>2 months after period end</w:t>
            </w:r>
          </w:p>
        </w:tc>
      </w:tr>
    </w:tbl>
    <w:p/>
    <w:p>
      <w:pPr>
        <w:pStyle w:val="Heading2"/>
      </w:pPr>
      <w:r>
        <w:t>Stamp Duty Land Tax Deadlines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Obligation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Deadline</w:t>
            </w:r>
          </w:p>
        </w:tc>
      </w:tr>
      <w:tr>
        <w:tc>
          <w:tcPr>
            <w:tcW w:type="dxa" w:w="4320"/>
          </w:tcPr>
          <w:p>
            <w:r/>
            <w:r>
              <w:t>SDLT return filing</w:t>
            </w:r>
          </w:p>
        </w:tc>
        <w:tc>
          <w:tcPr>
            <w:tcW w:type="dxa" w:w="4320"/>
          </w:tcPr>
          <w:p>
            <w:r/>
            <w:r>
              <w:t>14 days from effective date</w:t>
            </w:r>
          </w:p>
        </w:tc>
      </w:tr>
      <w:tr>
        <w:tc>
          <w:tcPr>
            <w:tcW w:type="dxa" w:w="4320"/>
          </w:tcPr>
          <w:p>
            <w:r/>
            <w:r>
              <w:t>SDLT payment</w:t>
            </w:r>
          </w:p>
        </w:tc>
        <w:tc>
          <w:tcPr>
            <w:tcW w:type="dxa" w:w="4320"/>
          </w:tcPr>
          <w:p>
            <w:r/>
            <w:r>
              <w:t>14 days from effective date</w:t>
            </w:r>
          </w:p>
        </w:tc>
      </w:tr>
    </w:tbl>
    <w:p/>
    <w:p>
      <w:pPr>
        <w:pStyle w:val="Heading2"/>
      </w:pPr>
      <w:r>
        <w:t>Time Limits for Elections and Claims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Election/Claim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 Limit</w:t>
            </w:r>
          </w:p>
        </w:tc>
      </w:tr>
      <w:tr>
        <w:tc>
          <w:tcPr>
            <w:tcW w:type="dxa" w:w="4320"/>
          </w:tcPr>
          <w:p>
            <w:r/>
            <w:r>
              <w:t>Remittance basis claim</w:t>
            </w:r>
          </w:p>
        </w:tc>
        <w:tc>
          <w:tcPr>
            <w:tcW w:type="dxa" w:w="4320"/>
          </w:tcPr>
          <w:p>
            <w:r/>
            <w:r>
              <w:t>With tax return for year</w:t>
            </w:r>
          </w:p>
        </w:tc>
      </w:tr>
      <w:tr>
        <w:tc>
          <w:tcPr>
            <w:tcW w:type="dxa" w:w="4320"/>
          </w:tcPr>
          <w:p>
            <w:r/>
            <w:r>
              <w:t>Business Investment Relief</w:t>
            </w:r>
          </w:p>
        </w:tc>
        <w:tc>
          <w:tcPr>
            <w:tcW w:type="dxa" w:w="4320"/>
          </w:tcPr>
          <w:p>
            <w:r/>
            <w:r>
              <w:t>In return for year claim made</w:t>
            </w:r>
          </w:p>
        </w:tc>
      </w:tr>
      <w:tr>
        <w:tc>
          <w:tcPr>
            <w:tcW w:type="dxa" w:w="4320"/>
          </w:tcPr>
          <w:p>
            <w:r/>
            <w:r>
              <w:t>Non-dom trust protection</w:t>
            </w:r>
          </w:p>
        </w:tc>
        <w:tc>
          <w:tcPr>
            <w:tcW w:type="dxa" w:w="4320"/>
          </w:tcPr>
          <w:p>
            <w:r/>
            <w:r>
              <w:t>Before 6 April 2017 (historical)</w:t>
            </w:r>
          </w:p>
        </w:tc>
      </w:tr>
      <w:tr>
        <w:tc>
          <w:tcPr>
            <w:tcW w:type="dxa" w:w="4320"/>
          </w:tcPr>
          <w:p>
            <w:r/>
            <w:r>
              <w:t>EIS/SEIS relief</w:t>
            </w:r>
          </w:p>
        </w:tc>
        <w:tc>
          <w:tcPr>
            <w:tcW w:type="dxa" w:w="4320"/>
          </w:tcPr>
          <w:p>
            <w:r/>
            <w:r>
              <w:t>5 years from 31 January after year of investment</w:t>
            </w:r>
          </w:p>
        </w:tc>
      </w:tr>
      <w:tr>
        <w:tc>
          <w:tcPr>
            <w:tcW w:type="dxa" w:w="4320"/>
          </w:tcPr>
          <w:p>
            <w:r/>
            <w:r>
              <w:t>Loss carry-back</w:t>
            </w:r>
          </w:p>
        </w:tc>
        <w:tc>
          <w:tcPr>
            <w:tcW w:type="dxa" w:w="4320"/>
          </w:tcPr>
          <w:p>
            <w:r/>
            <w:r>
              <w:t>2 years from end of loss-making period</w:t>
            </w:r>
          </w:p>
        </w:tc>
      </w:tr>
      <w:tr>
        <w:tc>
          <w:tcPr>
            <w:tcW w:type="dxa" w:w="4320"/>
          </w:tcPr>
          <w:p>
            <w:r/>
            <w:r>
              <w:t>Group relief</w:t>
            </w:r>
          </w:p>
        </w:tc>
        <w:tc>
          <w:tcPr>
            <w:tcW w:type="dxa" w:w="4320"/>
          </w:tcPr>
          <w:p>
            <w:r/>
            <w:r>
              <w:t>2 years from end of accounting period</w:t>
            </w:r>
          </w:p>
        </w:tc>
      </w:tr>
      <w:tr>
        <w:tc>
          <w:tcPr>
            <w:tcW w:type="dxa" w:w="4320"/>
          </w:tcPr>
          <w:p>
            <w:r/>
            <w:r>
              <w:t>CFC exemption claims</w:t>
            </w:r>
          </w:p>
        </w:tc>
        <w:tc>
          <w:tcPr>
            <w:tcW w:type="dxa" w:w="4320"/>
          </w:tcPr>
          <w:p>
            <w:r/>
            <w:r>
              <w:t>With CT return</w:t>
            </w:r>
          </w:p>
        </w:tc>
      </w:tr>
      <w:tr>
        <w:tc>
          <w:tcPr>
            <w:tcW w:type="dxa" w:w="4320"/>
          </w:tcPr>
          <w:p>
            <w:r/>
            <w:r>
              <w:t>Transfer pricing adjustment</w:t>
            </w:r>
          </w:p>
        </w:tc>
        <w:tc>
          <w:tcPr>
            <w:tcW w:type="dxa" w:w="4320"/>
          </w:tcPr>
          <w:p>
            <w:r/>
            <w:r>
              <w:t>4 years from end of period</w:t>
            </w:r>
          </w:p>
        </w:tc>
      </w:tr>
      <w:tr>
        <w:tc>
          <w:tcPr>
            <w:tcW w:type="dxa" w:w="4320"/>
          </w:tcPr>
          <w:p>
            <w:r/>
            <w:r>
              <w:t>Error or mistake relief</w:t>
            </w:r>
          </w:p>
        </w:tc>
        <w:tc>
          <w:tcPr>
            <w:tcW w:type="dxa" w:w="4320"/>
          </w:tcPr>
          <w:p>
            <w:r/>
            <w:r>
              <w:t>4 years from end of tax year</w:t>
            </w:r>
          </w:p>
        </w:tc>
      </w:tr>
      <w:tr>
        <w:tc>
          <w:tcPr>
            <w:tcW w:type="dxa" w:w="4320"/>
          </w:tcPr>
          <w:p>
            <w:r/>
            <w:r>
              <w:t>Discovery assessments (HMRC)</w:t>
            </w:r>
          </w:p>
        </w:tc>
        <w:tc>
          <w:tcPr>
            <w:tcW w:type="dxa" w:w="4320"/>
          </w:tcPr>
          <w:p>
            <w:r/>
            <w:r>
              <w:t>4 years (6 if careless, 20 if deliberate)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APPENDIX 5.5: FORMULA SHEET</w:t>
      </w:r>
    </w:p>
    <w:p>
      <w:pPr>
        <w:pStyle w:val="Heading2"/>
      </w:pPr>
      <w:r>
        <w:t>Income Tax Calculations</w:t>
      </w:r>
    </w:p>
    <w:p>
      <w:pPr>
        <w:pStyle w:val="Heading3"/>
      </w:pPr>
      <w:r>
        <w:t>Taxable Income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Income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Allowable deductions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Total Income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Personal Allowance (if applicable)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Taxable Income</w:t>
      </w:r>
    </w:p>
    <w:p/>
    <w:p>
      <w:pPr>
        <w:pStyle w:val="Heading3"/>
      </w:pPr>
      <w:r>
        <w:t>Personal Allowance Reduction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Adjusted Net Income &gt; £100,000: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Reduction = (ANI - £100,000) / 2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Allowance = £12,570 - Reduction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Minimum = £0 (when ANI ≥ £125,140)</w:t>
      </w:r>
    </w:p>
    <w:p/>
    <w:p>
      <w:pPr>
        <w:pStyle w:val="Heading3"/>
      </w:pPr>
      <w:r>
        <w:t>High Income Child Benefit Charge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ANI &gt; £60,000: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Charge = 1% of benefit per £200 of income between £60,000 - £80,000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ANI &gt; £80,000: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Charge = 100% of benefit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Corporation Tax Calculations</w:t>
      </w:r>
    </w:p>
    <w:p>
      <w:pPr>
        <w:pStyle w:val="Heading3"/>
      </w:pPr>
      <w:r>
        <w:t>Standard Computation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Trading Profits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+ Investment Income (NTLR, property, etc.)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+ Chargeable Gains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+ Miscellaneous Income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Total Profits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Qualifying Charitable Donations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Taxable Total Profits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CT @ 25% (or marginal rate)</w:t>
      </w:r>
    </w:p>
    <w:p/>
    <w:p>
      <w:pPr>
        <w:pStyle w:val="Heading3"/>
      </w:pPr>
      <w:r>
        <w:t>Marginal Relief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£50,000 &lt; Profits ≤ £250,000: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Marginal Relief = (Upper Limit - Profits) × Fraction × (Basic Profits / Profits)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Fraction = 3/200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 = 26.5% on profits in marginal band</w:t>
      </w:r>
    </w:p>
    <w:p/>
    <w:p>
      <w:pPr>
        <w:pStyle w:val="Heading3"/>
      </w:pPr>
      <w:r>
        <w:t>Associated Companies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Limits = Standard Limits / (1 + number of associated companies)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Example: 3 associated companies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Lower limit = £50,000 / 4 = £12,500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Upper limit = £250,000 / 4 = £62,500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Capital Gains Tax Calculations</w:t>
      </w:r>
    </w:p>
    <w:p>
      <w:pPr>
        <w:pStyle w:val="Heading3"/>
      </w:pPr>
      <w:r>
        <w:t>Basic CGT Computation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Disposal Proceeds (or Market Value if gift/connected party)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Incidental Costs of Disposal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Net Proceeds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Acquisition Cost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Enhancement Expenditure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Incidental Costs of Acquisition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Unindexed Gain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Indexation Allowance (companies, frozen Dec 2017)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Indexed Gain / Chargeable Gain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Losses (current year, then brought forward)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Annual Exempt Amount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Taxable Gain</w:t>
      </w:r>
    </w:p>
    <w:p/>
    <w:p>
      <w:pPr>
        <w:pStyle w:val="Heading3"/>
      </w:pPr>
      <w:r>
        <w:t>Indexation Allowance (Companies Only)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Indexation = Cost × (RPI at disposal - RPI at acquisition) / RPI at acquisition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Note: Frozen at December 2017 values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Cannot create or increase a loss</w:t>
      </w:r>
    </w:p>
    <w:p/>
    <w:p>
      <w:pPr>
        <w:pStyle w:val="Heading3"/>
      </w:pPr>
      <w:r>
        <w:t>Part Disposal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Allowable Cost = Original Cost × (A / (A + B))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Where: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 = Proceeds from part disposed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 = Market value of part retained</w:t>
      </w:r>
    </w:p>
    <w:p/>
    <w:p>
      <w:pPr>
        <w:pStyle w:val="Heading3"/>
      </w:pPr>
      <w:r>
        <w:t>Principal Private Residence Relief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Exempt Gain = Total Gain × (Period of Occupation / Total Ownership)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Last 9 months always treated as occupation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Various deemed occupation periods apply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Inheritance Tax Calculations</w:t>
      </w:r>
    </w:p>
    <w:p>
      <w:pPr>
        <w:pStyle w:val="Heading3"/>
      </w:pPr>
      <w:r>
        <w:t>Death Estate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Free Estate (assets in deceased's name)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+ Share of Joint Property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+ Gifts with Reservation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+ Trust Interests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Gross Estate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Liabilities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Exemptions (spouse, charity, etc.)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Chargeable Estate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Nil Rate Band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Transferable Nil Rate Band (if applicable)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Residence Nil Rate Band (if applicable)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Taxable Estate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IHT @ 40% (or 36% if charitable condition met)</w:t>
      </w:r>
    </w:p>
    <w:p/>
    <w:p>
      <w:pPr>
        <w:pStyle w:val="Heading3"/>
      </w:pPr>
      <w:r>
        <w:t>CLT Tax (Lifetime)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Chargeable Transfer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Annual Exemptions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Available NRB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Taxable Amount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IHT @ 20% (if donor pays)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IHT @ 25% (if donee pays - gross up)</w:t>
      </w:r>
    </w:p>
    <w:p/>
    <w:p>
      <w:pPr>
        <w:pStyle w:val="Heading3"/>
      </w:pPr>
      <w:r>
        <w:t>Death Tax on PETs/CLTs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Value at date of gift (not date of death)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NRB available (considering 7-year cumulation)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Taxable Amount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IHT @ 40%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Taper Relief (if 3-7 years)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Tax already paid (CLTs only)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Additional Tax Due</w:t>
      </w:r>
    </w:p>
    <w:p/>
    <w:p>
      <w:pPr>
        <w:pStyle w:val="Heading3"/>
      </w:pPr>
      <w:r>
        <w:t>10-Year Anniversary Charge (Trusts)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Rate = 30% × Effective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 = (Notional Transfer / Value of Settlement) × 20%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Where Notional Transfer = Settlement Value + Cumulative Transfers at creation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- NRB at 10-year anniversary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Max Effective Rate = 6%</w:t>
      </w:r>
    </w:p>
    <w:p/>
    <w:p>
      <w:pPr>
        <w:pStyle w:val="Heading3"/>
      </w:pPr>
      <w:r>
        <w:t>Exit Charge (Trusts)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Exit Charge = Value Leaving × Exit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Exit Rate = (Effective Rate / 40) × Quarters since last 10-year / 40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Max Exit Rate = 6% of value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Employment Income Calculations</w:t>
      </w:r>
    </w:p>
    <w:p>
      <w:pPr>
        <w:pStyle w:val="Heading3"/>
      </w:pPr>
      <w:r>
        <w:t>Company Car Benefit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Car Benefit = List Price × Appropriate Percentage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List Price = Original list price + accessories (&gt;£100)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- Capital contribution (max £5,000)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- Price cap at £160,000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Appropriate % based on CO2 emissions (2% to 37%)</w:t>
      </w:r>
    </w:p>
    <w:p/>
    <w:p>
      <w:pPr>
        <w:pStyle w:val="Heading3"/>
      </w:pPr>
      <w:r>
        <w:t>Car Fuel Benefit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Fuel Benefit = £27,800 × Appropriate Percentage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Same percentage as car benefit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Only applies if private fuel provided</w:t>
      </w:r>
    </w:p>
    <w:p/>
    <w:p>
      <w:pPr>
        <w:pStyle w:val="Heading3"/>
      </w:pPr>
      <w:r>
        <w:t>Accommodation Benefit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Basic Charge: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cost ≤ £75,000: Annual value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cost &gt; £75,000: Annual value + (Cost - £75,000) × Official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Charge for Expensive Accommodation: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(Market Value or Cost - £75,000) × 2.25%</w:t>
      </w:r>
    </w:p>
    <w:p/>
    <w:p>
      <w:pPr>
        <w:pStyle w:val="Heading3"/>
      </w:pPr>
      <w:r>
        <w:t>Beneficial Loan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Benefit = Loan × Official Rate (2.25%)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Any interest actually paid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Taxable Amount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CFC Charge Calculation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CFC's Chargeable Profits (as computed)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× UK Company's Relevant Interest (%)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Attributed Profits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Attributed Profits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× UK CT Rate (25%)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Gross CFC Charge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Credit for Foreign Tax (proportion)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Net CFC Charge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Transfer Pricing Adjustment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Transaction Price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vs.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Arm's Length Price (using appropriate method)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Adjustment = Difference × CT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Note: Adjustment only if UK tax reduced or loss increased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Corporate Interest Restriction</w:t>
      </w:r>
    </w:p>
    <w:p>
      <w:pPr>
        <w:pStyle w:val="Heading3"/>
      </w:pPr>
      <w:r>
        <w:t>Fixed Ratio Method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Tax-Interest Expense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Tax-Interest Income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= Net Tax-Interest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Net Tax-Interest &gt; £2m: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Interest Allowance = Tax-EBITDA × 30%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Disallowed = Net Tax-Interest - Interest Allowance</w:t>
      </w:r>
    </w:p>
    <w:p/>
    <w:p>
      <w:pPr>
        <w:pStyle w:val="Heading3"/>
      </w:pPr>
      <w:r>
        <w:t>Group Ratio Method (if elected)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Group Ratio = (Group Net Interest / Group EBITDA) × 100%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Interest Allowance = Tax-EBITDA × Group Ratio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Potentially allows higher deduction if group ratio &gt; 30%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Double Tax Relief</w:t>
      </w:r>
    </w:p>
    <w:p>
      <w:pPr>
        <w:pStyle w:val="Heading3"/>
      </w:pPr>
      <w:r>
        <w:t>Credit Method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Tax on Foreign Income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vs.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Paid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DTR Credit = Lower of: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1. Foreign tax paid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2. UK tax on foreign income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Tax Payable = UK Tax - DTR Credit</w:t>
      </w:r>
    </w:p>
    <w:p/>
    <w:p>
      <w:pPr>
        <w:pStyle w:val="Heading3"/>
      </w:pPr>
      <w:r>
        <w:t>Exemption Method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income excluded from UK taxable income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(Subject to specific conditions - e.g., dividend exemption)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APPENDIX 5.6: CASE LAW INDEX</w:t>
      </w:r>
    </w:p>
    <w:p>
      <w:pPr>
        <w:pStyle w:val="Heading2"/>
      </w:pPr>
      <w:r>
        <w:t>Residence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Principle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IRC v Lysaght</w:t>
            </w:r>
          </w:p>
        </w:tc>
        <w:tc>
          <w:tcPr>
            <w:tcW w:type="dxa" w:w="2880"/>
          </w:tcPr>
          <w:p>
            <w:r/>
            <w:r>
              <w:t>1928</w:t>
            </w:r>
          </w:p>
        </w:tc>
        <w:tc>
          <w:tcPr>
            <w:tcW w:type="dxa" w:w="2880"/>
          </w:tcPr>
          <w:p>
            <w:r/>
            <w:r>
              <w:t>Pre-SRT: Residence based on physical presence and available dwelling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IRC v Bullock</w:t>
            </w:r>
          </w:p>
        </w:tc>
        <w:tc>
          <w:tcPr>
            <w:tcW w:type="dxa" w:w="2880"/>
          </w:tcPr>
          <w:p>
            <w:r/>
            <w:r>
              <w:t>1976</w:t>
            </w:r>
          </w:p>
        </w:tc>
        <w:tc>
          <w:tcPr>
            <w:tcW w:type="dxa" w:w="2880"/>
          </w:tcPr>
          <w:p>
            <w:r/>
            <w:r>
              <w:t>Domicile of choice requires permanent/indefinite intention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Gaines-Cooper v HMRC</w:t>
            </w:r>
          </w:p>
        </w:tc>
        <w:tc>
          <w:tcPr>
            <w:tcW w:type="dxa" w:w="2880"/>
          </w:tcPr>
          <w:p>
            <w:r/>
            <w:r>
              <w:t>2011</w:t>
            </w:r>
          </w:p>
        </w:tc>
        <w:tc>
          <w:tcPr>
            <w:tcW w:type="dxa" w:w="2880"/>
          </w:tcPr>
          <w:p>
            <w:r/>
            <w:r>
              <w:t>Pre-SRT: Quality of UK ties matters, not just day 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 Fuld (No 3)</w:t>
            </w:r>
          </w:p>
        </w:tc>
        <w:tc>
          <w:tcPr>
            <w:tcW w:type="dxa" w:w="2880"/>
          </w:tcPr>
          <w:p>
            <w:r/>
            <w:r>
              <w:t>1968</w:t>
            </w:r>
          </w:p>
        </w:tc>
        <w:tc>
          <w:tcPr>
            <w:tcW w:type="dxa" w:w="2880"/>
          </w:tcPr>
          <w:p>
            <w:r/>
            <w:r>
              <w:t>Heavy burden of proof to establish change of domicile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Agulian v Cyganik</w:t>
            </w:r>
          </w:p>
        </w:tc>
        <w:tc>
          <w:tcPr>
            <w:tcW w:type="dxa" w:w="2880"/>
          </w:tcPr>
          <w:p>
            <w:r/>
            <w:r>
              <w:t>2006</w:t>
            </w:r>
          </w:p>
        </w:tc>
        <w:tc>
          <w:tcPr>
            <w:tcW w:type="dxa" w:w="2880"/>
          </w:tcPr>
          <w:p>
            <w:r/>
            <w:r>
              <w:t>Domicile of choice requires settled intention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Plummer v IRC</w:t>
            </w:r>
          </w:p>
        </w:tc>
        <w:tc>
          <w:tcPr>
            <w:tcW w:type="dxa" w:w="2880"/>
          </w:tcPr>
          <w:p>
            <w:r/>
            <w:r>
              <w:t>1988</w:t>
            </w:r>
          </w:p>
        </w:tc>
        <w:tc>
          <w:tcPr>
            <w:tcW w:type="dxa" w:w="2880"/>
          </w:tcPr>
          <w:p>
            <w:r/>
            <w:r>
              <w:t>Domicile of origin revives on abandonment of choice</w:t>
            </w:r>
          </w:p>
        </w:tc>
      </w:tr>
    </w:tbl>
    <w:p/>
    <w:p>
      <w:pPr>
        <w:pStyle w:val="Heading2"/>
      </w:pPr>
      <w:r>
        <w:t>Corporate Residence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Principle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 Beers v Howe</w:t>
            </w:r>
          </w:p>
        </w:tc>
        <w:tc>
          <w:tcPr>
            <w:tcW w:type="dxa" w:w="2880"/>
          </w:tcPr>
          <w:p>
            <w:r/>
            <w:r>
              <w:t>1906</w:t>
            </w:r>
          </w:p>
        </w:tc>
        <w:tc>
          <w:tcPr>
            <w:tcW w:type="dxa" w:w="2880"/>
          </w:tcPr>
          <w:p>
            <w:r/>
            <w:r>
              <w:t>Company resident where central management and control exercised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Unit Construction v Bullock</w:t>
            </w:r>
          </w:p>
        </w:tc>
        <w:tc>
          <w:tcPr>
            <w:tcW w:type="dxa" w:w="2880"/>
          </w:tcPr>
          <w:p>
            <w:r/>
            <w:r>
              <w:t>1960</w:t>
            </w:r>
          </w:p>
        </w:tc>
        <w:tc>
          <w:tcPr>
            <w:tcW w:type="dxa" w:w="2880"/>
          </w:tcPr>
          <w:p>
            <w:r/>
            <w:r>
              <w:t>Look at where control actually exercised, not where theoretically resides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Wood v Holden</w:t>
            </w:r>
          </w:p>
        </w:tc>
        <w:tc>
          <w:tcPr>
            <w:tcW w:type="dxa" w:w="2880"/>
          </w:tcPr>
          <w:p>
            <w:r/>
            <w:r>
              <w:t>2006</w:t>
            </w:r>
          </w:p>
        </w:tc>
        <w:tc>
          <w:tcPr>
            <w:tcW w:type="dxa" w:w="2880"/>
          </w:tcPr>
          <w:p>
            <w:r/>
            <w:r>
              <w:t>Offshore companies with minimal substance vulnerable to CMC challenge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Laerstate v HMRC</w:t>
            </w:r>
          </w:p>
        </w:tc>
        <w:tc>
          <w:tcPr>
            <w:tcW w:type="dxa" w:w="2880"/>
          </w:tcPr>
          <w:p>
            <w:r/>
            <w:r>
              <w:t>2009</w:t>
            </w:r>
          </w:p>
        </w:tc>
        <w:tc>
          <w:tcPr>
            <w:tcW w:type="dxa" w:w="2880"/>
          </w:tcPr>
          <w:p>
            <w:r/>
            <w:r>
              <w:t>POEM analysis for dual residence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Development Securities v HMRC</w:t>
            </w:r>
          </w:p>
        </w:tc>
        <w:tc>
          <w:tcPr>
            <w:tcW w:type="dxa" w:w="2880"/>
          </w:tcPr>
          <w:p>
            <w:r/>
            <w:r>
              <w:t>2020</w:t>
            </w:r>
          </w:p>
        </w:tc>
        <w:tc>
          <w:tcPr>
            <w:tcW w:type="dxa" w:w="2880"/>
          </w:tcPr>
          <w:p>
            <w:r/>
            <w:r>
              <w:t>Board meeting location and decision-making</w:t>
            </w:r>
          </w:p>
        </w:tc>
      </w:tr>
    </w:tbl>
    <w:p/>
    <w:p>
      <w:pPr>
        <w:pStyle w:val="Heading2"/>
      </w:pPr>
      <w:r>
        <w:t>Permanent Establishment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Principle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Fowler v HMRC</w:t>
            </w:r>
          </w:p>
        </w:tc>
        <w:tc>
          <w:tcPr>
            <w:tcW w:type="dxa" w:w="2880"/>
          </w:tcPr>
          <w:p>
            <w:r/>
            <w:r>
              <w:t>2020</w:t>
            </w:r>
          </w:p>
        </w:tc>
        <w:tc>
          <w:tcPr>
            <w:tcW w:type="dxa" w:w="2880"/>
          </w:tcPr>
          <w:p>
            <w:r/>
            <w:r>
              <w:t>Fixed place of business requires degree of permanence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Calderón v HMRC</w:t>
            </w:r>
          </w:p>
        </w:tc>
        <w:tc>
          <w:tcPr>
            <w:tcW w:type="dxa" w:w="2880"/>
          </w:tcPr>
          <w:p>
            <w:r/>
            <w:r>
              <w:t>2020</w:t>
            </w:r>
          </w:p>
        </w:tc>
        <w:tc>
          <w:tcPr>
            <w:tcW w:type="dxa" w:w="2880"/>
          </w:tcPr>
          <w:p>
            <w:r/>
            <w:r>
              <w:t>Independent agent exception application</w:t>
            </w:r>
          </w:p>
        </w:tc>
      </w:tr>
    </w:tbl>
    <w:p/>
    <w:p>
      <w:pPr>
        <w:pStyle w:val="Heading2"/>
      </w:pPr>
      <w:r>
        <w:t>Employment Income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Principle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Hochstrasser v Mayes</w:t>
            </w:r>
          </w:p>
        </w:tc>
        <w:tc>
          <w:tcPr>
            <w:tcW w:type="dxa" w:w="2880"/>
          </w:tcPr>
          <w:p>
            <w:r/>
            <w:r>
              <w:t>1960</w:t>
            </w:r>
          </w:p>
        </w:tc>
        <w:tc>
          <w:tcPr>
            <w:tcW w:type="dxa" w:w="2880"/>
          </w:tcPr>
          <w:p>
            <w:r/>
            <w:r>
              <w:t>Payment must be "from" employment to be taxable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Shilton v Wilmshurst</w:t>
            </w:r>
          </w:p>
        </w:tc>
        <w:tc>
          <w:tcPr>
            <w:tcW w:type="dxa" w:w="2880"/>
          </w:tcPr>
          <w:p>
            <w:r/>
            <w:r>
              <w:t>1991</w:t>
            </w:r>
          </w:p>
        </w:tc>
        <w:tc>
          <w:tcPr>
            <w:tcW w:type="dxa" w:w="2880"/>
          </w:tcPr>
          <w:p>
            <w:r/>
            <w:r>
              <w:t>Inducement payments are employment income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Abbott v Philbin</w:t>
            </w:r>
          </w:p>
        </w:tc>
        <w:tc>
          <w:tcPr>
            <w:tcW w:type="dxa" w:w="2880"/>
          </w:tcPr>
          <w:p>
            <w:r/>
            <w:r>
              <w:t>1961</w:t>
            </w:r>
          </w:p>
        </w:tc>
        <w:tc>
          <w:tcPr>
            <w:tcW w:type="dxa" w:w="2880"/>
          </w:tcPr>
          <w:p>
            <w:r/>
            <w:r>
              <w:t>Options taxable when exercised, not granted (pre-EMI rules)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Kuehne + Nagel v HMRC</w:t>
            </w:r>
          </w:p>
        </w:tc>
        <w:tc>
          <w:tcPr>
            <w:tcW w:type="dxa" w:w="2880"/>
          </w:tcPr>
          <w:p>
            <w:r/>
            <w:r>
              <w:t>2012</w:t>
            </w:r>
          </w:p>
        </w:tc>
        <w:tc>
          <w:tcPr>
            <w:tcW w:type="dxa" w:w="2880"/>
          </w:tcPr>
          <w:p>
            <w:r/>
            <w:r>
              <w:t>Employer's motive relevant for benefit analysis</w:t>
            </w:r>
          </w:p>
        </w:tc>
      </w:tr>
    </w:tbl>
    <w:p/>
    <w:p>
      <w:pPr>
        <w:pStyle w:val="Heading2"/>
      </w:pPr>
      <w:r>
        <w:t>Trust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Principle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Garland v Archer-Shee</w:t>
            </w:r>
          </w:p>
        </w:tc>
        <w:tc>
          <w:tcPr>
            <w:tcW w:type="dxa" w:w="2880"/>
          </w:tcPr>
          <w:p>
            <w:r/>
            <w:r>
              <w:t>1931</w:t>
            </w:r>
          </w:p>
        </w:tc>
        <w:tc>
          <w:tcPr>
            <w:tcW w:type="dxa" w:w="2880"/>
          </w:tcPr>
          <w:p>
            <w:r/>
            <w:r>
              <w:t>Beneficiary with absolute interest taxed on trust income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Baker v Archer-Shee</w:t>
            </w:r>
          </w:p>
        </w:tc>
        <w:tc>
          <w:tcPr>
            <w:tcW w:type="dxa" w:w="2880"/>
          </w:tcPr>
          <w:p>
            <w:r/>
            <w:r>
              <w:t>1927</w:t>
            </w:r>
          </w:p>
        </w:tc>
        <w:tc>
          <w:tcPr>
            <w:tcW w:type="dxa" w:w="2880"/>
          </w:tcPr>
          <w:p>
            <w:r/>
            <w:r>
              <w:t>Foreign trust income sourcing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IRC v Berrill</w:t>
            </w:r>
          </w:p>
        </w:tc>
        <w:tc>
          <w:tcPr>
            <w:tcW w:type="dxa" w:w="2880"/>
          </w:tcPr>
          <w:p>
            <w:r/>
            <w:r>
              <w:t>1981</w:t>
            </w:r>
          </w:p>
        </w:tc>
        <w:tc>
          <w:tcPr>
            <w:tcW w:type="dxa" w:w="2880"/>
          </w:tcPr>
          <w:p>
            <w:r/>
            <w:r>
              <w:t>Settlor-interested trust rules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Pugsley v Kelly</w:t>
            </w:r>
          </w:p>
        </w:tc>
        <w:tc>
          <w:tcPr>
            <w:tcW w:type="dxa" w:w="2880"/>
          </w:tcPr>
          <w:p>
            <w:r/>
            <w:r>
              <w:t>2011</w:t>
            </w:r>
          </w:p>
        </w:tc>
        <w:tc>
          <w:tcPr>
            <w:tcW w:type="dxa" w:w="2880"/>
          </w:tcPr>
          <w:p>
            <w:r/>
            <w:r>
              <w:t>Beneficial enjoyment of trust assets</w:t>
            </w:r>
          </w:p>
        </w:tc>
      </w:tr>
    </w:tbl>
    <w:p/>
    <w:p>
      <w:pPr>
        <w:pStyle w:val="Heading2"/>
      </w:pPr>
      <w:r>
        <w:t>Anti-Avoidance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Principle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IRC v Duke of Westminster</w:t>
            </w:r>
          </w:p>
        </w:tc>
        <w:tc>
          <w:tcPr>
            <w:tcW w:type="dxa" w:w="2880"/>
          </w:tcPr>
          <w:p>
            <w:r/>
            <w:r>
              <w:t>1936</w:t>
            </w:r>
          </w:p>
        </w:tc>
        <w:tc>
          <w:tcPr>
            <w:tcW w:type="dxa" w:w="2880"/>
          </w:tcPr>
          <w:p>
            <w:r/>
            <w:r>
              <w:t>Taxpayer entitled to arrange affairs to minimise tax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Furniss v Dawson</w:t>
            </w:r>
          </w:p>
        </w:tc>
        <w:tc>
          <w:tcPr>
            <w:tcW w:type="dxa" w:w="2880"/>
          </w:tcPr>
          <w:p>
            <w:r/>
            <w:r>
              <w:t>1984</w:t>
            </w:r>
          </w:p>
        </w:tc>
        <w:tc>
          <w:tcPr>
            <w:tcW w:type="dxa" w:w="2880"/>
          </w:tcPr>
          <w:p>
            <w:r/>
            <w:r>
              <w:t>Pre-ordained series: intervening steps can be ignored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MacNiven v Westmoreland</w:t>
            </w:r>
          </w:p>
        </w:tc>
        <w:tc>
          <w:tcPr>
            <w:tcW w:type="dxa" w:w="2880"/>
          </w:tcPr>
          <w:p>
            <w:r/>
            <w:r>
              <w:t>2001</w:t>
            </w:r>
          </w:p>
        </w:tc>
        <w:tc>
          <w:tcPr>
            <w:tcW w:type="dxa" w:w="2880"/>
          </w:tcPr>
          <w:p>
            <w:r/>
            <w:r>
              <w:t>Commercial vs juristic meaning of statutory terms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BMBF v Mawson</w:t>
            </w:r>
          </w:p>
        </w:tc>
        <w:tc>
          <w:tcPr>
            <w:tcW w:type="dxa" w:w="2880"/>
          </w:tcPr>
          <w:p>
            <w:r/>
            <w:r>
              <w:t>2005</w:t>
            </w:r>
          </w:p>
        </w:tc>
        <w:tc>
          <w:tcPr>
            <w:tcW w:type="dxa" w:w="2880"/>
          </w:tcPr>
          <w:p>
            <w:r/>
            <w:r>
              <w:t>"Realistic view" of composite transactions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UBS v HMRC</w:t>
            </w:r>
          </w:p>
        </w:tc>
        <w:tc>
          <w:tcPr>
            <w:tcW w:type="dxa" w:w="2880"/>
          </w:tcPr>
          <w:p>
            <w:r/>
            <w:r>
              <w:t>2016</w:t>
            </w:r>
          </w:p>
        </w:tc>
        <w:tc>
          <w:tcPr>
            <w:tcW w:type="dxa" w:w="2880"/>
          </w:tcPr>
          <w:p>
            <w:r/>
            <w:r>
              <w:t>GAAR-like principles: look at substance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RFC 2012 v HMRC</w:t>
            </w:r>
          </w:p>
        </w:tc>
        <w:tc>
          <w:tcPr>
            <w:tcW w:type="dxa" w:w="2880"/>
          </w:tcPr>
          <w:p>
            <w:r/>
            <w:r>
              <w:t>2017</w:t>
            </w:r>
          </w:p>
        </w:tc>
        <w:tc>
          <w:tcPr>
            <w:tcW w:type="dxa" w:w="2880"/>
          </w:tcPr>
          <w:p>
            <w:r/>
            <w:r>
              <w:t>EBT arrangements: employment income</w:t>
            </w:r>
          </w:p>
        </w:tc>
      </w:tr>
    </w:tbl>
    <w:p/>
    <w:p>
      <w:pPr>
        <w:pStyle w:val="Heading2"/>
      </w:pPr>
      <w:r>
        <w:t>Capital Gains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Principle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Aberdeen Construction v IRC</w:t>
            </w:r>
          </w:p>
        </w:tc>
        <w:tc>
          <w:tcPr>
            <w:tcW w:type="dxa" w:w="2880"/>
          </w:tcPr>
          <w:p>
            <w:r/>
            <w:r>
              <w:t>1978</w:t>
            </w:r>
          </w:p>
        </w:tc>
        <w:tc>
          <w:tcPr>
            <w:tcW w:type="dxa" w:w="2880"/>
          </w:tcPr>
          <w:p>
            <w:r/>
            <w:r>
              <w:t>Connected party transactions at market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Markey v Sanders</w:t>
            </w:r>
          </w:p>
        </w:tc>
        <w:tc>
          <w:tcPr>
            <w:tcW w:type="dxa" w:w="2880"/>
          </w:tcPr>
          <w:p>
            <w:r/>
            <w:r>
              <w:t>1987</w:t>
            </w:r>
          </w:p>
        </w:tc>
        <w:tc>
          <w:tcPr>
            <w:tcW w:type="dxa" w:w="2880"/>
          </w:tcPr>
          <w:p>
            <w:r/>
            <w:r>
              <w:t>Asset vs trading stock distinction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Kirby v Thorn EMI</w:t>
            </w:r>
          </w:p>
        </w:tc>
        <w:tc>
          <w:tcPr>
            <w:tcW w:type="dxa" w:w="2880"/>
          </w:tcPr>
          <w:p>
            <w:r/>
            <w:r>
              <w:t>1987</w:t>
            </w:r>
          </w:p>
        </w:tc>
        <w:tc>
          <w:tcPr>
            <w:tcW w:type="dxa" w:w="2880"/>
          </w:tcPr>
          <w:p>
            <w:r/>
            <w:r>
              <w:t>Negligible value claims</w:t>
            </w:r>
          </w:p>
        </w:tc>
      </w:tr>
    </w:tbl>
    <w:p/>
    <w:p>
      <w:pPr>
        <w:pStyle w:val="Heading2"/>
      </w:pPr>
      <w:r>
        <w:t>Transfer Pricing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Principle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DSG Retail v HMRC</w:t>
            </w:r>
          </w:p>
        </w:tc>
        <w:tc>
          <w:tcPr>
            <w:tcW w:type="dxa" w:w="2880"/>
          </w:tcPr>
          <w:p>
            <w:r/>
            <w:r>
              <w:t>2009</w:t>
            </w:r>
          </w:p>
        </w:tc>
        <w:tc>
          <w:tcPr>
            <w:tcW w:type="dxa" w:w="2880"/>
          </w:tcPr>
          <w:p>
            <w:r/>
            <w:r>
              <w:t>TP applies to actual, not reconstructed transactions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HMRC v Ametalco</w:t>
            </w:r>
          </w:p>
        </w:tc>
        <w:tc>
          <w:tcPr>
            <w:tcW w:type="dxa" w:w="2880"/>
          </w:tcPr>
          <w:p>
            <w:r/>
            <w:r>
              <w:t>2013</w:t>
            </w:r>
          </w:p>
        </w:tc>
        <w:tc>
          <w:tcPr>
            <w:tcW w:type="dxa" w:w="2880"/>
          </w:tcPr>
          <w:p>
            <w:r/>
            <w:r>
              <w:t>Accurate delineation of transactions required</w:t>
            </w:r>
          </w:p>
        </w:tc>
      </w:tr>
    </w:tbl>
    <w:p/>
    <w:p>
      <w:pPr>
        <w:pStyle w:val="Heading2"/>
      </w:pPr>
      <w:r>
        <w:t>VAT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Principle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Halifax v HMRC</w:t>
            </w:r>
          </w:p>
        </w:tc>
        <w:tc>
          <w:tcPr>
            <w:tcW w:type="dxa" w:w="2880"/>
          </w:tcPr>
          <w:p>
            <w:r/>
            <w:r>
              <w:t>2006</w:t>
            </w:r>
          </w:p>
        </w:tc>
        <w:tc>
          <w:tcPr>
            <w:tcW w:type="dxa" w:w="2880"/>
          </w:tcPr>
          <w:p>
            <w:r/>
            <w:r>
              <w:t>VAT abuse of law principle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Redrow v HMRC</w:t>
            </w:r>
          </w:p>
        </w:tc>
        <w:tc>
          <w:tcPr>
            <w:tcW w:type="dxa" w:w="2880"/>
          </w:tcPr>
          <w:p>
            <w:r/>
            <w:r>
              <w:t>1999</w:t>
            </w:r>
          </w:p>
        </w:tc>
        <w:tc>
          <w:tcPr>
            <w:tcW w:type="dxa" w:w="2880"/>
          </w:tcPr>
          <w:p>
            <w:r/>
            <w:r>
              <w:t>Who received the supply</w:t>
            </w:r>
          </w:p>
        </w:tc>
      </w:tr>
    </w:tbl>
    <w:p/>
    <w:p>
      <w:pPr>
        <w:pStyle w:val="Heading2"/>
      </w:pPr>
      <w:r>
        <w:t>IHT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Principle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IRC v Lloyds Private Banking</w:t>
            </w:r>
          </w:p>
        </w:tc>
        <w:tc>
          <w:tcPr>
            <w:tcW w:type="dxa" w:w="2880"/>
          </w:tcPr>
          <w:p>
            <w:r/>
            <w:r>
              <w:t>1998</w:t>
            </w:r>
          </w:p>
        </w:tc>
        <w:tc>
          <w:tcPr>
            <w:tcW w:type="dxa" w:w="2880"/>
          </w:tcPr>
          <w:p>
            <w:r/>
            <w:r>
              <w:t>Reservation of benefit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 Dunstan's v Major</w:t>
            </w:r>
          </w:p>
        </w:tc>
        <w:tc>
          <w:tcPr>
            <w:tcW w:type="dxa" w:w="2880"/>
          </w:tcPr>
          <w:p>
            <w:r/>
            <w:r>
              <w:t>1997</w:t>
            </w:r>
          </w:p>
        </w:tc>
        <w:tc>
          <w:tcPr>
            <w:tcW w:type="dxa" w:w="2880"/>
          </w:tcPr>
          <w:p>
            <w:r/>
            <w:r>
              <w:t>Exclusion of settlor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APPENDIX 5.7: TREATY QUICK REFERENCE</w:t>
      </w:r>
    </w:p>
    <w:p>
      <w:pPr>
        <w:pStyle w:val="Heading2"/>
      </w:pPr>
      <w:r>
        <w:t>OECD Model Tax Convention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Article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Subject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Persons covered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Taxes covered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General definitions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Residence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Permanent establishment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Income from immovable property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Business profits</w:t>
            </w:r>
          </w:p>
        </w:tc>
      </w:tr>
      <w:tr>
        <w:tc>
          <w:tcPr>
            <w:tcW w:type="dxa" w:w="4320"/>
          </w:tcPr>
          <w:p>
            <w:r/>
            <w:r>
              <w:t>8</w:t>
            </w:r>
          </w:p>
        </w:tc>
        <w:tc>
          <w:tcPr>
            <w:tcW w:type="dxa" w:w="4320"/>
          </w:tcPr>
          <w:p>
            <w:r/>
            <w:r>
              <w:t>Shipping and air transport</w:t>
            </w:r>
          </w:p>
        </w:tc>
      </w:tr>
      <w:tr>
        <w:tc>
          <w:tcPr>
            <w:tcW w:type="dxa" w:w="4320"/>
          </w:tcPr>
          <w:p>
            <w:r/>
            <w:r>
              <w:t>9</w:t>
            </w:r>
          </w:p>
        </w:tc>
        <w:tc>
          <w:tcPr>
            <w:tcW w:type="dxa" w:w="4320"/>
          </w:tcPr>
          <w:p>
            <w:r/>
            <w:r>
              <w:t>Associated enterprises</w:t>
            </w:r>
          </w:p>
        </w:tc>
      </w:tr>
      <w:tr>
        <w:tc>
          <w:tcPr>
            <w:tcW w:type="dxa" w:w="4320"/>
          </w:tcPr>
          <w:p>
            <w:r/>
            <w:r>
              <w:t>10</w:t>
            </w:r>
          </w:p>
        </w:tc>
        <w:tc>
          <w:tcPr>
            <w:tcW w:type="dxa" w:w="4320"/>
          </w:tcPr>
          <w:p>
            <w:r/>
            <w:r>
              <w:t>Dividends</w:t>
            </w:r>
          </w:p>
        </w:tc>
      </w:tr>
      <w:tr>
        <w:tc>
          <w:tcPr>
            <w:tcW w:type="dxa" w:w="4320"/>
          </w:tcPr>
          <w:p>
            <w:r/>
            <w:r>
              <w:t>11</w:t>
            </w:r>
          </w:p>
        </w:tc>
        <w:tc>
          <w:tcPr>
            <w:tcW w:type="dxa" w:w="4320"/>
          </w:tcPr>
          <w:p>
            <w:r/>
            <w:r>
              <w:t>Interest</w:t>
            </w:r>
          </w:p>
        </w:tc>
      </w:tr>
      <w:tr>
        <w:tc>
          <w:tcPr>
            <w:tcW w:type="dxa" w:w="4320"/>
          </w:tcPr>
          <w:p>
            <w:r/>
            <w:r>
              <w:t>12</w:t>
            </w:r>
          </w:p>
        </w:tc>
        <w:tc>
          <w:tcPr>
            <w:tcW w:type="dxa" w:w="4320"/>
          </w:tcPr>
          <w:p>
            <w:r/>
            <w:r>
              <w:t>Royalties</w:t>
            </w:r>
          </w:p>
        </w:tc>
      </w:tr>
      <w:tr>
        <w:tc>
          <w:tcPr>
            <w:tcW w:type="dxa" w:w="4320"/>
          </w:tcPr>
          <w:p>
            <w:r/>
            <w:r>
              <w:t>13</w:t>
            </w:r>
          </w:p>
        </w:tc>
        <w:tc>
          <w:tcPr>
            <w:tcW w:type="dxa" w:w="4320"/>
          </w:tcPr>
          <w:p>
            <w:r/>
            <w:r>
              <w:t>Capital gains</w:t>
            </w:r>
          </w:p>
        </w:tc>
      </w:tr>
      <w:tr>
        <w:tc>
          <w:tcPr>
            <w:tcW w:type="dxa" w:w="4320"/>
          </w:tcPr>
          <w:p>
            <w:r/>
            <w:r>
              <w:t>14</w:t>
            </w:r>
          </w:p>
        </w:tc>
        <w:tc>
          <w:tcPr>
            <w:tcW w:type="dxa" w:w="4320"/>
          </w:tcPr>
          <w:p>
            <w:r/>
            <w:r>
              <w:t>(Deleted - Independent personal services)</w:t>
            </w:r>
          </w:p>
        </w:tc>
      </w:tr>
      <w:tr>
        <w:tc>
          <w:tcPr>
            <w:tcW w:type="dxa" w:w="4320"/>
          </w:tcPr>
          <w:p>
            <w:r/>
            <w:r>
              <w:t>15</w:t>
            </w:r>
          </w:p>
        </w:tc>
        <w:tc>
          <w:tcPr>
            <w:tcW w:type="dxa" w:w="4320"/>
          </w:tcPr>
          <w:p>
            <w:r/>
            <w:r>
              <w:t>Employment income</w:t>
            </w:r>
          </w:p>
        </w:tc>
      </w:tr>
      <w:tr>
        <w:tc>
          <w:tcPr>
            <w:tcW w:type="dxa" w:w="4320"/>
          </w:tcPr>
          <w:p>
            <w:r/>
            <w:r>
              <w:t>16</w:t>
            </w:r>
          </w:p>
        </w:tc>
        <w:tc>
          <w:tcPr>
            <w:tcW w:type="dxa" w:w="4320"/>
          </w:tcPr>
          <w:p>
            <w:r/>
            <w:r>
              <w:t>Directors' fees</w:t>
            </w:r>
          </w:p>
        </w:tc>
      </w:tr>
      <w:tr>
        <w:tc>
          <w:tcPr>
            <w:tcW w:type="dxa" w:w="4320"/>
          </w:tcPr>
          <w:p>
            <w:r/>
            <w:r>
              <w:t>17</w:t>
            </w:r>
          </w:p>
        </w:tc>
        <w:tc>
          <w:tcPr>
            <w:tcW w:type="dxa" w:w="4320"/>
          </w:tcPr>
          <w:p>
            <w:r/>
            <w:r>
              <w:t>Entertainers and sportspersons</w:t>
            </w:r>
          </w:p>
        </w:tc>
      </w:tr>
      <w:tr>
        <w:tc>
          <w:tcPr>
            <w:tcW w:type="dxa" w:w="4320"/>
          </w:tcPr>
          <w:p>
            <w:r/>
            <w:r>
              <w:t>18</w:t>
            </w:r>
          </w:p>
        </w:tc>
        <w:tc>
          <w:tcPr>
            <w:tcW w:type="dxa" w:w="4320"/>
          </w:tcPr>
          <w:p>
            <w:r/>
            <w:r>
              <w:t>Pensions</w:t>
            </w:r>
          </w:p>
        </w:tc>
      </w:tr>
      <w:tr>
        <w:tc>
          <w:tcPr>
            <w:tcW w:type="dxa" w:w="4320"/>
          </w:tcPr>
          <w:p>
            <w:r/>
            <w:r>
              <w:t>19</w:t>
            </w:r>
          </w:p>
        </w:tc>
        <w:tc>
          <w:tcPr>
            <w:tcW w:type="dxa" w:w="4320"/>
          </w:tcPr>
          <w:p>
            <w:r/>
            <w:r>
              <w:t>Government service</w:t>
            </w:r>
          </w:p>
        </w:tc>
      </w:tr>
      <w:tr>
        <w:tc>
          <w:tcPr>
            <w:tcW w:type="dxa" w:w="4320"/>
          </w:tcPr>
          <w:p>
            <w:r/>
            <w:r>
              <w:t>20</w:t>
            </w:r>
          </w:p>
        </w:tc>
        <w:tc>
          <w:tcPr>
            <w:tcW w:type="dxa" w:w="4320"/>
          </w:tcPr>
          <w:p>
            <w:r/>
            <w:r>
              <w:t>Students</w:t>
            </w:r>
          </w:p>
        </w:tc>
      </w:tr>
      <w:tr>
        <w:tc>
          <w:tcPr>
            <w:tcW w:type="dxa" w:w="4320"/>
          </w:tcPr>
          <w:p>
            <w:r/>
            <w:r>
              <w:t>21</w:t>
            </w:r>
          </w:p>
        </w:tc>
        <w:tc>
          <w:tcPr>
            <w:tcW w:type="dxa" w:w="4320"/>
          </w:tcPr>
          <w:p>
            <w:r/>
            <w:r>
              <w:t>Other income</w:t>
            </w:r>
          </w:p>
        </w:tc>
      </w:tr>
      <w:tr>
        <w:tc>
          <w:tcPr>
            <w:tcW w:type="dxa" w:w="4320"/>
          </w:tcPr>
          <w:p>
            <w:r/>
            <w:r>
              <w:t>22</w:t>
            </w:r>
          </w:p>
        </w:tc>
        <w:tc>
          <w:tcPr>
            <w:tcW w:type="dxa" w:w="4320"/>
          </w:tcPr>
          <w:p>
            <w:r/>
            <w:r>
              <w:t>Capital</w:t>
            </w:r>
          </w:p>
        </w:tc>
      </w:tr>
      <w:tr>
        <w:tc>
          <w:tcPr>
            <w:tcW w:type="dxa" w:w="4320"/>
          </w:tcPr>
          <w:p>
            <w:r/>
            <w:r>
              <w:t>23A</w:t>
            </w:r>
          </w:p>
        </w:tc>
        <w:tc>
          <w:tcPr>
            <w:tcW w:type="dxa" w:w="4320"/>
          </w:tcPr>
          <w:p>
            <w:r/>
            <w:r>
              <w:t>Exemption method</w:t>
            </w:r>
          </w:p>
        </w:tc>
      </w:tr>
      <w:tr>
        <w:tc>
          <w:tcPr>
            <w:tcW w:type="dxa" w:w="4320"/>
          </w:tcPr>
          <w:p>
            <w:r/>
            <w:r>
              <w:t>23B</w:t>
            </w:r>
          </w:p>
        </w:tc>
        <w:tc>
          <w:tcPr>
            <w:tcW w:type="dxa" w:w="4320"/>
          </w:tcPr>
          <w:p>
            <w:r/>
            <w:r>
              <w:t>Credit method</w:t>
            </w:r>
          </w:p>
        </w:tc>
      </w:tr>
      <w:tr>
        <w:tc>
          <w:tcPr>
            <w:tcW w:type="dxa" w:w="4320"/>
          </w:tcPr>
          <w:p>
            <w:r/>
            <w:r>
              <w:t>24</w:t>
            </w:r>
          </w:p>
        </w:tc>
        <w:tc>
          <w:tcPr>
            <w:tcW w:type="dxa" w:w="4320"/>
          </w:tcPr>
          <w:p>
            <w:r/>
            <w:r>
              <w:t>Non-discrimination</w:t>
            </w:r>
          </w:p>
        </w:tc>
      </w:tr>
      <w:tr>
        <w:tc>
          <w:tcPr>
            <w:tcW w:type="dxa" w:w="4320"/>
          </w:tcPr>
          <w:p>
            <w:r/>
            <w:r>
              <w:t>25</w:t>
            </w:r>
          </w:p>
        </w:tc>
        <w:tc>
          <w:tcPr>
            <w:tcW w:type="dxa" w:w="4320"/>
          </w:tcPr>
          <w:p>
            <w:r/>
            <w:r>
              <w:t>Mutual agreement procedure</w:t>
            </w:r>
          </w:p>
        </w:tc>
      </w:tr>
      <w:tr>
        <w:tc>
          <w:tcPr>
            <w:tcW w:type="dxa" w:w="4320"/>
          </w:tcPr>
          <w:p>
            <w:r/>
            <w:r>
              <w:t>26</w:t>
            </w:r>
          </w:p>
        </w:tc>
        <w:tc>
          <w:tcPr>
            <w:tcW w:type="dxa" w:w="4320"/>
          </w:tcPr>
          <w:p>
            <w:r/>
            <w:r>
              <w:t>Exchange of information</w:t>
            </w:r>
          </w:p>
        </w:tc>
      </w:tr>
      <w:tr>
        <w:tc>
          <w:tcPr>
            <w:tcW w:type="dxa" w:w="4320"/>
          </w:tcPr>
          <w:p>
            <w:r/>
            <w:r>
              <w:t>27</w:t>
            </w:r>
          </w:p>
        </w:tc>
        <w:tc>
          <w:tcPr>
            <w:tcW w:type="dxa" w:w="4320"/>
          </w:tcPr>
          <w:p>
            <w:r/>
            <w:r>
              <w:t>Assistance in collection</w:t>
            </w:r>
          </w:p>
        </w:tc>
      </w:tr>
      <w:tr>
        <w:tc>
          <w:tcPr>
            <w:tcW w:type="dxa" w:w="4320"/>
          </w:tcPr>
          <w:p>
            <w:r/>
            <w:r>
              <w:t>28</w:t>
            </w:r>
          </w:p>
        </w:tc>
        <w:tc>
          <w:tcPr>
            <w:tcW w:type="dxa" w:w="4320"/>
          </w:tcPr>
          <w:p>
            <w:r/>
            <w:r>
              <w:t>Diplomatic agents</w:t>
            </w:r>
          </w:p>
        </w:tc>
      </w:tr>
      <w:tr>
        <w:tc>
          <w:tcPr>
            <w:tcW w:type="dxa" w:w="4320"/>
          </w:tcPr>
          <w:p>
            <w:r/>
            <w:r>
              <w:t>29</w:t>
            </w:r>
          </w:p>
        </w:tc>
        <w:tc>
          <w:tcPr>
            <w:tcW w:type="dxa" w:w="4320"/>
          </w:tcPr>
          <w:p>
            <w:r/>
            <w:r>
              <w:t>Entitlement to benefits</w:t>
            </w:r>
          </w:p>
        </w:tc>
      </w:tr>
      <w:tr>
        <w:tc>
          <w:tcPr>
            <w:tcW w:type="dxa" w:w="4320"/>
          </w:tcPr>
          <w:p>
            <w:r/>
            <w:r>
              <w:t>30-31</w:t>
            </w:r>
          </w:p>
        </w:tc>
        <w:tc>
          <w:tcPr>
            <w:tcW w:type="dxa" w:w="4320"/>
          </w:tcPr>
          <w:p>
            <w:r/>
            <w:r>
              <w:t>Entry into force, termination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Article 4: Residence Tie-Breaker</w:t>
      </w:r>
    </w:p>
    <w:p>
      <w:pPr>
        <w:pStyle w:val="Heading3"/>
      </w:pPr>
      <w:r>
        <w:t>For Individuals</w:t>
      </w:r>
    </w:p>
    <w:p>
      <w:r>
        <w:t>Apply in order until residence determined:</w:t>
      </w:r>
    </w:p>
    <w:p>
      <w:pPr>
        <w:pStyle w:val="ListNumber"/>
      </w:pPr>
      <w:r>
        <w:rPr>
          <w:b/>
        </w:rPr>
        <w:t>Permanent home</w:t>
      </w:r>
      <w:r>
        <w:t xml:space="preserve"> - Where individual has permanent dwelling</w:t>
      </w:r>
    </w:p>
    <w:p>
      <w:pPr>
        <w:pStyle w:val="ListNumber"/>
      </w:pPr>
      <w:r>
        <w:rPr>
          <w:b/>
        </w:rPr>
        <w:t>Centre of vital interests</w:t>
      </w:r>
      <w:r>
        <w:t xml:space="preserve"> - Closer personal and economic relations</w:t>
      </w:r>
    </w:p>
    <w:p>
      <w:pPr>
        <w:pStyle w:val="ListNumber"/>
      </w:pPr>
      <w:r>
        <w:rPr>
          <w:b/>
        </w:rPr>
        <w:t>Habitual abode</w:t>
      </w:r>
      <w:r>
        <w:t xml:space="preserve"> - Where individual stays most frequently</w:t>
      </w:r>
    </w:p>
    <w:p>
      <w:pPr>
        <w:pStyle w:val="ListNumber"/>
      </w:pPr>
      <w:r>
        <w:rPr>
          <w:b/>
        </w:rPr>
        <w:t>Nationality</w:t>
      </w:r>
      <w:r>
        <w:t xml:space="preserve"> - Country of citizenship</w:t>
      </w:r>
    </w:p>
    <w:p>
      <w:pPr>
        <w:pStyle w:val="ListNumber"/>
      </w:pPr>
      <w:r>
        <w:rPr>
          <w:b/>
        </w:rPr>
        <w:t>Mutual agreement</w:t>
      </w:r>
      <w:r>
        <w:t xml:space="preserve"> - Competent authorities decide</w:t>
      </w:r>
    </w:p>
    <w:p>
      <w:pPr>
        <w:pStyle w:val="Heading3"/>
      </w:pPr>
      <w:r>
        <w:t>For Companies (Pre-2017 Model)</w:t>
      </w:r>
    </w:p>
    <w:p>
      <w:pPr>
        <w:pStyle w:val="ListBullet"/>
      </w:pPr>
      <w:r>
        <w:rPr>
          <w:b/>
        </w:rPr>
        <w:t>Place of effective management (POEM)</w:t>
      </w:r>
    </w:p>
    <w:p>
      <w:pPr>
        <w:pStyle w:val="Heading3"/>
      </w:pPr>
      <w:r>
        <w:t>For Companies (2017 Model)</w:t>
      </w:r>
    </w:p>
    <w:p>
      <w:pPr>
        <w:pStyle w:val="ListBullet"/>
      </w:pPr>
      <w:r>
        <w:rPr>
          <w:b/>
        </w:rPr>
        <w:t>Mutual agreement procedure</w:t>
      </w:r>
      <w:r>
        <w:t xml:space="preserve"> between competent authorities</w:t>
      </w:r>
    </w:p>
    <w:p>
      <w:pPr>
        <w:pStyle w:val="ListBullet"/>
      </w:pPr>
      <w:r>
        <w:t>Consider POEM, place of incorporation, other relevant factors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Article 5: PE Definition Summary</w:t>
      </w:r>
    </w:p>
    <w:p>
      <w:pPr>
        <w:pStyle w:val="Heading3"/>
      </w:pPr>
      <w:r>
        <w:t>Fixed Place PE (Para 1-3)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Included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Excluded (Para 4)</w:t>
            </w:r>
          </w:p>
        </w:tc>
      </w:tr>
      <w:tr>
        <w:tc>
          <w:tcPr>
            <w:tcW w:type="dxa" w:w="4320"/>
          </w:tcPr>
          <w:p>
            <w:r/>
            <w:r>
              <w:t>Place of management</w:t>
            </w:r>
          </w:p>
        </w:tc>
        <w:tc>
          <w:tcPr>
            <w:tcW w:type="dxa" w:w="4320"/>
          </w:tcPr>
          <w:p>
            <w:r/>
            <w:r>
              <w:t>Storage facilities</w:t>
            </w:r>
          </w:p>
        </w:tc>
      </w:tr>
      <w:tr>
        <w:tc>
          <w:tcPr>
            <w:tcW w:type="dxa" w:w="4320"/>
          </w:tcPr>
          <w:p>
            <w:r/>
            <w:r>
              <w:t>Branch</w:t>
            </w:r>
          </w:p>
        </w:tc>
        <w:tc>
          <w:tcPr>
            <w:tcW w:type="dxa" w:w="4320"/>
          </w:tcPr>
          <w:p>
            <w:r/>
            <w:r>
              <w:t>Goods for display only</w:t>
            </w:r>
          </w:p>
        </w:tc>
      </w:tr>
      <w:tr>
        <w:tc>
          <w:tcPr>
            <w:tcW w:type="dxa" w:w="4320"/>
          </w:tcPr>
          <w:p>
            <w:r/>
            <w:r>
              <w:t>Office</w:t>
            </w:r>
          </w:p>
        </w:tc>
        <w:tc>
          <w:tcPr>
            <w:tcW w:type="dxa" w:w="4320"/>
          </w:tcPr>
          <w:p>
            <w:r/>
            <w:r>
              <w:t>Stock for another enterprise</w:t>
            </w:r>
          </w:p>
        </w:tc>
      </w:tr>
      <w:tr>
        <w:tc>
          <w:tcPr>
            <w:tcW w:type="dxa" w:w="4320"/>
          </w:tcPr>
          <w:p>
            <w:r/>
            <w:r>
              <w:t>Factory</w:t>
            </w:r>
          </w:p>
        </w:tc>
        <w:tc>
          <w:tcPr>
            <w:tcW w:type="dxa" w:w="4320"/>
          </w:tcPr>
          <w:p>
            <w:r/>
            <w:r>
              <w:t>Purchasing office</w:t>
            </w:r>
          </w:p>
        </w:tc>
      </w:tr>
      <w:tr>
        <w:tc>
          <w:tcPr>
            <w:tcW w:type="dxa" w:w="4320"/>
          </w:tcPr>
          <w:p>
            <w:r/>
            <w:r>
              <w:t>Workshop</w:t>
            </w:r>
          </w:p>
        </w:tc>
        <w:tc>
          <w:tcPr>
            <w:tcW w:type="dxa" w:w="4320"/>
          </w:tcPr>
          <w:p>
            <w:r/>
            <w:r>
              <w:t>Information gathering</w:t>
            </w:r>
          </w:p>
        </w:tc>
      </w:tr>
      <w:tr>
        <w:tc>
          <w:tcPr>
            <w:tcW w:type="dxa" w:w="4320"/>
          </w:tcPr>
          <w:p>
            <w:r/>
            <w:r>
              <w:t>Mine, quarry, oil well</w:t>
            </w:r>
          </w:p>
        </w:tc>
        <w:tc>
          <w:tcPr>
            <w:tcW w:type="dxa" w:w="4320"/>
          </w:tcPr>
          <w:p>
            <w:r/>
            <w:r>
              <w:t>Preparatory/auxiliary activities</w:t>
            </w:r>
          </w:p>
        </w:tc>
      </w:tr>
      <w:tr>
        <w:tc>
          <w:tcPr>
            <w:tcW w:type="dxa" w:w="4320"/>
          </w:tcPr>
          <w:p>
            <w:r/>
            <w:r>
              <w:t>Building site &gt;12 months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Agency PE (Para 5-6)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Creates 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Does NOT Create PE</w:t>
            </w:r>
          </w:p>
        </w:tc>
      </w:tr>
      <w:tr>
        <w:tc>
          <w:tcPr>
            <w:tcW w:type="dxa" w:w="4320"/>
          </w:tcPr>
          <w:p>
            <w:r/>
            <w:r>
              <w:t>Habitually concludes contracts</w:t>
            </w:r>
          </w:p>
        </w:tc>
        <w:tc>
          <w:tcPr>
            <w:tcW w:type="dxa" w:w="4320"/>
          </w:tcPr>
          <w:p>
            <w:r/>
            <w:r>
              <w:t>Agent of independent status</w:t>
            </w:r>
          </w:p>
        </w:tc>
      </w:tr>
      <w:tr>
        <w:tc>
          <w:tcPr>
            <w:tcW w:type="dxa" w:w="4320"/>
          </w:tcPr>
          <w:p>
            <w:r/>
            <w:r>
              <w:t>In name of enterprise</w:t>
            </w:r>
          </w:p>
        </w:tc>
        <w:tc>
          <w:tcPr>
            <w:tcW w:type="dxa" w:w="4320"/>
          </w:tcPr>
          <w:p>
            <w:r/>
            <w:r>
              <w:t>Acting in ordinary course</w:t>
            </w:r>
          </w:p>
        </w:tc>
      </w:tr>
      <w:tr>
        <w:tc>
          <w:tcPr>
            <w:tcW w:type="dxa" w:w="4320"/>
          </w:tcPr>
          <w:p>
            <w:r/>
            <w:r>
              <w:t>Principal contracts materially modified by enterprise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3"/>
      </w:pPr>
      <w:r>
        <w:t>Construction PE Thresholds (Selected Treaties)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Threshold</w:t>
            </w:r>
          </w:p>
        </w:tc>
      </w:tr>
      <w:tr>
        <w:tc>
          <w:tcPr>
            <w:tcW w:type="dxa" w:w="4320"/>
          </w:tcPr>
          <w:p>
            <w:r/>
            <w:r>
              <w:t>OECD Model</w:t>
            </w:r>
          </w:p>
        </w:tc>
        <w:tc>
          <w:tcPr>
            <w:tcW w:type="dxa" w:w="4320"/>
          </w:tcPr>
          <w:p>
            <w:r/>
            <w:r>
              <w:t>12 months</w:t>
            </w:r>
          </w:p>
        </w:tc>
      </w:tr>
      <w:tr>
        <w:tc>
          <w:tcPr>
            <w:tcW w:type="dxa" w:w="4320"/>
          </w:tcPr>
          <w:p>
            <w:r/>
            <w:r>
              <w:t>UK-USA</w:t>
            </w:r>
          </w:p>
        </w:tc>
        <w:tc>
          <w:tcPr>
            <w:tcW w:type="dxa" w:w="4320"/>
          </w:tcPr>
          <w:p>
            <w:r/>
            <w:r>
              <w:t>12 months</w:t>
            </w:r>
          </w:p>
        </w:tc>
      </w:tr>
      <w:tr>
        <w:tc>
          <w:tcPr>
            <w:tcW w:type="dxa" w:w="4320"/>
          </w:tcPr>
          <w:p>
            <w:r/>
            <w:r>
              <w:t>UK-Germany</w:t>
            </w:r>
          </w:p>
        </w:tc>
        <w:tc>
          <w:tcPr>
            <w:tcW w:type="dxa" w:w="4320"/>
          </w:tcPr>
          <w:p>
            <w:r/>
            <w:r>
              <w:t>12 months</w:t>
            </w:r>
          </w:p>
        </w:tc>
      </w:tr>
      <w:tr>
        <w:tc>
          <w:tcPr>
            <w:tcW w:type="dxa" w:w="4320"/>
          </w:tcPr>
          <w:p>
            <w:r/>
            <w:r>
              <w:t>UK-France</w:t>
            </w:r>
          </w:p>
        </w:tc>
        <w:tc>
          <w:tcPr>
            <w:tcW w:type="dxa" w:w="4320"/>
          </w:tcPr>
          <w:p>
            <w:r/>
            <w:r>
              <w:t>12 months</w:t>
            </w:r>
          </w:p>
        </w:tc>
      </w:tr>
      <w:tr>
        <w:tc>
          <w:tcPr>
            <w:tcW w:type="dxa" w:w="4320"/>
          </w:tcPr>
          <w:p>
            <w:r/>
            <w:r>
              <w:t>UK-China</w:t>
            </w:r>
          </w:p>
        </w:tc>
        <w:tc>
          <w:tcPr>
            <w:tcW w:type="dxa" w:w="4320"/>
          </w:tcPr>
          <w:p>
            <w:r/>
            <w:r>
              <w:t>6 months</w:t>
            </w:r>
          </w:p>
        </w:tc>
      </w:tr>
      <w:tr>
        <w:tc>
          <w:tcPr>
            <w:tcW w:type="dxa" w:w="4320"/>
          </w:tcPr>
          <w:p>
            <w:r/>
            <w:r>
              <w:t>UK-India</w:t>
            </w:r>
          </w:p>
        </w:tc>
        <w:tc>
          <w:tcPr>
            <w:tcW w:type="dxa" w:w="4320"/>
          </w:tcPr>
          <w:p>
            <w:r/>
            <w:r>
              <w:t>6 months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Articles 10, 11, 12: Withholding Tax Rates</w:t>
      </w:r>
    </w:p>
    <w:p>
      <w:pPr>
        <w:pStyle w:val="Heading3"/>
      </w:pPr>
      <w:r>
        <w:t>OECD Model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Income 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Source State Rate</w:t>
            </w:r>
          </w:p>
        </w:tc>
      </w:tr>
      <w:tr>
        <w:tc>
          <w:tcPr>
            <w:tcW w:type="dxa" w:w="4320"/>
          </w:tcPr>
          <w:p>
            <w:r/>
            <w:r>
              <w:t>Dividends (substantial holding ≥25%)</w:t>
            </w:r>
          </w:p>
        </w:tc>
        <w:tc>
          <w:tcPr>
            <w:tcW w:type="dxa" w:w="4320"/>
          </w:tcPr>
          <w:p>
            <w:r/>
            <w:r>
              <w:t>5%</w:t>
            </w:r>
          </w:p>
        </w:tc>
      </w:tr>
      <w:tr>
        <w:tc>
          <w:tcPr>
            <w:tcW w:type="dxa" w:w="4320"/>
          </w:tcPr>
          <w:p>
            <w:r/>
            <w:r>
              <w:t>Dividends (other)</w:t>
            </w:r>
          </w:p>
        </w:tc>
        <w:tc>
          <w:tcPr>
            <w:tcW w:type="dxa" w:w="4320"/>
          </w:tcPr>
          <w:p>
            <w:r/>
            <w:r>
              <w:t>15%</w:t>
            </w:r>
          </w:p>
        </w:tc>
      </w:tr>
      <w:tr>
        <w:tc>
          <w:tcPr>
            <w:tcW w:type="dxa" w:w="4320"/>
          </w:tcPr>
          <w:p>
            <w:r/>
            <w:r>
              <w:t>Interest</w:t>
            </w:r>
          </w:p>
        </w:tc>
        <w:tc>
          <w:tcPr>
            <w:tcW w:type="dxa" w:w="4320"/>
          </w:tcPr>
          <w:p>
            <w:r/>
            <w:r>
              <w:t>10%</w:t>
            </w:r>
          </w:p>
        </w:tc>
      </w:tr>
      <w:tr>
        <w:tc>
          <w:tcPr>
            <w:tcW w:type="dxa" w:w="4320"/>
          </w:tcPr>
          <w:p>
            <w:r/>
            <w:r>
              <w:t>Royalties</w:t>
            </w:r>
          </w:p>
        </w:tc>
        <w:tc>
          <w:tcPr>
            <w:tcW w:type="dxa" w:w="4320"/>
          </w:tcPr>
          <w:p>
            <w:r/>
            <w:r>
              <w:t>0%</w:t>
            </w:r>
          </w:p>
        </w:tc>
      </w:tr>
    </w:tbl>
    <w:p/>
    <w:p>
      <w:pPr>
        <w:pStyle w:val="Heading3"/>
      </w:pPr>
      <w:r>
        <w:t>UK Treaty Rates with Key Countries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Country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Dividends (Portfolio)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Dividends (Substantial)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Interest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Royalties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USA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0%/5%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Germany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5%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France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Netherlands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Ireland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Luxembourg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5%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Switzerland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China</w:t>
            </w:r>
          </w:p>
        </w:tc>
        <w:tc>
          <w:tcPr>
            <w:tcW w:type="dxa" w:w="1728"/>
          </w:tcPr>
          <w:p>
            <w:r/>
            <w:r>
              <w:t>10%</w:t>
            </w:r>
          </w:p>
        </w:tc>
        <w:tc>
          <w:tcPr>
            <w:tcW w:type="dxa" w:w="1728"/>
          </w:tcPr>
          <w:p>
            <w:r/>
            <w:r>
              <w:t>5%</w:t>
            </w:r>
          </w:p>
        </w:tc>
        <w:tc>
          <w:tcPr>
            <w:tcW w:type="dxa" w:w="1728"/>
          </w:tcPr>
          <w:p>
            <w:r/>
            <w:r>
              <w:t>10%</w:t>
            </w:r>
          </w:p>
        </w:tc>
        <w:tc>
          <w:tcPr>
            <w:tcW w:type="dxa" w:w="1728"/>
          </w:tcPr>
          <w:p>
            <w:r/>
            <w:r>
              <w:t>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India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10%</w:t>
            </w:r>
          </w:p>
        </w:tc>
        <w:tc>
          <w:tcPr>
            <w:tcW w:type="dxa" w:w="1728"/>
          </w:tcPr>
          <w:p>
            <w:r/>
            <w:r>
              <w:t>10%/15%</w:t>
            </w:r>
          </w:p>
        </w:tc>
        <w:tc>
          <w:tcPr>
            <w:tcW w:type="dxa" w:w="1728"/>
          </w:tcPr>
          <w:p>
            <w:r/>
            <w:r>
              <w:t>10%/15%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UAE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</w:tbl>
    <w:p/>
    <w:p>
      <w:r>
        <w:rPr>
          <w:i/>
        </w:rPr>
        <w:t>Note: Substantial holding thresholds vary (10%-25%). Check specific treaty.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Article 15: Employment Income</w:t>
      </w:r>
    </w:p>
    <w:p>
      <w:pPr>
        <w:pStyle w:val="Heading3"/>
      </w:pPr>
      <w:r>
        <w:t>Basic Rule</w:t>
      </w:r>
    </w:p>
    <w:p>
      <w:r>
        <w:t xml:space="preserve">Employment income taxable in </w:t>
      </w:r>
      <w:r>
        <w:rPr>
          <w:b/>
        </w:rPr>
        <w:t>residence state</w:t>
      </w:r>
      <w:r>
        <w:t xml:space="preserve"> UNLESS employment exercised in other state.</w:t>
      </w:r>
    </w:p>
    <w:p>
      <w:pPr>
        <w:pStyle w:val="Heading3"/>
      </w:pPr>
      <w:r>
        <w:t>Exception (Para 2) - Source State Cannot Tax If ALL True:</w:t>
      </w:r>
    </w:p>
    <w:p>
      <w:pPr>
        <w:pStyle w:val="ListNumber"/>
      </w:pPr>
      <w:r>
        <w:t xml:space="preserve">Employee present in source state </w:t>
      </w:r>
      <w:r>
        <w:rPr>
          <w:b/>
        </w:rPr>
        <w:t>≤183 days</w:t>
      </w:r>
      <w:r>
        <w:t xml:space="preserve"> in any 12-month period</w:t>
      </w:r>
    </w:p>
    <w:p>
      <w:pPr>
        <w:pStyle w:val="ListNumber"/>
      </w:pPr>
      <w:r>
        <w:t xml:space="preserve">Remuneration paid by employer </w:t>
      </w:r>
      <w:r>
        <w:rPr>
          <w:b/>
        </w:rPr>
        <w:t>NOT resident</w:t>
      </w:r>
      <w:r>
        <w:t xml:space="preserve"> in source state</w:t>
      </w:r>
    </w:p>
    <w:p>
      <w:pPr>
        <w:pStyle w:val="ListNumber"/>
      </w:pPr>
      <w:r>
        <w:t xml:space="preserve">Remuneration </w:t>
      </w:r>
      <w:r>
        <w:rPr>
          <w:b/>
        </w:rPr>
        <w:t>NOT borne by PE</w:t>
      </w:r>
      <w:r>
        <w:t xml:space="preserve"> in source state</w:t>
      </w:r>
    </w:p>
    <w:p>
      <w:pPr>
        <w:pStyle w:val="Heading3"/>
      </w:pPr>
      <w:r>
        <w:t>Short-Stay Exception Application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Source State Taxing Right</w:t>
            </w:r>
          </w:p>
        </w:tc>
      </w:tr>
      <w:tr>
        <w:tc>
          <w:tcPr>
            <w:tcW w:type="dxa" w:w="4320"/>
          </w:tcPr>
          <w:p>
            <w:r/>
            <w:r>
              <w:t>&lt;183 days, non-resident employer, no PE</w:t>
            </w:r>
          </w:p>
        </w:tc>
        <w:tc>
          <w:tcPr>
            <w:tcW w:type="dxa" w:w="4320"/>
          </w:tcPr>
          <w:p>
            <w:r/>
            <w:r>
              <w:t>NO (exempt)</w:t>
            </w:r>
          </w:p>
        </w:tc>
      </w:tr>
      <w:tr>
        <w:tc>
          <w:tcPr>
            <w:tcW w:type="dxa" w:w="4320"/>
          </w:tcPr>
          <w:p>
            <w:r/>
            <w:r>
              <w:t>&lt;183 days, non-resident employer, has PE</w:t>
            </w:r>
          </w:p>
        </w:tc>
        <w:tc>
          <w:tcPr>
            <w:tcW w:type="dxa" w:w="4320"/>
          </w:tcPr>
          <w:p>
            <w:r/>
            <w:r>
              <w:t>YES (PE bears cost)</w:t>
            </w:r>
          </w:p>
        </w:tc>
      </w:tr>
      <w:tr>
        <w:tc>
          <w:tcPr>
            <w:tcW w:type="dxa" w:w="4320"/>
          </w:tcPr>
          <w:p>
            <w:r/>
            <w:r>
              <w:t>&lt;183 days, resident employer</w:t>
            </w:r>
          </w:p>
        </w:tc>
        <w:tc>
          <w:tcPr>
            <w:tcW w:type="dxa" w:w="4320"/>
          </w:tcPr>
          <w:p>
            <w:r/>
            <w:r>
              <w:t>YES</w:t>
            </w:r>
          </w:p>
        </w:tc>
      </w:tr>
      <w:tr>
        <w:tc>
          <w:tcPr>
            <w:tcW w:type="dxa" w:w="4320"/>
          </w:tcPr>
          <w:p>
            <w:r/>
            <w:r>
              <w:t>≥183 days</w:t>
            </w:r>
          </w:p>
        </w:tc>
        <w:tc>
          <w:tcPr>
            <w:tcW w:type="dxa" w:w="4320"/>
          </w:tcPr>
          <w:p>
            <w:r/>
            <w:r>
              <w:t>YES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Article 23: Relief Methods</w:t>
      </w:r>
    </w:p>
    <w:p>
      <w:pPr>
        <w:pStyle w:val="Heading3"/>
      </w:pPr>
      <w:r>
        <w:t>Exemption Method (23A)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income excluded from domestic tax base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May apply with progression (exempt income affects rate on other income)</w:t>
      </w:r>
    </w:p>
    <w:p/>
    <w:p>
      <w:pPr>
        <w:pStyle w:val="Heading3"/>
      </w:pPr>
      <w:r>
        <w:t>Credit Method (23B)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income included in domestic tax base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Credit given for foreign tax paid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Credit limited to domestic tax on foreign income</w:t>
      </w:r>
    </w:p>
    <w:p/>
    <w:p>
      <w:pPr>
        <w:pStyle w:val="Heading3"/>
      </w:pPr>
      <w:r>
        <w:t>UK Approach</w:t>
      </w:r>
    </w:p>
    <w:p>
      <w:pPr>
        <w:pStyle w:val="ListBullet"/>
      </w:pPr>
      <w:r>
        <w:t xml:space="preserve">Generally uses </w:t>
      </w:r>
      <w:r>
        <w:rPr>
          <w:b/>
        </w:rPr>
        <w:t>credit method</w:t>
      </w:r>
    </w:p>
    <w:p>
      <w:pPr>
        <w:pStyle w:val="ListBullet"/>
      </w:pPr>
      <w:r>
        <w:t xml:space="preserve">Some income qualifies for </w:t>
      </w:r>
      <w:r>
        <w:rPr>
          <w:b/>
        </w:rPr>
        <w:t>exemption</w:t>
      </w:r>
      <w:r>
        <w:t xml:space="preserve"> (e.g., dividend exemption for corporates)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Common Treaty Modifications from OECD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OECD Model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Common UK Treaty Position</w:t>
            </w:r>
          </w:p>
        </w:tc>
      </w:tr>
      <w:tr>
        <w:tc>
          <w:tcPr>
            <w:tcW w:type="dxa" w:w="2880"/>
          </w:tcPr>
          <w:p>
            <w:r/>
            <w:r>
              <w:t>Company residence tie-breaker</w:t>
            </w:r>
          </w:p>
        </w:tc>
        <w:tc>
          <w:tcPr>
            <w:tcW w:type="dxa" w:w="2880"/>
          </w:tcPr>
          <w:p>
            <w:r/>
            <w:r>
              <w:t>POEM</w:t>
            </w:r>
          </w:p>
        </w:tc>
        <w:tc>
          <w:tcPr>
            <w:tcW w:type="dxa" w:w="2880"/>
          </w:tcPr>
          <w:p>
            <w:r/>
            <w:r>
              <w:t>POEM or MAP (varies)</w:t>
            </w:r>
          </w:p>
        </w:tc>
      </w:tr>
      <w:tr>
        <w:tc>
          <w:tcPr>
            <w:tcW w:type="dxa" w:w="2880"/>
          </w:tcPr>
          <w:p>
            <w:r/>
            <w:r>
              <w:t>Dividend substantial holding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  <w:tc>
          <w:tcPr>
            <w:tcW w:type="dxa" w:w="2880"/>
          </w:tcPr>
          <w:p>
            <w:r/>
            <w:r>
              <w:t>Often 10%</w:t>
            </w:r>
          </w:p>
        </w:tc>
      </w:tr>
      <w:tr>
        <w:tc>
          <w:tcPr>
            <w:tcW w:type="dxa" w:w="2880"/>
          </w:tcPr>
          <w:p>
            <w:r/>
            <w:r>
              <w:t>Interest WHT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Often 0%</w:t>
            </w:r>
          </w:p>
        </w:tc>
      </w:tr>
      <w:tr>
        <w:tc>
          <w:tcPr>
            <w:tcW w:type="dxa" w:w="2880"/>
          </w:tcPr>
          <w:p>
            <w:r/>
            <w:r>
              <w:t>Royalties WHT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  <w:tc>
          <w:tcPr>
            <w:tcW w:type="dxa" w:w="2880"/>
          </w:tcPr>
          <w:p>
            <w:r/>
            <w:r>
              <w:t>Usually 0%</w:t>
            </w:r>
          </w:p>
        </w:tc>
      </w:tr>
      <w:tr>
        <w:tc>
          <w:tcPr>
            <w:tcW w:type="dxa" w:w="2880"/>
          </w:tcPr>
          <w:p>
            <w:r/>
            <w:r>
              <w:t>PE construction threshold</w:t>
            </w:r>
          </w:p>
        </w:tc>
        <w:tc>
          <w:tcPr>
            <w:tcW w:type="dxa" w:w="2880"/>
          </w:tcPr>
          <w:p>
            <w:r/>
            <w:r>
              <w:t>12 months</w:t>
            </w:r>
          </w:p>
        </w:tc>
        <w:tc>
          <w:tcPr>
            <w:tcW w:type="dxa" w:w="2880"/>
          </w:tcPr>
          <w:p>
            <w:r/>
            <w:r>
              <w:t>6-12 months</w:t>
            </w:r>
          </w:p>
        </w:tc>
      </w:tr>
      <w:tr>
        <w:tc>
          <w:tcPr>
            <w:tcW w:type="dxa" w:w="2880"/>
          </w:tcPr>
          <w:p>
            <w:r/>
            <w:r>
              <w:t>LOB clause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  <w:tc>
          <w:tcPr>
            <w:tcW w:type="dxa" w:w="2880"/>
          </w:tcPr>
          <w:p>
            <w:r/>
            <w:r>
              <w:t>Varies (common with USA)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Treaty Abuse Prevention (Post-BEPS)</w:t>
      </w:r>
    </w:p>
    <w:p>
      <w:pPr>
        <w:pStyle w:val="Heading3"/>
      </w:pPr>
      <w:r>
        <w:t>Principal Purpose Test (PPT)</w:t>
      </w:r>
    </w:p>
    <w:p>
      <w:r>
        <w:t>Benefits denied if:</w:t>
      </w:r>
    </w:p>
    <w:p>
      <w:pPr>
        <w:pStyle w:val="ListBullet"/>
      </w:pPr>
      <w:r>
        <w:t xml:space="preserve">One of </w:t>
      </w:r>
      <w:r>
        <w:rPr>
          <w:b/>
        </w:rPr>
        <w:t>principal purposes</w:t>
      </w:r>
      <w:r>
        <w:t xml:space="preserve"> of arrangement was to obtain treaty benefit</w:t>
      </w:r>
    </w:p>
    <w:p>
      <w:pPr>
        <w:pStyle w:val="ListBullet"/>
      </w:pPr>
      <w:r>
        <w:t xml:space="preserve">Granting benefit would be </w:t>
      </w:r>
      <w:r>
        <w:rPr>
          <w:b/>
        </w:rPr>
        <w:t>contrary to object and purpose</w:t>
      </w:r>
      <w:r>
        <w:t xml:space="preserve"> of treaty</w:t>
      </w:r>
    </w:p>
    <w:p>
      <w:pPr>
        <w:pStyle w:val="Heading3"/>
      </w:pPr>
      <w:r>
        <w:t>Limitation on Benefits (LOB)</w:t>
      </w:r>
    </w:p>
    <w:p>
      <w:r>
        <w:t>Detailed tests to qualify for treaty benefits:</w:t>
      </w:r>
    </w:p>
    <w:p>
      <w:pPr>
        <w:pStyle w:val="ListBullet"/>
      </w:pPr>
      <w:r>
        <w:t>Qualified resident test</w:t>
      </w:r>
    </w:p>
    <w:p>
      <w:pPr>
        <w:pStyle w:val="ListBullet"/>
      </w:pPr>
      <w:r>
        <w:t>Active trade or business test</w:t>
      </w:r>
    </w:p>
    <w:p>
      <w:pPr>
        <w:pStyle w:val="ListBullet"/>
      </w:pPr>
      <w:r>
        <w:t>Ownership and base erosion test</w:t>
      </w:r>
    </w:p>
    <w:p>
      <w:pPr>
        <w:pStyle w:val="ListBullet"/>
      </w:pPr>
      <w:r>
        <w:t>Derivative benefits test</w:t>
      </w:r>
    </w:p>
    <w:p>
      <w:pPr>
        <w:pStyle w:val="ListBullet"/>
      </w:pPr>
      <w:r>
        <w:t>Discretionary relief</w:t>
      </w:r>
    </w:p>
    <w:p>
      <w:pPr>
        <w:pStyle w:val="Heading3"/>
      </w:pPr>
      <w:r>
        <w:t>UK Position</w:t>
      </w:r>
    </w:p>
    <w:p>
      <w:pPr>
        <w:pStyle w:val="ListBullet"/>
      </w:pPr>
      <w:r>
        <w:t>PPT included in most recent treaties</w:t>
      </w:r>
    </w:p>
    <w:p>
      <w:pPr>
        <w:pStyle w:val="ListBullet"/>
      </w:pPr>
      <w:r>
        <w:t>LOB in UK-USA treaty</w:t>
      </w:r>
    </w:p>
    <w:p>
      <w:pPr>
        <w:pStyle w:val="ListBullet"/>
      </w:pPr>
      <w:r>
        <w:t>Increasing focus on treaty shopping prevention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End of Chapter 05: Appendices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Navigation:</w:t>
      </w:r>
    </w:p>
    <w:p>
      <w:pPr>
        <w:pStyle w:val="ListBullet"/>
      </w:pPr>
      <w:r>
        <w:t>[Back to Main CheatBook](../README.md)</w:t>
      </w:r>
    </w:p>
    <w:p>
      <w:pPr>
        <w:pStyle w:val="ListBullet"/>
      </w:pPr>
      <w:r>
        <w:t>[Chapter 01: Foundation Analysis](../01_Battlefield_Intelligence/README.md)</w:t>
      </w:r>
    </w:p>
    <w:p>
      <w:pPr>
        <w:pStyle w:val="ListBullet"/>
      </w:pPr>
      <w:r>
        <w:t>[Chapter 02: Major Question Types](../02_Major_Question_Types/README.md)</w:t>
      </w:r>
    </w:p>
    <w:p>
      <w:pPr>
        <w:pStyle w:val="ListBullet"/>
      </w:pPr>
      <w:r>
        <w:t>[Chapter 03: Cross-Cutting Skills](../03_Cross_Cutting_Skills/README.md)</w:t>
      </w:r>
    </w:p>
    <w:p>
      <w:pPr>
        <w:pStyle w:val="ListBullet"/>
      </w:pPr>
      <w:r>
        <w:t>[Chapter 04: Execution Excellence](../04_Execution_Excellence/README.md)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