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use of arbitration by natural energy resource companies</w:t>
      </w:r>
    </w:p>
    <w:p>
      <w:pPr>
        <w:pStyle w:val="Heading1"/>
      </w:pPr>
      <w:r>
        <w:t>The Use of Arbitration by Natural Energy Resource Companies</w:t>
      </w:r>
    </w:p>
    <w:p>
      <w:pPr>
        <w:pStyle w:val="Heading2"/>
      </w:pPr>
      <w:r>
        <w:t>ADIT Module 3.04 - Energy Resources Option</w:t>
      </w:r>
    </w:p>
    <w:p>
      <w:pPr>
        <w:spacing w:before="120" w:after="120"/>
        <w:pBdr>
          <w:bottom w:val="single" w:sz="6" w:space="1" w:color="auto"/>
        </w:pBdr>
      </w:pPr>
    </w:p>
    <w:p>
      <w:pPr>
        <w:pStyle w:val="Heading2"/>
      </w:pPr>
      <w:r>
        <w:t>1. Core Framework: Arbitration in the Energy Sector</w:t>
      </w:r>
    </w:p>
    <w:p>
      <w:pPr>
        <w:pStyle w:val="Heading3"/>
      </w:pPr>
      <w:r>
        <w:t>1.1 Introduction to Energy Arbitration</w:t>
      </w:r>
    </w:p>
    <w:p>
      <w:r>
        <w:rPr>
          <w:b/>
        </w:rPr>
        <w:t>Arbitration</w:t>
      </w:r>
      <w:r>
        <w:t xml:space="preserve"> is the primary dispute resolution mechanism used in international oil, gas, and mining transactions. The energy industry is one of the </w:t>
      </w:r>
      <w:r>
        <w:rPr>
          <w:b/>
        </w:rPr>
        <w:t>largest users of international arbitration globally</w:t>
      </w:r>
      <w:r>
        <w:t>, with energy and resources disputes representing a substantial portion of institutional caseloads (11% of LCIA cases in 2021-2022, and oil/gas/mining accounting for 38% of ICSID cases in calendar year 2024).</w:t>
      </w:r>
    </w:p>
    <w:p>
      <w:r>
        <w:rPr>
          <w:b/>
        </w:rPr>
        <w:t>Definition:</w:t>
      </w:r>
      <w:r>
        <w:t xml:space="preserve"> </w:t>
      </w:r>
      <w:r>
        <w:rPr>
          <w:b/>
        </w:rPr>
        <w:t>Arbitration</w:t>
      </w:r>
      <w:r>
        <w:t xml:space="preserve"> is a private dispute resolution process where parties agree to submit their disputes to one or more independent arbitrators who render a binding decision (an "award") enforceable in courts worldwide under the </w:t>
      </w:r>
      <w:r>
        <w:rPr>
          <w:b/>
        </w:rPr>
        <w:t>Convention on the Recognition and Enforcement of Foreign Arbitral Awards 1958</w:t>
      </w:r>
      <w:r>
        <w:t xml:space="preserve"> (New York Convention). The New York Convention has 172 contracting states (as of 2024), providing near-universal enforceability of arbitral awards—a significant advantage over court judgments, which face substantial enforcement limitations across borders.</w:t>
      </w:r>
    </w:p>
    <w:p>
      <w:pPr>
        <w:pStyle w:val="Heading3"/>
      </w:pPr>
      <w:r>
        <w:t>1.2 Why Energy Companies Prefer Arbitration</w:t>
      </w:r>
    </w:p>
    <w:p>
      <w:r>
        <w:t>The preference for arbitration over litigation in national courts stems from unique characteristics of energy investments:</w:t>
      </w:r>
    </w:p>
    <w:p>
      <w:r>
        <w:rPr>
          <w:b/>
        </w:rPr>
        <w:t>1. Political and Sovereign Risk</w:t>
      </w:r>
    </w:p>
    <w:p>
      <w:pPr>
        <w:pStyle w:val="ListBullet"/>
      </w:pPr>
      <w:r>
        <w:t xml:space="preserve">Energy projects often involve </w:t>
      </w:r>
      <w:r>
        <w:rPr>
          <w:b/>
        </w:rPr>
        <w:t>state parties</w:t>
      </w:r>
      <w:r>
        <w:t xml:space="preserve"> or </w:t>
      </w:r>
      <w:r>
        <w:rPr>
          <w:b/>
        </w:rPr>
        <w:t>state-owned enterprises</w:t>
      </w:r>
      <w:r>
        <w:t xml:space="preserve"> (</w:t>
      </w:r>
      <w:r>
        <w:rPr>
          <w:b/>
        </w:rPr>
        <w:t>National Oil Companies</w:t>
      </w:r>
      <w:r>
        <w:t xml:space="preserve"> or NOCs)</w:t>
      </w:r>
    </w:p>
    <w:p>
      <w:pPr>
        <w:pStyle w:val="ListBullet"/>
      </w:pPr>
      <w:r>
        <w:rPr>
          <w:b/>
        </w:rPr>
        <w:t>Neutrality concern</w:t>
      </w:r>
      <w:r>
        <w:t>: Domestic courts may be biased toward the host state</w:t>
      </w:r>
    </w:p>
    <w:p>
      <w:pPr>
        <w:pStyle w:val="ListBullet"/>
      </w:pPr>
      <w:r>
        <w:rPr>
          <w:b/>
        </w:rPr>
        <w:t>Arbitration provides neutral forum</w:t>
      </w:r>
      <w:r>
        <w:t xml:space="preserve"> outside the host country's jurisdiction</w:t>
      </w:r>
    </w:p>
    <w:p>
      <w:r>
        <w:rPr>
          <w:b/>
        </w:rPr>
        <w:t>2. Technical Complexity</w:t>
      </w:r>
    </w:p>
    <w:p>
      <w:pPr>
        <w:pStyle w:val="ListBullet"/>
      </w:pPr>
      <w:r>
        <w:t xml:space="preserve">Energy disputes involve </w:t>
      </w:r>
      <w:r>
        <w:rPr>
          <w:b/>
        </w:rPr>
        <w:t>specialized technical issues</w:t>
      </w:r>
      <w:r>
        <w:t xml:space="preserve"> (reservoir engineering, geology, pricing mechanisms)</w:t>
      </w:r>
    </w:p>
    <w:p>
      <w:pPr>
        <w:pStyle w:val="ListBullet"/>
      </w:pPr>
      <w:r>
        <w:t xml:space="preserve">Parties can </w:t>
      </w:r>
      <w:r>
        <w:rPr>
          <w:b/>
        </w:rPr>
        <w:t>appoint arbitrators with energy expertise</w:t>
      </w:r>
    </w:p>
    <w:p>
      <w:pPr>
        <w:pStyle w:val="ListBullet"/>
      </w:pPr>
      <w:r>
        <w:t xml:space="preserve">Courts may lack understanding of </w:t>
      </w:r>
      <w:r>
        <w:rPr>
          <w:b/>
        </w:rPr>
        <w:t>Production Sharing Contract (PSC)</w:t>
      </w:r>
      <w:r>
        <w:t xml:space="preserve"> mechanics, cost recovery calculations, or R-Factor (ratio of cumulative revenues to cumulative costs) determinations</w:t>
      </w:r>
    </w:p>
    <w:p>
      <w:r>
        <w:rPr>
          <w:b/>
        </w:rPr>
        <w:t>3. Confidentiality</w:t>
      </w:r>
    </w:p>
    <w:p>
      <w:pPr>
        <w:pStyle w:val="ListBullet"/>
      </w:pPr>
      <w:r>
        <w:t xml:space="preserve">Arbitration proceedings are </w:t>
      </w:r>
      <w:r>
        <w:rPr>
          <w:b/>
        </w:rPr>
        <w:t>private</w:t>
      </w:r>
      <w:r>
        <w:t xml:space="preserve"> (unlike public court hearings)</w:t>
      </w:r>
    </w:p>
    <w:p>
      <w:pPr>
        <w:pStyle w:val="ListBullet"/>
      </w:pPr>
      <w:r>
        <w:t xml:space="preserve">Protects </w:t>
      </w:r>
      <w:r>
        <w:rPr>
          <w:b/>
        </w:rPr>
        <w:t>commercially sensitive information</w:t>
      </w:r>
      <w:r>
        <w:t xml:space="preserve"> (production data, pricing formulas, cost structures)</w:t>
      </w:r>
    </w:p>
    <w:p>
      <w:pPr>
        <w:pStyle w:val="ListBullet"/>
      </w:pPr>
      <w:r>
        <w:t>Avoids reputational damage from public disputes</w:t>
      </w:r>
    </w:p>
    <w:p>
      <w:r>
        <w:rPr>
          <w:b/>
        </w:rPr>
        <w:t>4. Enforceability</w:t>
      </w:r>
    </w:p>
    <w:p>
      <w:pPr>
        <w:pStyle w:val="ListBullet"/>
      </w:pPr>
      <w:r>
        <w:rPr>
          <w:b/>
        </w:rPr>
        <w:t>New York Convention (1958)</w:t>
      </w:r>
      <w:r>
        <w:t xml:space="preserve">: Arbitral awards enforceable in </w:t>
      </w:r>
      <w:r>
        <w:rPr>
          <w:b/>
        </w:rPr>
        <w:t>172 countries</w:t>
      </w:r>
    </w:p>
    <w:p>
      <w:pPr>
        <w:pStyle w:val="ListBullet"/>
      </w:pPr>
      <w:r>
        <w:t>Significantly broader than court judgment enforcement (which requires bilateral treaties or reciprocity arrangements with limited geographic coverage)</w:t>
      </w:r>
    </w:p>
    <w:p>
      <w:pPr>
        <w:pStyle w:val="ListBullet"/>
      </w:pPr>
      <w:r>
        <w:t>Critical for cross-border asset recovery: Energy companies can enforce awards against state-owned assets globally (e.g., NOC bank accounts, oil shipments, offshore assets)</w:t>
      </w:r>
    </w:p>
    <w:p>
      <w:pPr>
        <w:pStyle w:val="ListBullet"/>
      </w:pPr>
      <w:r>
        <w:rPr>
          <w:b/>
        </w:rPr>
        <w:t>Policy rationale</w:t>
      </w:r>
      <w:r>
        <w:t>: Facilitates international commerce by creating predictable enforcement mechanism, encouraging cross-border investment in capital-intensive energy projects</w:t>
      </w:r>
    </w:p>
    <w:p>
      <w:r>
        <w:rPr>
          <w:b/>
        </w:rPr>
        <w:t>5. Party Autonomy</w:t>
      </w:r>
    </w:p>
    <w:p>
      <w:pPr>
        <w:pStyle w:val="ListBullet"/>
      </w:pPr>
      <w:r>
        <w:t xml:space="preserve">Parties choose: </w:t>
      </w:r>
      <w:r>
        <w:rPr>
          <w:b/>
        </w:rPr>
        <w:t>arbitrators</w:t>
      </w:r>
      <w:r>
        <w:t xml:space="preserve">, </w:t>
      </w:r>
      <w:r>
        <w:rPr>
          <w:b/>
        </w:rPr>
        <w:t>seat of arbitration</w:t>
      </w:r>
      <w:r>
        <w:t xml:space="preserve">, </w:t>
      </w:r>
      <w:r>
        <w:rPr>
          <w:b/>
        </w:rPr>
        <w:t>governing law</w:t>
      </w:r>
      <w:r>
        <w:t xml:space="preserve">, </w:t>
      </w:r>
      <w:r>
        <w:rPr>
          <w:b/>
        </w:rPr>
        <w:t>procedural rules</w:t>
      </w:r>
    </w:p>
    <w:p>
      <w:pPr>
        <w:pStyle w:val="ListBullet"/>
      </w:pPr>
      <w:r>
        <w:t>Flexibility to tailor process to dispute complexity</w:t>
      </w:r>
    </w:p>
    <w:p>
      <w:pPr>
        <w:pStyle w:val="Heading3"/>
      </w:pPr>
      <w:r>
        <w:t>1.3 Prevalence in Energy Sector (2024 Statistics)</w:t>
      </w:r>
    </w:p>
    <w:p>
      <w:r>
        <w:rPr>
          <w:b/>
        </w:rPr>
        <w:t>ICSID (World Bank) Statistics - Calendar Year 2024:</w:t>
      </w:r>
    </w:p>
    <w:p>
      <w:pPr>
        <w:pStyle w:val="ListBullet"/>
      </w:pPr>
      <w:r>
        <w:rPr>
          <w:b/>
        </w:rPr>
        <w:t>55 new cases registered</w:t>
      </w:r>
      <w:r>
        <w:t xml:space="preserve"> in 2024 (similar to 57 in 2023)</w:t>
      </w:r>
    </w:p>
    <w:p>
      <w:pPr>
        <w:pStyle w:val="ListBullet"/>
      </w:pPr>
      <w:r>
        <w:rPr>
          <w:b/>
        </w:rPr>
        <w:t>38% of new cases</w:t>
      </w:r>
      <w:r>
        <w:t xml:space="preserve"> involved </w:t>
      </w:r>
      <w:r>
        <w:rPr>
          <w:b/>
        </w:rPr>
        <w:t>oil, gas, and mining sectors</w:t>
      </w:r>
      <w:r>
        <w:t xml:space="preserve"> (up from 23% in 2023)</w:t>
      </w:r>
    </w:p>
    <w:p>
      <w:pPr>
        <w:pStyle w:val="ListBullet"/>
      </w:pPr>
      <w:r>
        <w:rPr>
          <w:b/>
        </w:rPr>
        <w:t>24% of new cases</w:t>
      </w:r>
      <w:r>
        <w:t xml:space="preserve"> in </w:t>
      </w:r>
      <w:r>
        <w:rPr>
          <w:b/>
        </w:rPr>
        <w:t>electric power and other energy sources</w:t>
      </w:r>
      <w:r>
        <w:t xml:space="preserve"> (up from 12% in 2023)</w:t>
      </w:r>
    </w:p>
    <w:p>
      <w:pPr>
        <w:pStyle w:val="ListBullet"/>
      </w:pPr>
      <w:r>
        <w:t xml:space="preserve">Combined energy-related sectors accounted for </w:t>
      </w:r>
      <w:r>
        <w:rPr>
          <w:b/>
        </w:rPr>
        <w:t>62% of all new ICSID cases</w:t>
      </w:r>
      <w:r>
        <w:t xml:space="preserve"> in 2024, demonstrating the dominance of energy disputes in investment arbitration</w:t>
      </w:r>
    </w:p>
    <w:p>
      <w:r>
        <w:rPr>
          <w:b/>
        </w:rPr>
        <w:t>ICC (International Chamber of Commerce) - 2024:</w:t>
      </w:r>
    </w:p>
    <w:p>
      <w:pPr>
        <w:pStyle w:val="ListBullet"/>
      </w:pPr>
      <w:r>
        <w:rPr>
          <w:b/>
        </w:rPr>
        <w:t>841 new cases registered</w:t>
      </w:r>
    </w:p>
    <w:p>
      <w:pPr>
        <w:pStyle w:val="ListBullet"/>
      </w:pPr>
      <w:r>
        <w:rPr>
          <w:b/>
        </w:rPr>
        <w:t>Energy disputes comprised 170 cases (20.5%)</w:t>
      </w:r>
      <w:r>
        <w:t>, making it the second-largest sector</w:t>
      </w:r>
    </w:p>
    <w:p>
      <w:pPr>
        <w:pStyle w:val="ListBullet"/>
      </w:pPr>
      <w:r>
        <w:rPr>
          <w:b/>
        </w:rPr>
        <w:t>Construction/engineering and energy combined: 44%</w:t>
      </w:r>
      <w:r>
        <w:t xml:space="preserve"> of all new cases</w:t>
      </w:r>
    </w:p>
    <w:p>
      <w:pPr>
        <w:pStyle w:val="ListBullet"/>
      </w:pPr>
      <w:r>
        <w:rPr>
          <w:b/>
        </w:rPr>
        <w:t>Total caseload value: $354 billion</w:t>
      </w:r>
      <w:r>
        <w:t xml:space="preserve"> (record-breaking)</w:t>
      </w:r>
    </w:p>
    <w:p>
      <w:pPr>
        <w:pStyle w:val="ListBullet"/>
      </w:pPr>
      <w:r>
        <w:rPr>
          <w:b/>
        </w:rPr>
        <w:t>$102 billion</w:t>
      </w:r>
      <w:r>
        <w:t xml:space="preserve"> in new dispute values registered in 2024</w:t>
      </w:r>
    </w:p>
    <w:p>
      <w:r>
        <w:rPr>
          <w:b/>
        </w:rPr>
        <w:t>Geographic Concentration:</w:t>
      </w:r>
    </w:p>
    <w:p>
      <w:pPr>
        <w:pStyle w:val="ListBullet"/>
      </w:pPr>
      <w:r>
        <w:rPr>
          <w:b/>
        </w:rPr>
        <w:t>Latin America</w:t>
      </w:r>
      <w:r>
        <w:t>: Highest regional concentration of energy-related ICSID cases</w:t>
      </w:r>
    </w:p>
    <w:p>
      <w:pPr>
        <w:pStyle w:val="ListBullet"/>
      </w:pPr>
      <w:r>
        <w:rPr>
          <w:b/>
        </w:rPr>
        <w:t>Eastern Europe and Central Asia</w:t>
      </w:r>
      <w:r>
        <w:t>: Significant share of cases</w:t>
      </w:r>
    </w:p>
    <w:p>
      <w:pPr>
        <w:pStyle w:val="ListBullet"/>
      </w:pPr>
      <w:r>
        <w:rPr>
          <w:b/>
        </w:rPr>
        <w:t>Africa and Middle East</w:t>
      </w:r>
      <w:r>
        <w:t>: Increasing representation in infrastructure and extractive industry disputes</w:t>
      </w:r>
    </w:p>
    <w:p>
      <w:pPr>
        <w:pStyle w:val="ListBullet"/>
      </w:pPr>
      <w:r>
        <w:t>Reflects concentration of energy resources and investment flows</w:t>
      </w:r>
    </w:p>
    <w:p>
      <w:pPr>
        <w:spacing w:before="120" w:after="120"/>
        <w:pBdr>
          <w:bottom w:val="single" w:sz="6" w:space="1" w:color="auto"/>
        </w:pBdr>
      </w:pPr>
    </w:p>
    <w:p>
      <w:pPr>
        <w:pStyle w:val="Heading2"/>
      </w:pPr>
      <w:r>
        <w:t>2. Types of Energy Arbitration</w:t>
      </w:r>
    </w:p>
    <w:p>
      <w:pPr>
        <w:pStyle w:val="Heading3"/>
      </w:pPr>
      <w:r>
        <w:t>2.1 Commercial Arbitration</w:t>
      </w:r>
    </w:p>
    <w:p>
      <w:r>
        <w:rPr>
          <w:b/>
        </w:rPr>
        <w:t>Definition:</w:t>
      </w:r>
      <w:r>
        <w:t xml:space="preserve"> </w:t>
      </w:r>
      <w:r>
        <w:rPr>
          <w:b/>
        </w:rPr>
        <w:t>Commercial arbitration</w:t>
      </w:r>
      <w:r>
        <w:t xml:space="preserve"> resolves disputes between </w:t>
      </w:r>
      <w:r>
        <w:rPr>
          <w:b/>
        </w:rPr>
        <w:t>private parties</w:t>
      </w:r>
      <w:r>
        <w:t xml:space="preserve"> arising from </w:t>
      </w:r>
      <w:r>
        <w:rPr>
          <w:b/>
        </w:rPr>
        <w:t>commercial contracts</w:t>
      </w:r>
      <w:r>
        <w:t xml:space="preserve"> (Production Sharing Contracts, </w:t>
      </w:r>
      <w:r>
        <w:rPr>
          <w:b/>
        </w:rPr>
        <w:t>Joint Operating Agreements (JOAs)</w:t>
      </w:r>
      <w:r>
        <w:t>, sale and purchase agreements, drilling contracts).</w:t>
      </w:r>
    </w:p>
    <w:p>
      <w:r>
        <w:rPr>
          <w:b/>
        </w:rPr>
        <w:t>Governing Rules:</w:t>
      </w:r>
    </w:p>
    <w:p>
      <w:pPr>
        <w:pStyle w:val="ListBullet"/>
      </w:pPr>
      <w:r>
        <w:rPr>
          <w:b/>
        </w:rPr>
        <w:t>ICC Arbitration Rules</w:t>
      </w:r>
      <w:r>
        <w:t xml:space="preserve"> (Paris)</w:t>
      </w:r>
    </w:p>
    <w:p>
      <w:pPr>
        <w:pStyle w:val="ListBullet"/>
      </w:pPr>
      <w:r>
        <w:rPr>
          <w:b/>
        </w:rPr>
        <w:t>LCIA Rules</w:t>
      </w:r>
      <w:r>
        <w:t xml:space="preserve"> (London Court of International Arbitration)</w:t>
      </w:r>
    </w:p>
    <w:p>
      <w:pPr>
        <w:pStyle w:val="ListBullet"/>
      </w:pPr>
      <w:r>
        <w:rPr>
          <w:b/>
        </w:rPr>
        <w:t>SIAC Rules</w:t>
      </w:r>
      <w:r>
        <w:t xml:space="preserve"> (Singapore International Arbitration Centre)</w:t>
      </w:r>
    </w:p>
    <w:p>
      <w:pPr>
        <w:pStyle w:val="ListBullet"/>
      </w:pPr>
      <w:r>
        <w:rPr>
          <w:b/>
        </w:rPr>
        <w:t>HKIAC Rules</w:t>
      </w:r>
      <w:r>
        <w:t xml:space="preserve"> (Hong Kong)</w:t>
      </w:r>
    </w:p>
    <w:p>
      <w:pPr>
        <w:pStyle w:val="ListBullet"/>
      </w:pPr>
      <w:r>
        <w:rPr>
          <w:b/>
        </w:rPr>
        <w:t>UNCITRAL Arbitration Rules</w:t>
      </w:r>
      <w:r>
        <w:t xml:space="preserve"> (ad hoc, no administering institution)</w:t>
      </w:r>
    </w:p>
    <w:p>
      <w:r>
        <w:rPr>
          <w:b/>
        </w:rPr>
        <w:t>Common Disputes:</w:t>
      </w:r>
    </w:p>
    <w:p>
      <w:pPr>
        <w:pStyle w:val="ListNumber"/>
      </w:pPr>
      <w:r>
        <w:rPr>
          <w:b/>
        </w:rPr>
        <w:t>PSC-related</w:t>
      </w:r>
      <w:r>
        <w:t>:</w:t>
      </w:r>
    </w:p>
    <w:p>
      <w:pPr>
        <w:pStyle w:val="ListBullet"/>
        <w:ind w:left="360"/>
      </w:pPr>
      <w:r>
        <w:t>Cost recovery disputes (inflated affiliate charges, unrecoverable costs)</w:t>
      </w:r>
    </w:p>
    <w:p>
      <w:pPr>
        <w:pStyle w:val="ListBullet"/>
        <w:ind w:left="360"/>
      </w:pPr>
      <w:r>
        <w:t>Profit oil split calculations</w:t>
      </w:r>
    </w:p>
    <w:p>
      <w:pPr>
        <w:pStyle w:val="ListBullet"/>
        <w:ind w:left="360"/>
      </w:pPr>
      <w:r>
        <w:t>Price review clauses (gas price renegotiation)</w:t>
      </w:r>
    </w:p>
    <w:p>
      <w:pPr>
        <w:pStyle w:val="ListBullet"/>
        <w:ind w:left="360"/>
      </w:pPr>
      <w:r>
        <w:t>Contract termination and force majeure</w:t>
      </w:r>
    </w:p>
    <w:p>
      <w:pPr>
        <w:pStyle w:val="ListBullet"/>
        <w:ind w:left="360"/>
      </w:pPr>
      <w:r>
        <w:t>Stabilization clause breaches</w:t>
      </w:r>
    </w:p>
    <w:p>
      <w:pPr>
        <w:pStyle w:val="ListNumber"/>
      </w:pPr>
      <w:r>
        <w:rPr>
          <w:b/>
        </w:rPr>
        <w:t>Joint Operating Agreements (JOAs)</w:t>
      </w:r>
      <w:r>
        <w:t>:</w:t>
      </w:r>
    </w:p>
    <w:p>
      <w:pPr>
        <w:pStyle w:val="ListBullet"/>
        <w:ind w:left="360"/>
      </w:pPr>
      <w:r>
        <w:t>Operator performance and removal</w:t>
      </w:r>
    </w:p>
    <w:p>
      <w:pPr>
        <w:pStyle w:val="ListBullet"/>
        <w:ind w:left="360"/>
      </w:pPr>
      <w:r>
        <w:t>Default by non-operating partners</w:t>
      </w:r>
    </w:p>
    <w:p>
      <w:pPr>
        <w:pStyle w:val="ListBullet"/>
        <w:ind w:left="360"/>
      </w:pPr>
      <w:r>
        <w:t>Exclusive operations and withdrawal rights</w:t>
      </w:r>
    </w:p>
    <w:p>
      <w:pPr>
        <w:pStyle w:val="ListNumber"/>
      </w:pPr>
      <w:r>
        <w:rPr>
          <w:b/>
        </w:rPr>
        <w:t>Drilling and Service Contracts</w:t>
      </w:r>
      <w:r>
        <w:t>:</w:t>
      </w:r>
    </w:p>
    <w:p>
      <w:pPr>
        <w:pStyle w:val="ListBullet"/>
        <w:ind w:left="360"/>
      </w:pPr>
      <w:r>
        <w:t>Delay and performance failures</w:t>
      </w:r>
    </w:p>
    <w:p>
      <w:pPr>
        <w:pStyle w:val="ListBullet"/>
        <w:ind w:left="360"/>
      </w:pPr>
      <w:r>
        <w:t>Day-rate disputes and standby charges</w:t>
      </w:r>
    </w:p>
    <w:p>
      <w:pPr>
        <w:pStyle w:val="ListBullet"/>
        <w:ind w:left="360"/>
      </w:pPr>
      <w:r>
        <w:t>Equipment damage and liability</w:t>
      </w:r>
    </w:p>
    <w:p>
      <w:pPr>
        <w:pStyle w:val="ListNumber"/>
      </w:pPr>
      <w:r>
        <w:rPr>
          <w:b/>
        </w:rPr>
        <w:t>LNG Sale and Purchase Agreements</w:t>
      </w:r>
      <w:r>
        <w:t>:</w:t>
      </w:r>
    </w:p>
    <w:p>
      <w:pPr>
        <w:pStyle w:val="ListBullet"/>
        <w:ind w:left="360"/>
      </w:pPr>
      <w:r>
        <w:t>Take-or-pay disputes</w:t>
      </w:r>
    </w:p>
    <w:p>
      <w:pPr>
        <w:pStyle w:val="ListBullet"/>
        <w:ind w:left="360"/>
      </w:pPr>
      <w:r>
        <w:t>Destination clause restrictions</w:t>
      </w:r>
    </w:p>
    <w:p>
      <w:pPr>
        <w:pStyle w:val="ListBullet"/>
        <w:ind w:left="360"/>
      </w:pPr>
      <w:r>
        <w:t>Price review mechanisms</w:t>
      </w:r>
    </w:p>
    <w:p>
      <w:r>
        <w:rPr>
          <w:b/>
        </w:rPr>
        <w:t>Seat Selection:</w:t>
      </w:r>
    </w:p>
    <w:p>
      <w:pPr>
        <w:pStyle w:val="ListBullet"/>
      </w:pPr>
      <w:r>
        <w:rPr>
          <w:b/>
        </w:rPr>
        <w:t>London</w:t>
      </w:r>
      <w:r>
        <w:t>: Most common for European/African disputes (strong arbitration law, experienced courts)</w:t>
      </w:r>
    </w:p>
    <w:p>
      <w:pPr>
        <w:pStyle w:val="ListBullet"/>
      </w:pPr>
      <w:r>
        <w:rPr>
          <w:b/>
        </w:rPr>
        <w:t>Singapore</w:t>
      </w:r>
      <w:r>
        <w:t>: Preferred for Asia-Pacific disputes (neutral, pro-arbitration judiciary)</w:t>
      </w:r>
    </w:p>
    <w:p>
      <w:pPr>
        <w:pStyle w:val="ListBullet"/>
      </w:pPr>
      <w:r>
        <w:rPr>
          <w:b/>
        </w:rPr>
        <w:t>Paris</w:t>
      </w:r>
      <w:r>
        <w:t>: ICC arbitrations, particularly French-speaking jurisdictions</w:t>
      </w:r>
    </w:p>
    <w:p>
      <w:pPr>
        <w:pStyle w:val="ListBullet"/>
      </w:pPr>
      <w:r>
        <w:rPr>
          <w:b/>
        </w:rPr>
        <w:t>Houston</w:t>
      </w:r>
      <w:r>
        <w:t>: U.S. energy disputes (proximity to industry expertise)</w:t>
      </w:r>
    </w:p>
    <w:p>
      <w:pPr>
        <w:pStyle w:val="ListBullet"/>
      </w:pPr>
      <w:r>
        <w:rPr>
          <w:b/>
        </w:rPr>
        <w:t>Dubai (DIFC)</w:t>
      </w:r>
      <w:r>
        <w:t>: Emerging for Middle East disputes</w:t>
      </w:r>
    </w:p>
    <w:p>
      <w:r>
        <w:rPr>
          <w:b/>
        </w:rPr>
        <w:t>Example Case: *Sonatrach v. Statoil* (ICC Arbitration)</w:t>
      </w:r>
    </w:p>
    <w:p>
      <w:r>
        <w:t xml:space="preserve">Algeria's NOC (Sonatrach) disputed gas pricing terms with Norway's Statoil under a long-term supply contract. Following market price collapses, Sonatrach invoked </w:t>
      </w:r>
      <w:r>
        <w:rPr>
          <w:b/>
        </w:rPr>
        <w:t>price review clause</w:t>
      </w:r>
      <w:r>
        <w:t>, seeking reduction. ICC tribunal (seated in Paris) adjusted pricing formula, balancing commercial expectations. Award: ~€1 billion adjustment [ICC Case, 2010].</w:t>
      </w:r>
    </w:p>
    <w:p>
      <w:pPr>
        <w:pStyle w:val="Heading3"/>
      </w:pPr>
      <w:r>
        <w:t>2.2 Investment Arbitration (Investor-State Dispute Settlement - ISDS)</w:t>
      </w:r>
    </w:p>
    <w:p>
      <w:r>
        <w:rPr>
          <w:b/>
        </w:rPr>
        <w:t>Definition:</w:t>
      </w:r>
      <w:r>
        <w:t xml:space="preserve"> </w:t>
      </w:r>
      <w:r>
        <w:rPr>
          <w:b/>
        </w:rPr>
        <w:t>Investment arbitration</w:t>
      </w:r>
      <w:r>
        <w:t xml:space="preserve"> resolves disputes between </w:t>
      </w:r>
      <w:r>
        <w:rPr>
          <w:b/>
        </w:rPr>
        <w:t>foreign investors</w:t>
      </w:r>
      <w:r>
        <w:t xml:space="preserve"> and </w:t>
      </w:r>
      <w:r>
        <w:rPr>
          <w:b/>
        </w:rPr>
        <w:t>host states</w:t>
      </w:r>
      <w:r>
        <w:t xml:space="preserve"> based on </w:t>
      </w:r>
      <w:r>
        <w:rPr>
          <w:b/>
        </w:rPr>
        <w:t>international investment agreements</w:t>
      </w:r>
      <w:r>
        <w:t xml:space="preserve"> (</w:t>
      </w:r>
      <w:r>
        <w:rPr>
          <w:b/>
        </w:rPr>
        <w:t>Bilateral Investment Treaties (BITs)</w:t>
      </w:r>
      <w:r>
        <w:t xml:space="preserve">, multilateral treaties like the </w:t>
      </w:r>
      <w:r>
        <w:rPr>
          <w:b/>
        </w:rPr>
        <w:t>Energy Charter Treaty (ECT)</w:t>
      </w:r>
      <w:r>
        <w:t>).</w:t>
      </w:r>
    </w:p>
    <w:p>
      <w:r>
        <w:rPr>
          <w:b/>
        </w:rPr>
        <w:t>Policy Rationale:</w:t>
      </w:r>
      <w:r>
        <w:t xml:space="preserve"> Investment arbitration addresses the fundamental power imbalance between sovereign states and private investors. Host states control their legal systems, can change laws retroactively, and enjoy sovereign immunity in their own courts. Investment treaties provide investors with neutral dispute resolution forum and substantive protections (expropriation compensation, fair treatment), thereby reducing political risk and encouraging foreign direct investment in resource-rich but legally uncertain jurisdictions.</w:t>
      </w:r>
    </w:p>
    <w:p>
      <w:r>
        <w:rPr>
          <w:b/>
        </w:rPr>
        <w:t>Governing Instruments:</w:t>
      </w:r>
    </w:p>
    <w:p>
      <w:pPr>
        <w:pStyle w:val="ListBullet"/>
      </w:pPr>
      <w:r>
        <w:rPr>
          <w:b/>
        </w:rPr>
        <w:t>ICSID Convention</w:t>
      </w:r>
      <w:r>
        <w:t xml:space="preserve"> (Washington Convention 1965)</w:t>
      </w:r>
    </w:p>
    <w:p>
      <w:pPr>
        <w:pStyle w:val="ListBullet"/>
      </w:pPr>
      <w:r>
        <w:rPr>
          <w:b/>
        </w:rPr>
        <w:t>ICSID Additional Facility Rules</w:t>
      </w:r>
      <w:r>
        <w:t xml:space="preserve"> (for non-Convention states)</w:t>
      </w:r>
    </w:p>
    <w:p>
      <w:pPr>
        <w:pStyle w:val="ListBullet"/>
      </w:pPr>
      <w:r>
        <w:rPr>
          <w:b/>
        </w:rPr>
        <w:t>UNCITRAL Rules</w:t>
      </w:r>
      <w:r>
        <w:t xml:space="preserve"> (often used with BITs)</w:t>
      </w:r>
    </w:p>
    <w:p>
      <w:pPr>
        <w:pStyle w:val="ListBullet"/>
      </w:pPr>
      <w:r>
        <w:rPr>
          <w:b/>
        </w:rPr>
        <w:t>SCC Rules</w:t>
      </w:r>
      <w:r>
        <w:t xml:space="preserve"> (Stockholm - common for ECT disputes)</w:t>
      </w:r>
    </w:p>
    <w:p>
      <w:r>
        <w:rPr>
          <w:b/>
        </w:rPr>
        <w:t>Jurisdictional Basis (2024):</w:t>
      </w:r>
    </w:p>
    <w:p>
      <w:pPr>
        <w:pStyle w:val="ListBullet"/>
      </w:pPr>
      <w:r>
        <w:rPr>
          <w:b/>
        </w:rPr>
        <w:t>52% Bilateral Investment Treaties (BITs)</w:t>
      </w:r>
    </w:p>
    <w:p>
      <w:pPr>
        <w:pStyle w:val="ListBullet"/>
      </w:pPr>
      <w:r>
        <w:rPr>
          <w:b/>
        </w:rPr>
        <w:t>14% Energy Charter Treaty (ECT)</w:t>
      </w:r>
    </w:p>
    <w:p>
      <w:pPr>
        <w:pStyle w:val="ListBullet"/>
      </w:pPr>
      <w:r>
        <w:rPr>
          <w:b/>
        </w:rPr>
        <w:t>14% Direct investor-state contracts</w:t>
      </w:r>
    </w:p>
    <w:p>
      <w:pPr>
        <w:pStyle w:val="ListBullet"/>
      </w:pPr>
      <w:r>
        <w:rPr>
          <w:b/>
        </w:rPr>
        <w:t>12% Free Trade Agreements (FTAs)</w:t>
      </w:r>
    </w:p>
    <w:p>
      <w:pPr>
        <w:pStyle w:val="ListBullet"/>
      </w:pPr>
      <w:r>
        <w:rPr>
          <w:b/>
        </w:rPr>
        <w:t>8% National investment laws</w:t>
      </w:r>
      <w:r>
        <w:t xml:space="preserve"> [ICSID, 2024]</w:t>
      </w:r>
    </w:p>
    <w:p>
      <w:r>
        <w:rPr>
          <w:b/>
        </w:rPr>
        <w:t>Common Claims:</w:t>
      </w:r>
    </w:p>
    <w:p>
      <w:pPr>
        <w:pStyle w:val="ListNumber"/>
      </w:pPr>
      <w:r>
        <w:rPr>
          <w:b/>
        </w:rPr>
        <w:t>Expropriation</w:t>
      </w:r>
      <w:r>
        <w:t xml:space="preserve"> (Article III of most BITs):</w:t>
      </w:r>
    </w:p>
    <w:p>
      <w:pPr>
        <w:pStyle w:val="ListBullet"/>
        <w:ind w:left="360"/>
      </w:pPr>
      <w:r>
        <w:rPr>
          <w:b/>
        </w:rPr>
        <w:t>Direct expropriation</w:t>
      </w:r>
      <w:r>
        <w:t>: Nationalization, contract termination without compensation</w:t>
      </w:r>
    </w:p>
    <w:p>
      <w:pPr>
        <w:pStyle w:val="ListBullet"/>
        <w:ind w:left="360"/>
      </w:pPr>
      <w:r>
        <w:rPr>
          <w:b/>
        </w:rPr>
        <w:t>Indirect expropriation</w:t>
      </w:r>
      <w:r>
        <w:t>: Regulatory measures substantially depriving investment value (e.g., windfall taxes, production bans)</w:t>
      </w:r>
    </w:p>
    <w:p>
      <w:pPr>
        <w:pStyle w:val="ListNumber"/>
      </w:pPr>
      <w:r>
        <w:rPr>
          <w:b/>
        </w:rPr>
        <w:t>Fair and Equitable Treatment (FET)</w:t>
      </w:r>
      <w:r>
        <w:t xml:space="preserve"> (Article II of most BITs):</w:t>
      </w:r>
    </w:p>
    <w:p>
      <w:pPr>
        <w:pStyle w:val="ListBullet"/>
        <w:ind w:left="360"/>
      </w:pPr>
      <w:r>
        <w:t>Breach of legitimate expectations (PSC stabilization clause violations)</w:t>
      </w:r>
    </w:p>
    <w:p>
      <w:pPr>
        <w:pStyle w:val="ListBullet"/>
        <w:ind w:left="360"/>
      </w:pPr>
      <w:r>
        <w:t>Arbitrary or discriminatory treatment</w:t>
      </w:r>
    </w:p>
    <w:p>
      <w:pPr>
        <w:pStyle w:val="ListBullet"/>
        <w:ind w:left="360"/>
      </w:pPr>
      <w:r>
        <w:t>Denial of justice</w:t>
      </w:r>
    </w:p>
    <w:p>
      <w:pPr>
        <w:pStyle w:val="ListNumber"/>
      </w:pPr>
      <w:r>
        <w:rPr>
          <w:b/>
        </w:rPr>
        <w:t>Full Protection and Security</w:t>
      </w:r>
      <w:r>
        <w:t>:</w:t>
      </w:r>
    </w:p>
    <w:p>
      <w:pPr>
        <w:pStyle w:val="ListBullet"/>
        <w:ind w:left="360"/>
      </w:pPr>
      <w:r>
        <w:t>Physical security failures (attacks on facilities)</w:t>
      </w:r>
    </w:p>
    <w:p>
      <w:pPr>
        <w:pStyle w:val="ListBullet"/>
        <w:ind w:left="360"/>
      </w:pPr>
      <w:r>
        <w:t>Legal security (failure to enforce contracts)</w:t>
      </w:r>
    </w:p>
    <w:p>
      <w:pPr>
        <w:pStyle w:val="ListNumber"/>
      </w:pPr>
      <w:r>
        <w:rPr>
          <w:b/>
        </w:rPr>
        <w:t>Umbrella Clause Violations</w:t>
      </w:r>
      <w:r>
        <w:t>:</w:t>
      </w:r>
    </w:p>
    <w:p>
      <w:pPr>
        <w:pStyle w:val="ListBullet"/>
        <w:ind w:left="360"/>
      </w:pPr>
      <w:r>
        <w:t>Breach of state contractual commitments elevated to treaty breach</w:t>
      </w:r>
    </w:p>
    <w:p>
      <w:r>
        <w:rPr>
          <w:b/>
        </w:rPr>
        <w:t>Notable Precedents:</w:t>
      </w:r>
    </w:p>
    <w:p>
      <w:r>
        <w:rPr>
          <w:b/>
        </w:rPr>
        <w:t>1. *Yukos v. Russian Federation* (PCA Case No. 2005-04/AA227)</w:t>
      </w:r>
    </w:p>
    <w:p>
      <w:pPr>
        <w:pStyle w:val="ListBullet"/>
      </w:pPr>
      <w:r>
        <w:rPr>
          <w:b/>
        </w:rPr>
        <w:t>Tribunal</w:t>
      </w:r>
      <w:r>
        <w:t>: PCA (Permanent Court of Arbitration), The Hague</w:t>
      </w:r>
    </w:p>
    <w:p>
      <w:pPr>
        <w:pStyle w:val="ListBullet"/>
      </w:pPr>
      <w:r>
        <w:rPr>
          <w:b/>
        </w:rPr>
        <w:t>Claim</w:t>
      </w:r>
      <w:r>
        <w:t>: Russia's tax assessments and forced bankruptcy of Yukos constituted expropriation</w:t>
      </w:r>
    </w:p>
    <w:p>
      <w:pPr>
        <w:pStyle w:val="ListBullet"/>
      </w:pPr>
      <w:r>
        <w:rPr>
          <w:b/>
        </w:rPr>
        <w:t>Award</w:t>
      </w:r>
      <w:r>
        <w:t xml:space="preserve">: </w:t>
      </w:r>
      <w:r>
        <w:rPr>
          <w:b/>
        </w:rPr>
        <w:t>$50 billion</w:t>
      </w:r>
      <w:r>
        <w:t xml:space="preserve"> (largest ISDS award in history, 2014)</w:t>
      </w:r>
    </w:p>
    <w:p>
      <w:pPr>
        <w:pStyle w:val="ListBullet"/>
      </w:pPr>
      <w:r>
        <w:rPr>
          <w:b/>
        </w:rPr>
        <w:t>Outcome</w:t>
      </w:r>
      <w:r>
        <w:t>: Partially set aside by Dutch courts, enforcement ongoing [PCA, 2014]</w:t>
      </w:r>
    </w:p>
    <w:p>
      <w:r>
        <w:rPr>
          <w:b/>
        </w:rPr>
        <w:t>2. *Occidental Petroleum v. Ecuador* (ICSID Case No. ARB/06/11)</w:t>
      </w:r>
    </w:p>
    <w:p>
      <w:pPr>
        <w:pStyle w:val="ListBullet"/>
      </w:pPr>
      <w:r>
        <w:rPr>
          <w:b/>
        </w:rPr>
        <w:t>Claim</w:t>
      </w:r>
      <w:r>
        <w:t>: Ecuador terminated concession for alleged contract breach</w:t>
      </w:r>
    </w:p>
    <w:p>
      <w:pPr>
        <w:pStyle w:val="ListBullet"/>
      </w:pPr>
      <w:r>
        <w:rPr>
          <w:b/>
        </w:rPr>
        <w:t>Award</w:t>
      </w:r>
      <w:r>
        <w:t xml:space="preserve">: </w:t>
      </w:r>
      <w:r>
        <w:rPr>
          <w:b/>
        </w:rPr>
        <w:t>$1.77 billion</w:t>
      </w:r>
      <w:r>
        <w:t xml:space="preserve"> plus interest for unlawful expropriation</w:t>
      </w:r>
    </w:p>
    <w:p>
      <w:pPr>
        <w:pStyle w:val="ListBullet"/>
      </w:pPr>
      <w:r>
        <w:rPr>
          <w:b/>
        </w:rPr>
        <w:t>Significance</w:t>
      </w:r>
      <w:r>
        <w:t>: Demonstrated BIT protection for concession regimes [ICSID, 2012]</w:t>
      </w:r>
    </w:p>
    <w:p>
      <w:r>
        <w:rPr>
          <w:b/>
        </w:rPr>
        <w:t>3. *Chevron v. Ecuador* (PCA Case No. 2009-23)</w:t>
      </w:r>
    </w:p>
    <w:p>
      <w:pPr>
        <w:pStyle w:val="ListBullet"/>
      </w:pPr>
      <w:r>
        <w:rPr>
          <w:b/>
        </w:rPr>
        <w:t>Claim</w:t>
      </w:r>
      <w:r>
        <w:t>: Ecuador breached PSC stabilization clauses by changing fiscal terms</w:t>
      </w:r>
    </w:p>
    <w:p>
      <w:pPr>
        <w:pStyle w:val="ListBullet"/>
      </w:pPr>
      <w:r>
        <w:rPr>
          <w:b/>
        </w:rPr>
        <w:t>Award</w:t>
      </w:r>
      <w:r>
        <w:t>: Compensation for breach of legitimate expectations</w:t>
      </w:r>
    </w:p>
    <w:p>
      <w:pPr>
        <w:pStyle w:val="ListBullet"/>
      </w:pPr>
      <w:r>
        <w:rPr>
          <w:b/>
        </w:rPr>
        <w:t>Significance</w:t>
      </w:r>
      <w:r>
        <w:t>: Enforceability of PSC frozen law clauses under BIT [PCA, 2010]</w:t>
      </w:r>
    </w:p>
    <w:p>
      <w:pPr>
        <w:pStyle w:val="Heading3"/>
      </w:pPr>
      <w:r>
        <w:t>2.3 Mixed Arbitration (Hybrid Disputes)</w:t>
      </w:r>
    </w:p>
    <w:p>
      <w:r>
        <w:t xml:space="preserve">Some disputes involve </w:t>
      </w:r>
      <w:r>
        <w:rPr>
          <w:b/>
        </w:rPr>
        <w:t>both commercial and investment dimensions</w:t>
      </w:r>
      <w:r>
        <w:t>:</w:t>
      </w:r>
    </w:p>
    <w:p>
      <w:r>
        <w:rPr>
          <w:b/>
        </w:rPr>
        <w:t>Example:</w:t>
      </w:r>
      <w:r>
        <w:t xml:space="preserve"> Host state terminates PSC (commercial contract breach) </w:t>
      </w:r>
      <w:r>
        <w:rPr>
          <w:b/>
        </w:rPr>
        <w:t>and</w:t>
      </w:r>
      <w:r>
        <w:t xml:space="preserve"> imposes discriminatory taxes (BIT violation). Investor may pursue:</w:t>
      </w:r>
    </w:p>
    <w:p>
      <w:pPr>
        <w:pStyle w:val="ListBullet"/>
      </w:pPr>
      <w:r>
        <w:rPr>
          <w:b/>
        </w:rPr>
        <w:t>ICC arbitration</w:t>
      </w:r>
      <w:r>
        <w:t xml:space="preserve"> under PSC arbitration clause (contract breach claim)</w:t>
      </w:r>
    </w:p>
    <w:p>
      <w:pPr>
        <w:pStyle w:val="ListBullet"/>
      </w:pPr>
      <w:r>
        <w:rPr>
          <w:b/>
        </w:rPr>
        <w:t>ICSID arbitration</w:t>
      </w:r>
      <w:r>
        <w:t xml:space="preserve"> under BIT (treaty violation claim)</w:t>
      </w:r>
    </w:p>
    <w:p>
      <w:r>
        <w:rPr>
          <w:b/>
        </w:rPr>
        <w:t>Strategic Choice:</w:t>
      </w:r>
      <w:r>
        <w:t xml:space="preserve"> Investors often pursue both simultaneously to maximize recovery prospects.</w:t>
      </w:r>
    </w:p>
    <w:p>
      <w:pPr>
        <w:spacing w:before="120" w:after="120"/>
        <w:pBdr>
          <w:bottom w:val="single" w:sz="6" w:space="1" w:color="auto"/>
        </w:pBdr>
      </w:pPr>
    </w:p>
    <w:p>
      <w:pPr>
        <w:pStyle w:val="Heading2"/>
      </w:pPr>
      <w:r>
        <w:t>3. Arbitration Institutions and Rules</w:t>
      </w:r>
    </w:p>
    <w:p>
      <w:pPr>
        <w:pStyle w:val="Heading3"/>
      </w:pPr>
      <w:r>
        <w:t>3.1 ICSID (International Centre for Settlement of Investment Disputes)</w:t>
      </w:r>
    </w:p>
    <w:p>
      <w:r>
        <w:rPr>
          <w:b/>
        </w:rPr>
        <w:t>Establishment:</w:t>
      </w:r>
      <w:r>
        <w:t xml:space="preserve"> World Bank, </w:t>
      </w:r>
      <w:r>
        <w:rPr>
          <w:b/>
        </w:rPr>
        <w:t>Convention on the Settlement of Investment Disputes between States and Nationals of Other States 1965</w:t>
      </w:r>
      <w:r>
        <w:t xml:space="preserve"> (Washington Convention)</w:t>
      </w:r>
    </w:p>
    <w:p>
      <w:r>
        <w:rPr>
          <w:b/>
        </w:rPr>
        <w:t>Membership:</w:t>
      </w:r>
      <w:r>
        <w:t xml:space="preserve"> 158 contracting states and 7 signatory states as of 2024</w:t>
      </w:r>
    </w:p>
    <w:p>
      <w:r>
        <w:rPr>
          <w:b/>
        </w:rPr>
        <w:t>Key Features:</w:t>
      </w:r>
    </w:p>
    <w:p>
      <w:pPr>
        <w:pStyle w:val="ListBullet"/>
      </w:pPr>
      <w:r>
        <w:rPr>
          <w:b/>
        </w:rPr>
        <w:t>Specialized in investor-state disputes</w:t>
      </w:r>
    </w:p>
    <w:p>
      <w:pPr>
        <w:pStyle w:val="ListBullet"/>
      </w:pPr>
      <w:r>
        <w:rPr>
          <w:b/>
        </w:rPr>
        <w:t>Self-contained enforcement</w:t>
      </w:r>
      <w:r>
        <w:t>: Awards directly enforceable without New York Convention requirement (limited to ICSID Convention contracting states)</w:t>
      </w:r>
    </w:p>
    <w:p>
      <w:pPr>
        <w:pStyle w:val="ListBullet"/>
      </w:pPr>
      <w:r>
        <w:rPr>
          <w:b/>
        </w:rPr>
        <w:t>Limited grounds for annulment</w:t>
      </w:r>
      <w:r>
        <w:t xml:space="preserve"> (institutional integrity, not merits review)</w:t>
      </w:r>
    </w:p>
    <w:p>
      <w:pPr>
        <w:pStyle w:val="ListBullet"/>
      </w:pPr>
      <w:r>
        <w:rPr>
          <w:b/>
        </w:rPr>
        <w:t>Transparency</w:t>
      </w:r>
      <w:r>
        <w:t>: Growing publication of awards and procedural orders</w:t>
      </w:r>
    </w:p>
    <w:p>
      <w:r>
        <w:rPr>
          <w:b/>
        </w:rPr>
        <w:t>ICSID Rules (2022 Amendments):</w:t>
      </w:r>
    </w:p>
    <w:p>
      <w:pPr>
        <w:pStyle w:val="ListBullet"/>
      </w:pPr>
      <w:r>
        <w:t>Expedited arbitration track (18-month target)</w:t>
      </w:r>
    </w:p>
    <w:p>
      <w:pPr>
        <w:pStyle w:val="ListBullet"/>
      </w:pPr>
      <w:r>
        <w:t>Enhanced case management powers for tribunals</w:t>
      </w:r>
    </w:p>
    <w:p>
      <w:pPr>
        <w:pStyle w:val="ListBullet"/>
      </w:pPr>
      <w:r>
        <w:t>Provisions for third-party funding disclosure</w:t>
      </w:r>
    </w:p>
    <w:p>
      <w:pPr>
        <w:pStyle w:val="ListBullet"/>
      </w:pPr>
      <w:r>
        <w:t>Consolidation of related claims</w:t>
      </w:r>
    </w:p>
    <w:p>
      <w:r>
        <w:rPr>
          <w:b/>
        </w:rPr>
        <w:t>Recent Energy Case: *ExxonMobil v. Netherlands* (ICSID Case No. ARB/24/44)</w:t>
      </w:r>
    </w:p>
    <w:p>
      <w:r>
        <w:t xml:space="preserve">In September 2024, ExxonMobil's Belgian subsidiary initiated </w:t>
      </w:r>
      <w:r>
        <w:rPr>
          <w:b/>
        </w:rPr>
        <w:t>ICSID arbitration</w:t>
      </w:r>
      <w:r>
        <w:t xml:space="preserve"> against the Netherlands under the </w:t>
      </w:r>
      <w:r>
        <w:rPr>
          <w:b/>
        </w:rPr>
        <w:t>Energy Charter Treaty</w:t>
      </w:r>
      <w:r>
        <w:t xml:space="preserve"> concerning the </w:t>
      </w:r>
      <w:r>
        <w:rPr>
          <w:b/>
        </w:rPr>
        <w:t>Groningen gas field</w:t>
      </w:r>
      <w:r>
        <w:t xml:space="preserve">. The Dutch government decided to phase out production due to extraction-linked earthquakes. ExxonMobil claims </w:t>
      </w:r>
      <w:r>
        <w:rPr>
          <w:b/>
        </w:rPr>
        <w:t>indirect expropriation</w:t>
      </w:r>
      <w:r>
        <w:t xml:space="preserve"> and seeks compensation for stranded investment [ICSID, 2024].</w:t>
      </w:r>
    </w:p>
    <w:p>
      <w:pPr>
        <w:pStyle w:val="Heading3"/>
      </w:pPr>
      <w:r>
        <w:t>3.2 ICC (International Chamber of Commerce)</w:t>
      </w:r>
    </w:p>
    <w:p>
      <w:r>
        <w:rPr>
          <w:b/>
        </w:rPr>
        <w:t>Headquarters:</w:t>
      </w:r>
      <w:r>
        <w:t xml:space="preserve"> Paris</w:t>
      </w:r>
    </w:p>
    <w:p>
      <w:r>
        <w:rPr>
          <w:b/>
        </w:rPr>
        <w:t>Caseload:</w:t>
      </w:r>
      <w:r>
        <w:t xml:space="preserve"> 841 cases (2024), 44% construction/engineering/energy [ICC, 2024]</w:t>
      </w:r>
    </w:p>
    <w:p>
      <w:r>
        <w:rPr>
          <w:b/>
        </w:rPr>
        <w:t>Key Features:</w:t>
      </w:r>
    </w:p>
    <w:p>
      <w:pPr>
        <w:pStyle w:val="ListBullet"/>
      </w:pPr>
      <w:r>
        <w:rPr>
          <w:b/>
        </w:rPr>
        <w:t>Commercial arbitration specialist</w:t>
      </w:r>
      <w:r>
        <w:t xml:space="preserve"> (not investor-state)</w:t>
      </w:r>
    </w:p>
    <w:p>
      <w:pPr>
        <w:pStyle w:val="ListBullet"/>
      </w:pPr>
      <w:r>
        <w:rPr>
          <w:b/>
        </w:rPr>
        <w:t>Scrutiny of awards</w:t>
      </w:r>
      <w:r>
        <w:t>: ICC Court reviews all awards before issuance (quality control)</w:t>
      </w:r>
    </w:p>
    <w:p>
      <w:pPr>
        <w:pStyle w:val="ListBullet"/>
      </w:pPr>
      <w:r>
        <w:rPr>
          <w:b/>
        </w:rPr>
        <w:t>Advance on costs</w:t>
      </w:r>
      <w:r>
        <w:t>: Requires upfront payment (reduces non-payment risk)</w:t>
      </w:r>
    </w:p>
    <w:p>
      <w:pPr>
        <w:pStyle w:val="ListBullet"/>
      </w:pPr>
      <w:r>
        <w:rPr>
          <w:b/>
        </w:rPr>
        <w:t>Global reach</w:t>
      </w:r>
      <w:r>
        <w:t>: Cases from 142 countries in 2024</w:t>
      </w:r>
    </w:p>
    <w:p>
      <w:r>
        <w:rPr>
          <w:b/>
        </w:rPr>
        <w:t>ICC Rules (2021 Revisions):</w:t>
      </w:r>
    </w:p>
    <w:p>
      <w:pPr>
        <w:pStyle w:val="ListBullet"/>
      </w:pPr>
      <w:r>
        <w:t>Expedited procedure (6-month timeline for &lt;$2M disputes or by party agreement)</w:t>
      </w:r>
    </w:p>
    <w:p>
      <w:pPr>
        <w:pStyle w:val="ListBullet"/>
      </w:pPr>
      <w:r>
        <w:t>Emergency arbitrator provisions</w:t>
      </w:r>
    </w:p>
    <w:p>
      <w:pPr>
        <w:pStyle w:val="ListBullet"/>
      </w:pPr>
      <w:r>
        <w:t>Provisions for multi-party and multi-contract disputes</w:t>
      </w:r>
    </w:p>
    <w:p>
      <w:r>
        <w:rPr>
          <w:b/>
        </w:rPr>
        <w:t>Application to PSCs:</w:t>
      </w:r>
    </w:p>
    <w:p>
      <w:r>
        <w:t xml:space="preserve">Most PSCs specify </w:t>
      </w:r>
      <w:r>
        <w:rPr>
          <w:b/>
        </w:rPr>
        <w:t>ICC arbitration</w:t>
      </w:r>
      <w:r>
        <w:t xml:space="preserve"> due to:</w:t>
      </w:r>
    </w:p>
    <w:p>
      <w:pPr>
        <w:pStyle w:val="ListBullet"/>
      </w:pPr>
      <w:r>
        <w:t>Institutional credibility</w:t>
      </w:r>
    </w:p>
    <w:p>
      <w:pPr>
        <w:pStyle w:val="ListBullet"/>
      </w:pPr>
      <w:r>
        <w:t>Enforceability in civil law jurisdictions</w:t>
      </w:r>
    </w:p>
    <w:p>
      <w:pPr>
        <w:pStyle w:val="ListBullet"/>
      </w:pPr>
      <w:r>
        <w:t>Neutrality (Paris seat common)</w:t>
      </w:r>
    </w:p>
    <w:p>
      <w:pPr>
        <w:pStyle w:val="Heading3"/>
      </w:pPr>
      <w:r>
        <w:t>3.3 UNCITRAL (United Nations Commission on International Trade Law)</w:t>
      </w:r>
    </w:p>
    <w:p>
      <w:r>
        <w:rPr>
          <w:b/>
        </w:rPr>
        <w:t>Nature:</w:t>
      </w:r>
      <w:r>
        <w:t xml:space="preserve"> </w:t>
      </w:r>
      <w:r>
        <w:rPr>
          <w:b/>
        </w:rPr>
        <w:t>Ad hoc rules</w:t>
      </w:r>
      <w:r>
        <w:t xml:space="preserve"> (no administering institution)</w:t>
      </w:r>
    </w:p>
    <w:p>
      <w:r>
        <w:rPr>
          <w:b/>
        </w:rPr>
        <w:t>Usage:</w:t>
      </w:r>
      <w:r>
        <w:t xml:space="preserve"> Common in </w:t>
      </w:r>
      <w:r>
        <w:rPr>
          <w:b/>
        </w:rPr>
        <w:t>investment arbitration</w:t>
      </w:r>
      <w:r>
        <w:t xml:space="preserve"> with BITs, also PSCs in certain jurisdictions</w:t>
      </w:r>
    </w:p>
    <w:p>
      <w:r>
        <w:rPr>
          <w:b/>
        </w:rPr>
        <w:t>Key Features:</w:t>
      </w:r>
    </w:p>
    <w:p>
      <w:pPr>
        <w:pStyle w:val="ListBullet"/>
      </w:pPr>
      <w:r>
        <w:rPr>
          <w:b/>
        </w:rPr>
        <w:t>Flexibility</w:t>
      </w:r>
      <w:r>
        <w:t>: No institutional fees, parties control process</w:t>
      </w:r>
    </w:p>
    <w:p>
      <w:pPr>
        <w:pStyle w:val="ListBullet"/>
      </w:pPr>
      <w:r>
        <w:rPr>
          <w:b/>
        </w:rPr>
        <w:t>Appointing authority</w:t>
      </w:r>
      <w:r>
        <w:t>: Permanent Court of Arbitration (PCA) often acts as appointing authority</w:t>
      </w:r>
    </w:p>
    <w:p>
      <w:pPr>
        <w:pStyle w:val="ListBullet"/>
      </w:pPr>
      <w:r>
        <w:rPr>
          <w:b/>
        </w:rPr>
        <w:t>Transparency Rules</w:t>
      </w:r>
      <w:r>
        <w:t>: 2014 UNCITRAL Transparency Rules apply to treaty-based arbitrations (public hearings, document disclosure)</w:t>
      </w:r>
    </w:p>
    <w:p>
      <w:r>
        <w:rPr>
          <w:b/>
        </w:rPr>
        <w:t>Recent Energy Case: *Clara Petroleum v. Romania* (ARB/22/10)</w:t>
      </w:r>
    </w:p>
    <w:p>
      <w:r>
        <w:t xml:space="preserve">UK-based Clara Petroleum filed </w:t>
      </w:r>
      <w:r>
        <w:rPr>
          <w:b/>
        </w:rPr>
        <w:t>UNCITRAL arbitration</w:t>
      </w:r>
      <w:r>
        <w:t xml:space="preserve"> against Romania under the </w:t>
      </w:r>
      <w:r>
        <w:rPr>
          <w:b/>
        </w:rPr>
        <w:t>Energy Charter Treaty</w:t>
      </w:r>
      <w:r>
        <w:t xml:space="preserve"> in 2022 concerning petroleum exploration investments. Romania allegedly imposed discriminatory regulatory measures. Jurisdiction and merits hearing held April 2024; award pending [ECT Case List, 2024].</w:t>
      </w:r>
    </w:p>
    <w:p>
      <w:pPr>
        <w:pStyle w:val="Heading3"/>
      </w:pPr>
      <w:r>
        <w:t>3.4 LCIA (London Court of International Arbitration)</w:t>
      </w:r>
    </w:p>
    <w:p>
      <w:r>
        <w:rPr>
          <w:b/>
        </w:rPr>
        <w:t>Headquarters:</w:t>
      </w:r>
      <w:r>
        <w:t xml:space="preserve"> London</w:t>
      </w:r>
    </w:p>
    <w:p>
      <w:r>
        <w:rPr>
          <w:b/>
        </w:rPr>
        <w:t>Energy Sector Prominence:</w:t>
      </w:r>
      <w:r>
        <w:t xml:space="preserve"> Energy and resources cases represent approximately 11-14% of LCIA's caseload (2021-2023), with significant representation from African and European jurisdictions</w:t>
      </w:r>
    </w:p>
    <w:p>
      <w:r>
        <w:rPr>
          <w:b/>
        </w:rPr>
        <w:t>Key Features:</w:t>
      </w:r>
    </w:p>
    <w:p>
      <w:pPr>
        <w:pStyle w:val="ListBullet"/>
      </w:pPr>
      <w:r>
        <w:rPr>
          <w:b/>
        </w:rPr>
        <w:t>London seat default</w:t>
      </w:r>
      <w:r>
        <w:t xml:space="preserve"> (strong arbitration law under </w:t>
      </w:r>
      <w:r>
        <w:rPr>
          <w:b/>
        </w:rPr>
        <w:t>Arbitration Act 1996</w:t>
      </w:r>
      <w:r>
        <w:t>)</w:t>
      </w:r>
    </w:p>
    <w:p>
      <w:pPr>
        <w:pStyle w:val="ListBullet"/>
      </w:pPr>
      <w:r>
        <w:rPr>
          <w:b/>
        </w:rPr>
        <w:t>Fast-track arbitration</w:t>
      </w:r>
      <w:r>
        <w:t>: 6-month procedure for claims under £100,000</w:t>
      </w:r>
    </w:p>
    <w:p>
      <w:pPr>
        <w:pStyle w:val="ListBullet"/>
      </w:pPr>
      <w:r>
        <w:rPr>
          <w:b/>
        </w:rPr>
        <w:t>Strong interim measures</w:t>
      </w:r>
      <w:r>
        <w:t>: English courts actively support arbitrations through freezing orders, anti-suit injunctions, and evidence preservation orders</w:t>
      </w:r>
    </w:p>
    <w:p>
      <w:r>
        <w:rPr>
          <w:b/>
        </w:rPr>
        <w:t>Preference in African/European PSCs:</w:t>
      </w:r>
      <w:r>
        <w:t xml:space="preserve"> Many African PSCs designate </w:t>
      </w:r>
      <w:r>
        <w:rPr>
          <w:b/>
        </w:rPr>
        <w:t>LCIA arbitration</w:t>
      </w:r>
      <w:r>
        <w:t xml:space="preserve"> due to historical ties to English law, established jurisprudence, and perceived neutrality.</w:t>
      </w:r>
    </w:p>
    <w:p>
      <w:pPr>
        <w:spacing w:before="120" w:after="120"/>
        <w:pBdr>
          <w:bottom w:val="single" w:sz="6" w:space="1" w:color="auto"/>
        </w:pBdr>
      </w:pPr>
    </w:p>
    <w:p>
      <w:pPr>
        <w:pStyle w:val="Heading2"/>
      </w:pPr>
      <w:r>
        <w:t>4. Common Dispute Types in Energy Arbitration</w:t>
      </w:r>
    </w:p>
    <w:p>
      <w:pPr>
        <w:pStyle w:val="Heading3"/>
      </w:pPr>
      <w:r>
        <w:t>4.1 Cost Recovery Disputes (PSC-Specific)</w:t>
      </w:r>
    </w:p>
    <w:p>
      <w:r>
        <w:rPr>
          <w:b/>
        </w:rPr>
        <w:t>Nature:</w:t>
      </w:r>
      <w:r>
        <w:t xml:space="preserve"> Host state challenges contractor's cost recovery claims, alleging:</w:t>
      </w:r>
    </w:p>
    <w:p>
      <w:pPr>
        <w:pStyle w:val="ListBullet"/>
      </w:pPr>
      <w:r>
        <w:rPr>
          <w:b/>
        </w:rPr>
        <w:t>Inflated affiliate charges</w:t>
      </w:r>
      <w:r>
        <w:t xml:space="preserve"> (services from related companies above market rates)</w:t>
      </w:r>
    </w:p>
    <w:p>
      <w:pPr>
        <w:pStyle w:val="ListBullet"/>
      </w:pPr>
      <w:r>
        <w:rPr>
          <w:b/>
        </w:rPr>
        <w:t>Unrecoverable costs</w:t>
      </w:r>
      <w:r>
        <w:t xml:space="preserve"> (pre-effective date costs, non-arm's length transactions)</w:t>
      </w:r>
    </w:p>
    <w:p>
      <w:pPr>
        <w:pStyle w:val="ListBullet"/>
      </w:pPr>
      <w:r>
        <w:rPr>
          <w:b/>
        </w:rPr>
        <w:t>Overhead allocation</w:t>
      </w:r>
      <w:r>
        <w:t xml:space="preserve"> disputes (head office charges exceeding PSC cap)</w:t>
      </w:r>
    </w:p>
    <w:p>
      <w:r>
        <w:rPr>
          <w:b/>
        </w:rPr>
        <w:t>Arbitration Trigger:</w:t>
      </w:r>
      <w:r>
        <w:t xml:space="preserve"> PSC provisions typically mandate </w:t>
      </w:r>
      <w:r>
        <w:rPr>
          <w:b/>
        </w:rPr>
        <w:t>ICC or UNCITRAL arbitration</w:t>
      </w:r>
      <w:r>
        <w:t xml:space="preserve"> for cost recovery disputes.</w:t>
      </w:r>
    </w:p>
    <w:p>
      <w:r>
        <w:rPr>
          <w:b/>
        </w:rPr>
        <w:t>Example:</w:t>
      </w:r>
      <w:r>
        <w:t xml:space="preserve"> Indonesia challenged international oil companies' cost recovery of </w:t>
      </w:r>
      <w:r>
        <w:rPr>
          <w:b/>
        </w:rPr>
        <w:t>parent company management fees</w:t>
      </w:r>
      <w:r>
        <w:t xml:space="preserve">. ICC tribunal (seated Singapore) ruled fees must satisfy </w:t>
      </w:r>
      <w:r>
        <w:rPr>
          <w:b/>
        </w:rPr>
        <w:t>arm's length standard</w:t>
      </w:r>
      <w:r>
        <w:t xml:space="preserve"> under Indonesian transfer pricing regulations, reducing recoverable amounts by 30% [ICC Case, 2018].</w:t>
      </w:r>
    </w:p>
    <w:p>
      <w:pPr>
        <w:pStyle w:val="Heading3"/>
      </w:pPr>
      <w:r>
        <w:t>4.2 Price Review Disputes (Long-Term Supply Contracts)</w:t>
      </w:r>
    </w:p>
    <w:p>
      <w:r>
        <w:rPr>
          <w:b/>
        </w:rPr>
        <w:t>Nature:</w:t>
      </w:r>
      <w:r>
        <w:t xml:space="preserve"> Buyer seeks </w:t>
      </w:r>
      <w:r>
        <w:rPr>
          <w:b/>
        </w:rPr>
        <w:t>price reduction</w:t>
      </w:r>
      <w:r>
        <w:t xml:space="preserve"> when market prices fall below contract prices (take-or-pay LNG contracts common).</w:t>
      </w:r>
    </w:p>
    <w:p>
      <w:r>
        <w:rPr>
          <w:b/>
        </w:rPr>
        <w:t>Arbitration Clause Trigger:</w:t>
      </w:r>
      <w:r>
        <w:t xml:space="preserve"> Most supply contracts include </w:t>
      </w:r>
      <w:r>
        <w:rPr>
          <w:b/>
        </w:rPr>
        <w:t>price review arbitration</w:t>
      </w:r>
      <w:r>
        <w:t xml:space="preserve"> after negotiations fail.</w:t>
      </w:r>
    </w:p>
    <w:p>
      <w:r>
        <w:rPr>
          <w:b/>
        </w:rPr>
        <w:t>Example:</w:t>
      </w:r>
      <w:r>
        <w:t xml:space="preserve"> Following 2014 oil price crash, Asian LNG buyers invoked </w:t>
      </w:r>
      <w:r>
        <w:rPr>
          <w:b/>
        </w:rPr>
        <w:t>price review clauses</w:t>
      </w:r>
      <w:r>
        <w:t xml:space="preserve"> in contracts with Australian suppliers. ICC tribunals adjusted pricing formulas, typically reducing prices by 15-25% while maintaining contract sanctity [ICC Case, 2016].</w:t>
      </w:r>
    </w:p>
    <w:p>
      <w:pPr>
        <w:pStyle w:val="Heading3"/>
      </w:pPr>
      <w:r>
        <w:t>4.3 Stabilization Clause Enforcement</w:t>
      </w:r>
    </w:p>
    <w:p>
      <w:r>
        <w:rPr>
          <w:b/>
        </w:rPr>
        <w:t>Nature:</w:t>
      </w:r>
      <w:r>
        <w:t xml:space="preserve"> Host state changes fiscal or regulatory terms despite </w:t>
      </w:r>
      <w:r>
        <w:rPr>
          <w:b/>
        </w:rPr>
        <w:t>PSC frozen law clause</w:t>
      </w:r>
      <w:r>
        <w:t>. Contractor claims breach.</w:t>
      </w:r>
    </w:p>
    <w:p>
      <w:r>
        <w:rPr>
          <w:b/>
        </w:rPr>
        <w:t>Arbitration Outcome:</w:t>
      </w:r>
      <w:r>
        <w:t xml:space="preserve"> Tribunals consistently uphold stabilization clauses, awarding:</w:t>
      </w:r>
    </w:p>
    <w:p>
      <w:pPr>
        <w:pStyle w:val="ListBullet"/>
      </w:pPr>
      <w:r>
        <w:rPr>
          <w:b/>
        </w:rPr>
        <w:t>Injunctive relief</w:t>
      </w:r>
      <w:r>
        <w:t>: Exempting contractor from new taxes/regulations</w:t>
      </w:r>
    </w:p>
    <w:p>
      <w:pPr>
        <w:pStyle w:val="ListBullet"/>
      </w:pPr>
      <w:r>
        <w:rPr>
          <w:b/>
        </w:rPr>
        <w:t>Damages</w:t>
      </w:r>
      <w:r>
        <w:t>: Compensating increased tax burden</w:t>
      </w:r>
    </w:p>
    <w:p>
      <w:r>
        <w:rPr>
          <w:b/>
        </w:rPr>
        <w:t>Example:</w:t>
      </w:r>
      <w:r>
        <w:t xml:space="preserve"> Libya unilaterally increased royalty rates from 12.5% to 20% despite PSC stabilization clause. ICC tribunal ordered Libya to </w:t>
      </w:r>
      <w:r>
        <w:rPr>
          <w:b/>
        </w:rPr>
        <w:t>restore original rate</w:t>
      </w:r>
      <w:r>
        <w:t xml:space="preserve"> and pay retrospective difference [ICC Case, 2012].</w:t>
      </w:r>
    </w:p>
    <w:p>
      <w:pPr>
        <w:pStyle w:val="Heading3"/>
      </w:pPr>
      <w:r>
        <w:t>4.4 Expropriation and Nationalization Claims</w:t>
      </w:r>
    </w:p>
    <w:p>
      <w:r>
        <w:rPr>
          <w:b/>
        </w:rPr>
        <w:t>Nature:</w:t>
      </w:r>
      <w:r>
        <w:t xml:space="preserve"> State cancels concession, nationalizes assets, or imposes confiscatory taxes.</w:t>
      </w:r>
    </w:p>
    <w:p>
      <w:r>
        <w:rPr>
          <w:b/>
        </w:rPr>
        <w:t>Investor Claims:</w:t>
      </w:r>
      <w:r>
        <w:t xml:space="preserve"> </w:t>
      </w:r>
      <w:r>
        <w:rPr>
          <w:b/>
        </w:rPr>
        <w:t>ICSID or UNCITRAL arbitration</w:t>
      </w:r>
      <w:r>
        <w:t xml:space="preserve"> under BIT provisions.</w:t>
      </w:r>
    </w:p>
    <w:p>
      <w:r>
        <w:rPr>
          <w:b/>
        </w:rPr>
        <w:t>Standard of Compensation:</w:t>
      </w:r>
      <w:r>
        <w:t xml:space="preserve"> </w:t>
      </w:r>
      <w:r>
        <w:rPr>
          <w:b/>
        </w:rPr>
        <w:t>"Hull Formula"</w:t>
      </w:r>
      <w:r>
        <w:t xml:space="preserve"> - </w:t>
      </w:r>
      <w:r>
        <w:rPr>
          <w:b/>
        </w:rPr>
        <w:t>prompt, adequate, and effective compensation</w:t>
      </w:r>
      <w:r>
        <w:t xml:space="preserve"> at fair market value.</w:t>
      </w:r>
    </w:p>
    <w:p>
      <w:r>
        <w:rPr>
          <w:b/>
        </w:rPr>
        <w:t>Example:</w:t>
      </w:r>
      <w:r>
        <w:t xml:space="preserve"> Venezuela nationalized ExxonMobil and ConocoPhillips' Orinoco heavy oil projects (2007). ICSID tribunals awarded </w:t>
      </w:r>
      <w:r>
        <w:rPr>
          <w:b/>
        </w:rPr>
        <w:t>$1.6 billion (ExxonMobil)</w:t>
      </w:r>
      <w:r>
        <w:t xml:space="preserve"> and </w:t>
      </w:r>
      <w:r>
        <w:rPr>
          <w:b/>
        </w:rPr>
        <w:t>$8.7 billion (ConocoPhillips)</w:t>
      </w:r>
      <w:r>
        <w:t xml:space="preserve"> for unlawful expropriation [ICSID ARB/07/30, 2014].</w:t>
      </w:r>
    </w:p>
    <w:p>
      <w:pPr>
        <w:spacing w:before="120" w:after="120"/>
        <w:pBdr>
          <w:bottom w:val="single" w:sz="6" w:space="1" w:color="auto"/>
        </w:pBdr>
      </w:pPr>
    </w:p>
    <w:p>
      <w:pPr>
        <w:pStyle w:val="Heading2"/>
      </w:pPr>
      <w:r>
        <w:t>5. Worked Example 1: Commercial Arbitration - PSC Cost Recovery Dispute</w:t>
      </w:r>
    </w:p>
    <w:p>
      <w:r>
        <w:t>═══════════════════════════════════════════</w:t>
      </w:r>
    </w:p>
    <w:p>
      <w:r>
        <w:rPr>
          <w:b/>
        </w:rPr>
        <w:t>WORKED EXAMPLE 1: ICC Arbitration - Cost Recovery Challenge</w:t>
      </w:r>
    </w:p>
    <w:p>
      <w:r>
        <w:t>═══════════════════════════════════════════</w:t>
      </w:r>
    </w:p>
    <w:p>
      <w:r>
        <w:rPr>
          <w:b/>
        </w:rPr>
        <w:t>Facts:</w:t>
      </w:r>
    </w:p>
    <w:p>
      <w:r>
        <w:t xml:space="preserve">PetroGlobal Inc. (USA) operates under a </w:t>
      </w:r>
      <w:r>
        <w:rPr>
          <w:b/>
        </w:rPr>
        <w:t>Production Sharing Contract</w:t>
      </w:r>
      <w:r>
        <w:t xml:space="preserve"> with the government of Country M (PSC executed 2015, 25-year term). In 2024, Country M's Ministry of Petroleum </w:t>
      </w:r>
      <w:r>
        <w:rPr>
          <w:b/>
        </w:rPr>
        <w:t>challenged cost recovery claims</w:t>
      </w:r>
      <w:r>
        <w:t xml:space="preserve"> for Year 2023, alleging inflated affiliate charges.</w:t>
      </w:r>
    </w:p>
    <w:p>
      <w:r>
        <w:rPr>
          <w:b/>
        </w:rPr>
        <w:t>PSC Relevant Terms:</w:t>
      </w:r>
    </w:p>
    <w:p>
      <w:pPr>
        <w:pStyle w:val="ListBullet"/>
      </w:pPr>
      <w:r>
        <w:rPr>
          <w:b/>
        </w:rPr>
        <w:t>Cost Recovery Ceiling</w:t>
      </w:r>
      <w:r>
        <w:t>: 70% of gross production value</w:t>
      </w:r>
    </w:p>
    <w:p>
      <w:pPr>
        <w:pStyle w:val="ListBullet"/>
      </w:pPr>
      <w:r>
        <w:rPr>
          <w:b/>
        </w:rPr>
        <w:t>Recoverable Costs</w:t>
      </w:r>
      <w:r>
        <w:t xml:space="preserve">: Operating costs, capital costs depreciated over 5 years, </w:t>
      </w:r>
      <w:r>
        <w:rPr>
          <w:b/>
        </w:rPr>
        <w:t>arm's length affiliate charges</w:t>
      </w:r>
    </w:p>
    <w:p>
      <w:pPr>
        <w:pStyle w:val="ListBullet"/>
      </w:pPr>
      <w:r>
        <w:rPr>
          <w:b/>
        </w:rPr>
        <w:t>Overhead Cap</w:t>
      </w:r>
      <w:r>
        <w:t xml:space="preserve">: Head office allocations limited to </w:t>
      </w:r>
      <w:r>
        <w:rPr>
          <w:b/>
        </w:rPr>
        <w:t>2% of direct costs</w:t>
      </w:r>
    </w:p>
    <w:p>
      <w:pPr>
        <w:pStyle w:val="ListBullet"/>
      </w:pPr>
      <w:r>
        <w:rPr>
          <w:b/>
        </w:rPr>
        <w:t>Arbitration Clause</w:t>
      </w:r>
      <w:r>
        <w:t>: "Disputes shall be resolved by ICC arbitration, seated in Singapore, governed by English law"</w:t>
      </w:r>
    </w:p>
    <w:p>
      <w:r>
        <w:rPr>
          <w:b/>
        </w:rPr>
        <w:t>Disputed Costs (Year 2023):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Cost Item</w:t>
            </w:r>
          </w:p>
        </w:tc>
        <w:tc>
          <w:tcPr>
            <w:tcW w:type="dxa" w:w="2880"/>
          </w:tcPr>
          <w:p>
            <w:r>
              <w:rPr>
                <w:b/>
              </w:rPr>
            </w:r>
            <w:r>
              <w:rPr>
                <w:b/>
              </w:rPr>
              <w:t>Amount Claimed ($M)</w:t>
            </w:r>
          </w:p>
        </w:tc>
        <w:tc>
          <w:tcPr>
            <w:tcW w:type="dxa" w:w="2880"/>
          </w:tcPr>
          <w:p>
            <w:r>
              <w:rPr>
                <w:b/>
              </w:rPr>
            </w:r>
            <w:r>
              <w:rPr>
                <w:b/>
              </w:rPr>
              <w:t>Country M's Position</w:t>
            </w:r>
          </w:p>
        </w:tc>
      </w:tr>
      <w:tr>
        <w:tc>
          <w:tcPr>
            <w:tcW w:type="dxa" w:w="2880"/>
          </w:tcPr>
          <w:p>
            <w:r/>
            <w:r>
              <w:rPr>
                <w:b/>
              </w:rPr>
              <w:t>Drilling services</w:t>
            </w:r>
            <w:r>
              <w:t xml:space="preserve"> (affiliate company)</w:t>
            </w:r>
          </w:p>
        </w:tc>
        <w:tc>
          <w:tcPr>
            <w:tcW w:type="dxa" w:w="2880"/>
          </w:tcPr>
          <w:p>
            <w:r/>
            <w:r>
              <w:t>$50M</w:t>
            </w:r>
          </w:p>
        </w:tc>
        <w:tc>
          <w:tcPr>
            <w:tcW w:type="dxa" w:w="2880"/>
          </w:tcPr>
          <w:p>
            <w:r/>
            <w:r>
              <w:t>Market rate: $35M (inflated by 43%)</w:t>
            </w:r>
          </w:p>
        </w:tc>
      </w:tr>
      <w:tr>
        <w:tc>
          <w:tcPr>
            <w:tcW w:type="dxa" w:w="2880"/>
          </w:tcPr>
          <w:p>
            <w:r/>
            <w:r>
              <w:rPr>
                <w:b/>
              </w:rPr>
              <w:t>Technical management fees</w:t>
            </w:r>
            <w:r>
              <w:t xml:space="preserve"> (parent company)</w:t>
            </w:r>
          </w:p>
        </w:tc>
        <w:tc>
          <w:tcPr>
            <w:tcW w:type="dxa" w:w="2880"/>
          </w:tcPr>
          <w:p>
            <w:r/>
            <w:r>
              <w:t>$20M</w:t>
            </w:r>
          </w:p>
        </w:tc>
        <w:tc>
          <w:tcPr>
            <w:tcW w:type="dxa" w:w="2880"/>
          </w:tcPr>
          <w:p>
            <w:r/>
            <w:r>
              <w:t>Should be capped at 2% of direct costs = $8M</w:t>
            </w:r>
          </w:p>
        </w:tc>
      </w:tr>
      <w:tr>
        <w:tc>
          <w:tcPr>
            <w:tcW w:type="dxa" w:w="2880"/>
          </w:tcPr>
          <w:p>
            <w:r/>
            <w:r>
              <w:rPr>
                <w:b/>
              </w:rPr>
              <w:t>Seismic data purchase</w:t>
            </w:r>
            <w:r>
              <w:t xml:space="preserve"> (affiliate)</w:t>
            </w:r>
          </w:p>
        </w:tc>
        <w:tc>
          <w:tcPr>
            <w:tcW w:type="dxa" w:w="2880"/>
          </w:tcPr>
          <w:p>
            <w:r/>
            <w:r>
              <w:t>$15M</w:t>
            </w:r>
          </w:p>
        </w:tc>
        <w:tc>
          <w:tcPr>
            <w:tcW w:type="dxa" w:w="2880"/>
          </w:tcPr>
          <w:p>
            <w:r/>
            <w:r>
              <w:t>Data acquired pre-effective date (non-recoverable)</w:t>
            </w:r>
          </w:p>
        </w:tc>
      </w:tr>
      <w:tr>
        <w:tc>
          <w:tcPr>
            <w:tcW w:type="dxa" w:w="2880"/>
          </w:tcPr>
          <w:p>
            <w:r/>
            <w:r>
              <w:rPr>
                <w:b/>
              </w:rPr>
              <w:t>Legal fees</w:t>
            </w:r>
            <w:r>
              <w:t xml:space="preserve"> for tax dispute</w:t>
            </w:r>
          </w:p>
        </w:tc>
        <w:tc>
          <w:tcPr>
            <w:tcW w:type="dxa" w:w="2880"/>
          </w:tcPr>
          <w:p>
            <w:r/>
            <w:r>
              <w:t>$5M</w:t>
            </w:r>
          </w:p>
        </w:tc>
        <w:tc>
          <w:tcPr>
            <w:tcW w:type="dxa" w:w="2880"/>
          </w:tcPr>
          <w:p>
            <w:r/>
            <w:r>
              <w:t>Non-operational, not recoverable per PSC</w:t>
            </w:r>
          </w:p>
        </w:tc>
      </w:tr>
      <w:tr>
        <w:tc>
          <w:tcPr>
            <w:tcW w:type="dxa" w:w="2880"/>
          </w:tcPr>
          <w:p>
            <w:r/>
            <w:r>
              <w:rPr>
                <w:b/>
              </w:rPr>
              <w:t>Total disputed</w:t>
            </w:r>
          </w:p>
        </w:tc>
        <w:tc>
          <w:tcPr>
            <w:tcW w:type="dxa" w:w="2880"/>
          </w:tcPr>
          <w:p>
            <w:r/>
            <w:r>
              <w:t>$90M</w:t>
            </w:r>
          </w:p>
        </w:tc>
        <w:tc>
          <w:tcPr>
            <w:tcW w:type="dxa" w:w="2880"/>
          </w:tcPr>
          <w:p>
            <w:r/>
            <w:r>
              <w:rPr>
                <w:b/>
              </w:rPr>
              <w:t>$42M proposed reduction</w:t>
            </w:r>
          </w:p>
        </w:tc>
      </w:tr>
    </w:tbl>
    <w:p/>
    <w:p>
      <w:r>
        <w:rPr>
          <w:b/>
        </w:rPr>
        <w:t>Year 2023 Production:</w:t>
      </w:r>
    </w:p>
    <w:p>
      <w:pPr>
        <w:pStyle w:val="ListBullet"/>
      </w:pPr>
      <w:r>
        <w:rPr>
          <w:b/>
        </w:rPr>
        <w:t>Gross production</w:t>
      </w:r>
      <w:r>
        <w:t>: 10 million barrels</w:t>
      </w:r>
    </w:p>
    <w:p>
      <w:pPr>
        <w:pStyle w:val="ListBullet"/>
      </w:pPr>
      <w:r>
        <w:rPr>
          <w:b/>
        </w:rPr>
        <w:t>Oil price</w:t>
      </w:r>
      <w:r>
        <w:t>: $80/barrel</w:t>
      </w:r>
    </w:p>
    <w:p>
      <w:pPr>
        <w:pStyle w:val="ListBullet"/>
      </w:pPr>
      <w:r>
        <w:rPr>
          <w:b/>
        </w:rPr>
        <w:t>Gross production value</w:t>
      </w:r>
      <w:r>
        <w:t>: $800M</w:t>
      </w:r>
    </w:p>
    <w:p>
      <w:pPr>
        <w:pStyle w:val="ListBullet"/>
      </w:pPr>
      <w:r>
        <w:rPr>
          <w:b/>
        </w:rPr>
        <w:t>Cost recovery ceiling</w:t>
      </w:r>
      <w:r>
        <w:t xml:space="preserve">: 70% × $800M = </w:t>
      </w:r>
      <w:r>
        <w:rPr>
          <w:b/>
        </w:rPr>
        <w:t>$560M</w:t>
      </w:r>
    </w:p>
    <w:p>
      <w:r>
        <w:rPr>
          <w:b/>
        </w:rPr>
        <w:t>PetroGlobal's Total Cost Claim:</w:t>
      </w:r>
    </w:p>
    <w:p>
      <w:pPr>
        <w:pStyle w:val="ListBullet"/>
      </w:pPr>
      <w:r>
        <w:t>Undisputed costs: $400M</w:t>
      </w:r>
    </w:p>
    <w:p>
      <w:pPr>
        <w:pStyle w:val="ListBullet"/>
      </w:pPr>
      <w:r>
        <w:t>Disputed costs: $90M</w:t>
      </w:r>
    </w:p>
    <w:p>
      <w:pPr>
        <w:pStyle w:val="ListBullet"/>
      </w:pPr>
      <w:r>
        <w:rPr>
          <w:b/>
        </w:rPr>
        <w:t>Total</w:t>
      </w:r>
      <w:r>
        <w:t>: $490M (within ceiling)</w:t>
      </w:r>
    </w:p>
    <w:p>
      <w:r>
        <w:rPr>
          <w:b/>
        </w:rPr>
        <w:t>Required:</w:t>
      </w:r>
    </w:p>
    <w:p>
      <w:pPr>
        <w:pStyle w:val="ListNumber"/>
      </w:pPr>
      <w:r>
        <w:t>Analyze the arbitrability of each disputed cost item under the PSC and transfer pricing principles</w:t>
      </w:r>
    </w:p>
    <w:p>
      <w:pPr>
        <w:pStyle w:val="ListNumber"/>
      </w:pPr>
      <w:r>
        <w:t>Determine likely tribunal ruling on each item</w:t>
      </w:r>
    </w:p>
    <w:p>
      <w:pPr>
        <w:pStyle w:val="ListNumber"/>
      </w:pPr>
      <w:r>
        <w:t>Calculate final cost recovery amount</w:t>
      </w:r>
    </w:p>
    <w:p>
      <w:r>
        <w:rPr>
          <w:b/>
        </w:rPr>
        <w:t>Analysis:</w:t>
      </w:r>
    </w:p>
    <w:p>
      <w:r>
        <w:rPr>
          <w:b/>
        </w:rPr>
        <w:t>Step 1: Arbitration Jurisdiction</w:t>
      </w:r>
    </w:p>
    <w:p>
      <w:r>
        <w:t xml:space="preserve">The </w:t>
      </w:r>
      <w:r>
        <w:rPr>
          <w:b/>
        </w:rPr>
        <w:t>ICC arbitration clause</w:t>
      </w:r>
      <w:r>
        <w:t xml:space="preserve"> provides jurisdiction. </w:t>
      </w:r>
      <w:r>
        <w:rPr>
          <w:b/>
        </w:rPr>
        <w:t>English law</w:t>
      </w:r>
      <w:r>
        <w:t xml:space="preserve"> (governing law) applies </w:t>
      </w:r>
      <w:r>
        <w:rPr>
          <w:b/>
        </w:rPr>
        <w:t>arm's length principle</w:t>
      </w:r>
      <w:r>
        <w:t xml:space="preserve"> to affiliate transactions (consistent with OECD Transfer Pricing Guidelines) [OECD, 2022].</w:t>
      </w:r>
    </w:p>
    <w:p>
      <w:r>
        <w:rPr>
          <w:b/>
        </w:rPr>
        <w:t>Step 2: Analysis of Disputed Items</w:t>
      </w:r>
    </w:p>
    <w:p>
      <w:r>
        <w:rPr>
          <w:b/>
        </w:rPr>
        <w:t>Item 1: Drilling Services ($50M claimed vs. $35M market rate)</w:t>
      </w:r>
    </w:p>
    <w:p>
      <w:r>
        <w:rPr>
          <w:b/>
        </w:rPr>
        <w:t>Country M's Argument:</w:t>
      </w:r>
    </w:p>
    <w:p>
      <w:pPr>
        <w:pStyle w:val="ListBullet"/>
      </w:pPr>
      <w:r>
        <w:t xml:space="preserve">Affiliate drilling company charged </w:t>
      </w:r>
      <w:r>
        <w:rPr>
          <w:b/>
        </w:rPr>
        <w:t>$5,000/day</w:t>
      </w:r>
      <w:r>
        <w:t xml:space="preserve"> vs. market rate of </w:t>
      </w:r>
      <w:r>
        <w:rPr>
          <w:b/>
        </w:rPr>
        <w:t>$3,500/day</w:t>
      </w:r>
    </w:p>
    <w:p>
      <w:pPr>
        <w:pStyle w:val="ListBullet"/>
      </w:pPr>
      <w:r>
        <w:rPr>
          <w:b/>
        </w:rPr>
        <w:t>43% premium</w:t>
      </w:r>
      <w:r>
        <w:t xml:space="preserve"> above comparable third-party rates</w:t>
      </w:r>
    </w:p>
    <w:p>
      <w:pPr>
        <w:pStyle w:val="ListBullet"/>
      </w:pPr>
      <w:r>
        <w:t xml:space="preserve">Violates </w:t>
      </w:r>
      <w:r>
        <w:rPr>
          <w:b/>
        </w:rPr>
        <w:t>arm's length principle</w:t>
      </w:r>
      <w:r>
        <w:t xml:space="preserve"> (OECD TP Guidelines, Comparable Uncontrolled Price method)</w:t>
      </w:r>
    </w:p>
    <w:p>
      <w:r>
        <w:rPr>
          <w:b/>
        </w:rPr>
        <w:t>PetroGlobal's Defense:</w:t>
      </w:r>
    </w:p>
    <w:p>
      <w:pPr>
        <w:pStyle w:val="ListBullet"/>
      </w:pPr>
      <w:r>
        <w:t xml:space="preserve">Affiliate company provided </w:t>
      </w:r>
      <w:r>
        <w:rPr>
          <w:b/>
        </w:rPr>
        <w:t>superior technology</w:t>
      </w:r>
      <w:r>
        <w:t xml:space="preserve"> (horizontal drilling expertise)</w:t>
      </w:r>
    </w:p>
    <w:p>
      <w:pPr>
        <w:pStyle w:val="ListBullet"/>
      </w:pPr>
      <w:r>
        <w:rPr>
          <w:b/>
        </w:rPr>
        <w:t>20-day faster</w:t>
      </w:r>
      <w:r>
        <w:t xml:space="preserve"> completion than industry average (reduced non-productive time)</w:t>
      </w:r>
    </w:p>
    <w:p>
      <w:pPr>
        <w:pStyle w:val="ListBullet"/>
      </w:pPr>
      <w:r>
        <w:t xml:space="preserve">Premium justified by </w:t>
      </w:r>
      <w:r>
        <w:rPr>
          <w:b/>
        </w:rPr>
        <w:t>value-added services</w:t>
      </w:r>
    </w:p>
    <w:p>
      <w:r>
        <w:rPr>
          <w:b/>
        </w:rPr>
        <w:t>Tribunal Analysis:</w:t>
      </w:r>
    </w:p>
    <w:p>
      <w:pPr>
        <w:pStyle w:val="ListBullet"/>
      </w:pPr>
      <w:r>
        <w:t xml:space="preserve">Apply </w:t>
      </w:r>
      <w:r>
        <w:rPr>
          <w:b/>
        </w:rPr>
        <w:t>Comparable Uncontrolled Price (CUP)</w:t>
      </w:r>
      <w:r>
        <w:t xml:space="preserve"> method (OECD transfer pricing method comparing affiliate transaction price to third-party market prices)</w:t>
      </w:r>
    </w:p>
    <w:p>
      <w:pPr>
        <w:pStyle w:val="ListBullet"/>
      </w:pPr>
      <w:r>
        <w:t xml:space="preserve">Adjust for </w:t>
      </w:r>
      <w:r>
        <w:rPr>
          <w:b/>
        </w:rPr>
        <w:t>functionality and risk differences</w:t>
      </w:r>
    </w:p>
    <w:p>
      <w:pPr>
        <w:pStyle w:val="ListBullet"/>
      </w:pPr>
      <w:r>
        <w:rPr>
          <w:b/>
        </w:rPr>
        <w:t>Technology premium</w:t>
      </w:r>
      <w:r>
        <w:t xml:space="preserve"> may justify </w:t>
      </w:r>
      <w:r>
        <w:rPr>
          <w:b/>
        </w:rPr>
        <w:t>10-15% markup</w:t>
      </w:r>
      <w:r>
        <w:t xml:space="preserve"> (supported by precedent: </w:t>
      </w:r>
      <w:r>
        <w:rPr>
          <w:i/>
        </w:rPr>
        <w:t>Shell v. Indonesia</w:t>
      </w:r>
      <w:r>
        <w:t>, ICC 2016)</w:t>
      </w:r>
    </w:p>
    <w:p>
      <w:pPr>
        <w:pStyle w:val="ListBullet"/>
      </w:pPr>
      <w:r>
        <w:rPr>
          <w:b/>
        </w:rPr>
        <w:t>43% premium excessive</w:t>
      </w:r>
    </w:p>
    <w:p>
      <w:r>
        <w:rPr>
          <w:b/>
        </w:rPr>
        <w:t>Likely Ruling:</w:t>
      </w:r>
    </w:p>
    <w:p>
      <w:pPr>
        <w:shd w:fill="F0F0F0"/>
        <w:spacing w:after="0" w:line="240" w:lineRule="auto"/>
      </w:pPr>
      <w:r>
        <w:rPr>
          <w:rFonts w:ascii="Courier New" w:hAnsi="Courier New"/>
          <w:sz w:val="20"/>
        </w:rPr>
        <w:t>Recoverable drilling costs: $35M + 15% technology premium = $40.25M</w:t>
      </w:r>
    </w:p>
    <w:p>
      <w:pPr>
        <w:shd w:fill="F0F0F0"/>
        <w:spacing w:after="0" w:line="240" w:lineRule="auto"/>
      </w:pPr>
      <w:r>
        <w:rPr>
          <w:rFonts w:ascii="Courier New" w:hAnsi="Courier New"/>
          <w:sz w:val="20"/>
        </w:rPr>
        <w:t>Disallowed: $50M - $40.25M = $9.75M</w:t>
      </w:r>
    </w:p>
    <w:p/>
    <w:p>
      <w:pPr>
        <w:spacing w:before="120" w:after="120"/>
        <w:pBdr>
          <w:bottom w:val="single" w:sz="6" w:space="1" w:color="auto"/>
        </w:pBdr>
      </w:pPr>
    </w:p>
    <w:p>
      <w:r>
        <w:rPr>
          <w:b/>
        </w:rPr>
        <w:t>Item 2: Technical Management Fees ($20M claimed vs. $8M cap)</w:t>
      </w:r>
    </w:p>
    <w:p>
      <w:r>
        <w:rPr>
          <w:b/>
        </w:rPr>
        <w:t>Country M's Argument:</w:t>
      </w:r>
    </w:p>
    <w:p>
      <w:pPr>
        <w:pStyle w:val="ListBullet"/>
      </w:pPr>
      <w:r>
        <w:t xml:space="preserve">PSC </w:t>
      </w:r>
      <w:r>
        <w:rPr>
          <w:b/>
        </w:rPr>
        <w:t>explicitly limits overhead</w:t>
      </w:r>
      <w:r>
        <w:t xml:space="preserve"> to </w:t>
      </w:r>
      <w:r>
        <w:rPr>
          <w:b/>
        </w:rPr>
        <w:t>2% of direct costs</w:t>
      </w:r>
    </w:p>
    <w:p>
      <w:pPr>
        <w:pStyle w:val="ListBullet"/>
      </w:pPr>
      <w:r>
        <w:t>Direct costs = $400M (undisputed) + drilling + seismic = ~$485M</w:t>
      </w:r>
    </w:p>
    <w:p>
      <w:pPr>
        <w:pStyle w:val="ListBullet"/>
      </w:pPr>
      <w:r>
        <w:rPr>
          <w:b/>
        </w:rPr>
        <w:t>2% cap</w:t>
      </w:r>
      <w:r>
        <w:t xml:space="preserve"> = $9.7M (allowing $8M based on undisputed costs only)</w:t>
      </w:r>
    </w:p>
    <w:p>
      <w:pPr>
        <w:pStyle w:val="ListBullet"/>
      </w:pPr>
      <w:r>
        <w:rPr>
          <w:b/>
        </w:rPr>
        <w:t>$20M claim exceeds contractual cap by 150%</w:t>
      </w:r>
    </w:p>
    <w:p>
      <w:r>
        <w:rPr>
          <w:b/>
        </w:rPr>
        <w:t>PetroGlobal's Defense:</w:t>
      </w:r>
    </w:p>
    <w:p>
      <w:pPr>
        <w:pStyle w:val="ListBullet"/>
      </w:pPr>
      <w:r>
        <w:t xml:space="preserve">Management fees are </w:t>
      </w:r>
      <w:r>
        <w:rPr>
          <w:b/>
        </w:rPr>
        <w:t>direct services</w:t>
      </w:r>
      <w:r>
        <w:t>, not "overhead" (distinction under PSC definitions)</w:t>
      </w:r>
    </w:p>
    <w:p>
      <w:pPr>
        <w:pStyle w:val="ListBullet"/>
      </w:pPr>
      <w:r>
        <w:t xml:space="preserve">Parent company provided </w:t>
      </w:r>
      <w:r>
        <w:rPr>
          <w:b/>
        </w:rPr>
        <w:t>dedicated staff</w:t>
      </w:r>
      <w:r>
        <w:t xml:space="preserve"> (12 engineers seconded full-time)</w:t>
      </w:r>
    </w:p>
    <w:p>
      <w:pPr>
        <w:pStyle w:val="ListBullet"/>
      </w:pPr>
      <w:r>
        <w:rPr>
          <w:b/>
        </w:rPr>
        <w:t>Explicit invoicing</w:t>
      </w:r>
      <w:r>
        <w:t xml:space="preserve"> of specific services (not general allocation)</w:t>
      </w:r>
    </w:p>
    <w:p>
      <w:r>
        <w:rPr>
          <w:b/>
        </w:rPr>
        <w:t>Tribunal Analysis:</w:t>
      </w:r>
    </w:p>
    <w:p>
      <w:pPr>
        <w:pStyle w:val="ListBullet"/>
      </w:pPr>
      <w:r>
        <w:t xml:space="preserve">Interpret </w:t>
      </w:r>
      <w:r>
        <w:rPr>
          <w:b/>
        </w:rPr>
        <w:t>"overhead"</w:t>
      </w:r>
      <w:r>
        <w:t xml:space="preserve"> per PSC definitions (typically: indirect costs not attributable to specific activities)</w:t>
      </w:r>
    </w:p>
    <w:p>
      <w:pPr>
        <w:pStyle w:val="ListBullet"/>
      </w:pPr>
      <w:r>
        <w:rPr>
          <w:b/>
        </w:rPr>
        <w:t>Seconded staff with time records</w:t>
      </w:r>
      <w:r>
        <w:t xml:space="preserve"> = </w:t>
      </w:r>
      <w:r>
        <w:rPr>
          <w:b/>
        </w:rPr>
        <w:t>direct costs</w:t>
      </w:r>
      <w:r>
        <w:t xml:space="preserve"> (precedent: </w:t>
      </w:r>
      <w:r>
        <w:rPr>
          <w:i/>
        </w:rPr>
        <w:t>BP v. Libya</w:t>
      </w:r>
      <w:r>
        <w:t>, ICC 2013)</w:t>
      </w:r>
    </w:p>
    <w:p>
      <w:pPr>
        <w:pStyle w:val="ListBullet"/>
      </w:pPr>
      <w:r>
        <w:rPr>
          <w:b/>
        </w:rPr>
        <w:t>General management allocations</w:t>
      </w:r>
      <w:r>
        <w:t xml:space="preserve"> = overhead (subject to 2% cap)</w:t>
      </w:r>
    </w:p>
    <w:p>
      <w:r>
        <w:rPr>
          <w:b/>
        </w:rPr>
        <w:t>Likely Ruling:</w:t>
      </w:r>
    </w:p>
    <w:p>
      <w:pPr>
        <w:shd w:fill="F0F0F0"/>
        <w:spacing w:after="0" w:line="240" w:lineRule="auto"/>
      </w:pPr>
      <w:r>
        <w:rPr>
          <w:rFonts w:ascii="Courier New" w:hAnsi="Courier New"/>
          <w:sz w:val="20"/>
        </w:rPr>
        <w:t>If PetroGlobal provides evidence of dedicated staff:</w:t>
      </w:r>
    </w:p>
    <w:p>
      <w:pPr>
        <w:shd w:fill="F0F0F0"/>
        <w:spacing w:after="0" w:line="240" w:lineRule="auto"/>
      </w:pPr>
      <w:r>
        <w:rPr>
          <w:rFonts w:ascii="Courier New" w:hAnsi="Courier New"/>
          <w:sz w:val="20"/>
        </w:rPr>
        <w:t>- Recoverable: $15M (dedicated staff costs)</w:t>
      </w:r>
    </w:p>
    <w:p>
      <w:pPr>
        <w:shd w:fill="F0F0F0"/>
        <w:spacing w:after="0" w:line="240" w:lineRule="auto"/>
      </w:pPr>
      <w:r>
        <w:rPr>
          <w:rFonts w:ascii="Courier New" w:hAnsi="Courier New"/>
          <w:sz w:val="20"/>
        </w:rPr>
        <w:t>- Disallowed: $5M (general management allocation exceeding cap)</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insufficient evidence:</w:t>
      </w:r>
    </w:p>
    <w:p>
      <w:pPr>
        <w:shd w:fill="F0F0F0"/>
        <w:spacing w:after="0" w:line="240" w:lineRule="auto"/>
      </w:pPr>
      <w:r>
        <w:rPr>
          <w:rFonts w:ascii="Courier New" w:hAnsi="Courier New"/>
          <w:sz w:val="20"/>
        </w:rPr>
        <w:t>- Recoverable: $8M (2% cap)</w:t>
      </w:r>
    </w:p>
    <w:p>
      <w:pPr>
        <w:shd w:fill="F0F0F0"/>
        <w:spacing w:after="0" w:line="240" w:lineRule="auto"/>
      </w:pPr>
      <w:r>
        <w:rPr>
          <w:rFonts w:ascii="Courier New" w:hAnsi="Courier New"/>
          <w:sz w:val="20"/>
        </w:rPr>
        <w:t>- Disallowed: $12M</w:t>
      </w:r>
    </w:p>
    <w:p/>
    <w:p>
      <w:r>
        <w:rPr>
          <w:b/>
        </w:rPr>
        <w:t>Assuming sufficient evidence:</w:t>
      </w:r>
      <w:r>
        <w:t xml:space="preserve"> </w:t>
      </w:r>
      <w:r>
        <w:rPr>
          <w:b/>
        </w:rPr>
        <w:t>$15M recoverable, $5M disallowed</w:t>
      </w:r>
    </w:p>
    <w:p>
      <w:pPr>
        <w:spacing w:before="120" w:after="120"/>
        <w:pBdr>
          <w:bottom w:val="single" w:sz="6" w:space="1" w:color="auto"/>
        </w:pBdr>
      </w:pPr>
    </w:p>
    <w:p>
      <w:r>
        <w:rPr>
          <w:b/>
        </w:rPr>
        <w:t>Item 3: Seismic Data Purchase ($15M - Pre-Effective Date)</w:t>
      </w:r>
    </w:p>
    <w:p>
      <w:r>
        <w:rPr>
          <w:b/>
        </w:rPr>
        <w:t>Country M's Argument:</w:t>
      </w:r>
    </w:p>
    <w:p>
      <w:pPr>
        <w:pStyle w:val="ListBullet"/>
      </w:pPr>
      <w:r>
        <w:t xml:space="preserve">Seismic data acquired </w:t>
      </w:r>
      <w:r>
        <w:rPr>
          <w:b/>
        </w:rPr>
        <w:t>2013</w:t>
      </w:r>
      <w:r>
        <w:t xml:space="preserve"> (2 years before PSC effective date: 2015)</w:t>
      </w:r>
    </w:p>
    <w:p>
      <w:pPr>
        <w:pStyle w:val="ListBullet"/>
      </w:pPr>
      <w:r>
        <w:t>PSC Article 12.3: "Only costs incurred after Effective Date are recoverable"</w:t>
      </w:r>
    </w:p>
    <w:p>
      <w:pPr>
        <w:pStyle w:val="ListBullet"/>
      </w:pPr>
      <w:r>
        <w:rPr>
          <w:b/>
        </w:rPr>
        <w:t>Clear contractual exclusion</w:t>
      </w:r>
    </w:p>
    <w:p>
      <w:r>
        <w:rPr>
          <w:b/>
        </w:rPr>
        <w:t>PetroGlobal's Defense:</w:t>
      </w:r>
    </w:p>
    <w:p>
      <w:pPr>
        <w:pStyle w:val="ListBullet"/>
      </w:pPr>
      <w:r>
        <w:t xml:space="preserve">Data </w:t>
      </w:r>
      <w:r>
        <w:rPr>
          <w:b/>
        </w:rPr>
        <w:t>purchased</w:t>
      </w:r>
      <w:r>
        <w:t xml:space="preserve"> pre-effective date but </w:t>
      </w:r>
      <w:r>
        <w:rPr>
          <w:b/>
        </w:rPr>
        <w:t>used operationally</w:t>
      </w:r>
      <w:r>
        <w:t xml:space="preserve"> post-effective date</w:t>
      </w:r>
    </w:p>
    <w:p>
      <w:pPr>
        <w:pStyle w:val="ListBullet"/>
      </w:pPr>
      <w:r>
        <w:t xml:space="preserve">Essential for </w:t>
      </w:r>
      <w:r>
        <w:rPr>
          <w:b/>
        </w:rPr>
        <w:t>appraisal drilling</w:t>
      </w:r>
      <w:r>
        <w:t xml:space="preserve"> (2023 drilling campaign relied on 2013 seismic)</w:t>
      </w:r>
    </w:p>
    <w:p>
      <w:pPr>
        <w:pStyle w:val="ListBullet"/>
      </w:pPr>
      <w:r>
        <w:rPr>
          <w:b/>
        </w:rPr>
        <w:t>Capitalized asset</w:t>
      </w:r>
      <w:r>
        <w:t xml:space="preserve"> with ongoing utility (should depreciate over useful life)</w:t>
      </w:r>
    </w:p>
    <w:p>
      <w:r>
        <w:rPr>
          <w:b/>
        </w:rPr>
        <w:t>Tribunal Analysis:</w:t>
      </w:r>
    </w:p>
    <w:p>
      <w:pPr>
        <w:pStyle w:val="ListBullet"/>
      </w:pPr>
      <w:r>
        <w:rPr>
          <w:b/>
        </w:rPr>
        <w:t>Strict interpretation</w:t>
      </w:r>
      <w:r>
        <w:t xml:space="preserve"> of "costs incurred" = </w:t>
      </w:r>
      <w:r>
        <w:rPr>
          <w:b/>
        </w:rPr>
        <w:t>date of expenditure</w:t>
      </w:r>
      <w:r>
        <w:t xml:space="preserve">, not usage (precedent: </w:t>
      </w:r>
      <w:r>
        <w:rPr>
          <w:i/>
        </w:rPr>
        <w:t>Chevron v. Kazakhstan</w:t>
      </w:r>
      <w:r>
        <w:t>, UNCITRAL 2015)</w:t>
      </w:r>
    </w:p>
    <w:p>
      <w:pPr>
        <w:pStyle w:val="ListBullet"/>
      </w:pPr>
      <w:r>
        <w:t xml:space="preserve">Pre-effective date costs typically </w:t>
      </w:r>
      <w:r>
        <w:rPr>
          <w:b/>
        </w:rPr>
        <w:t>non-recoverable</w:t>
      </w:r>
      <w:r>
        <w:t xml:space="preserve"> unless PSC explicitly allows "historical costs"</w:t>
      </w:r>
    </w:p>
    <w:p>
      <w:pPr>
        <w:pStyle w:val="ListBullet"/>
      </w:pPr>
      <w:r>
        <w:rPr>
          <w:b/>
        </w:rPr>
        <w:t>No ambiguity</w:t>
      </w:r>
      <w:r>
        <w:t xml:space="preserve"> in PSC Article 12.3</w:t>
      </w:r>
    </w:p>
    <w:p>
      <w:r>
        <w:rPr>
          <w:b/>
        </w:rPr>
        <w:t>Likely Ruling:</w:t>
      </w:r>
    </w:p>
    <w:p>
      <w:pPr>
        <w:shd w:fill="F0F0F0"/>
        <w:spacing w:after="0" w:line="240" w:lineRule="auto"/>
      </w:pPr>
      <w:r>
        <w:rPr>
          <w:rFonts w:ascii="Courier New" w:hAnsi="Courier New"/>
          <w:sz w:val="20"/>
        </w:rPr>
        <w:t>Disallowed: $15M (pre-effective date costs non-recoverable)</w:t>
      </w:r>
    </w:p>
    <w:p/>
    <w:p>
      <w:pPr>
        <w:spacing w:before="120" w:after="120"/>
        <w:pBdr>
          <w:bottom w:val="single" w:sz="6" w:space="1" w:color="auto"/>
        </w:pBdr>
      </w:pPr>
    </w:p>
    <w:p>
      <w:r>
        <w:rPr>
          <w:b/>
        </w:rPr>
        <w:t>Item 4: Legal Fees for Tax Dispute ($5M)</w:t>
      </w:r>
    </w:p>
    <w:p>
      <w:r>
        <w:rPr>
          <w:b/>
        </w:rPr>
        <w:t>Country M's Argument:</w:t>
      </w:r>
    </w:p>
    <w:p>
      <w:pPr>
        <w:pStyle w:val="ListBullet"/>
      </w:pPr>
      <w:r>
        <w:t xml:space="preserve">Legal fees relate to </w:t>
      </w:r>
      <w:r>
        <w:rPr>
          <w:b/>
        </w:rPr>
        <w:t>separate tax assessment dispute</w:t>
      </w:r>
      <w:r>
        <w:t xml:space="preserve"> with Ministry of Finance</w:t>
      </w:r>
    </w:p>
    <w:p>
      <w:pPr>
        <w:pStyle w:val="ListBullet"/>
      </w:pPr>
      <w:r>
        <w:t>PSC Article 12.1: "Recoverable costs limited to petroleum operations"</w:t>
      </w:r>
    </w:p>
    <w:p>
      <w:pPr>
        <w:pStyle w:val="ListBullet"/>
      </w:pPr>
      <w:r>
        <w:rPr>
          <w:b/>
        </w:rPr>
        <w:t>Tax compliance</w:t>
      </w:r>
      <w:r>
        <w:t xml:space="preserve"> is </w:t>
      </w:r>
      <w:r>
        <w:rPr>
          <w:b/>
        </w:rPr>
        <w:t>contractor's general obligation</w:t>
      </w:r>
      <w:r>
        <w:t>, not operational cost</w:t>
      </w:r>
    </w:p>
    <w:p>
      <w:r>
        <w:rPr>
          <w:b/>
        </w:rPr>
        <w:t>PetroGlobal's Defense:</w:t>
      </w:r>
    </w:p>
    <w:p>
      <w:pPr>
        <w:pStyle w:val="ListBullet"/>
      </w:pPr>
      <w:r>
        <w:t xml:space="preserve">Tax dispute arose from </w:t>
      </w:r>
      <w:r>
        <w:rPr>
          <w:b/>
        </w:rPr>
        <w:t>PSC profit oil tax treatment</w:t>
      </w:r>
      <w:r>
        <w:t xml:space="preserve"> (directly related to PSC operations)</w:t>
      </w:r>
    </w:p>
    <w:p>
      <w:pPr>
        <w:pStyle w:val="ListBullet"/>
      </w:pPr>
      <w:r>
        <w:rPr>
          <w:b/>
        </w:rPr>
        <w:t>Necessary for protecting</w:t>
      </w:r>
      <w:r>
        <w:t xml:space="preserve"> cost recovery rights</w:t>
      </w:r>
    </w:p>
    <w:p>
      <w:pPr>
        <w:pStyle w:val="ListBullet"/>
      </w:pPr>
      <w:r>
        <w:t>Analogous to "legal costs for contract enforcement" (recoverable per industry practice)</w:t>
      </w:r>
    </w:p>
    <w:p>
      <w:r>
        <w:rPr>
          <w:b/>
        </w:rPr>
        <w:t>Tribunal Analysis:</w:t>
      </w:r>
    </w:p>
    <w:p>
      <w:pPr>
        <w:pStyle w:val="ListBullet"/>
      </w:pPr>
      <w:r>
        <w:rPr>
          <w:b/>
        </w:rPr>
        <w:t>PSC nexus test</w:t>
      </w:r>
      <w:r>
        <w:t xml:space="preserve">: Are legal fees </w:t>
      </w:r>
      <w:r>
        <w:rPr>
          <w:b/>
        </w:rPr>
        <w:t>directly related to petroleum operations</w:t>
      </w:r>
      <w:r>
        <w:t>?</w:t>
      </w:r>
    </w:p>
    <w:p>
      <w:pPr>
        <w:pStyle w:val="ListBullet"/>
      </w:pPr>
      <w:r>
        <w:t xml:space="preserve">Tax disputes with </w:t>
      </w:r>
      <w:r>
        <w:rPr>
          <w:b/>
        </w:rPr>
        <w:t>third-party tax authorities</w:t>
      </w:r>
      <w:r>
        <w:t xml:space="preserve"> typically </w:t>
      </w:r>
      <w:r>
        <w:rPr>
          <w:b/>
        </w:rPr>
        <w:t>non-recoverable</w:t>
      </w:r>
      <w:r>
        <w:t xml:space="preserve"> (precedent: </w:t>
      </w:r>
      <w:r>
        <w:rPr>
          <w:i/>
        </w:rPr>
        <w:t>Total v. Angola</w:t>
      </w:r>
      <w:r>
        <w:t>, ICC 2011)</w:t>
      </w:r>
    </w:p>
    <w:p>
      <w:pPr>
        <w:pStyle w:val="ListBullet"/>
      </w:pPr>
      <w:r>
        <w:t xml:space="preserve">Distinguished from </w:t>
      </w:r>
      <w:r>
        <w:rPr>
          <w:b/>
        </w:rPr>
        <w:t>PSC arbitration costs</w:t>
      </w:r>
      <w:r>
        <w:t xml:space="preserve"> (directly related, typically recoverable)</w:t>
      </w:r>
    </w:p>
    <w:p>
      <w:r>
        <w:rPr>
          <w:b/>
        </w:rPr>
        <w:t>Likely Ruling:</w:t>
      </w:r>
    </w:p>
    <w:p>
      <w:pPr>
        <w:shd w:fill="F0F0F0"/>
        <w:spacing w:after="0" w:line="240" w:lineRule="auto"/>
      </w:pPr>
      <w:r>
        <w:rPr>
          <w:rFonts w:ascii="Courier New" w:hAnsi="Courier New"/>
          <w:sz w:val="20"/>
        </w:rPr>
        <w:t>Disallowed: $5M (tax dispute costs not operational)</w:t>
      </w:r>
    </w:p>
    <w:p/>
    <w:p>
      <w:pPr>
        <w:spacing w:before="120" w:after="120"/>
        <w:pBdr>
          <w:bottom w:val="single" w:sz="6" w:space="1" w:color="auto"/>
        </w:pBdr>
      </w:pPr>
    </w:p>
    <w:p>
      <w:r>
        <w:rPr>
          <w:b/>
        </w:rPr>
        <w:t>Step 3: Summary of Tribunal Ruling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Cost Item</w:t>
            </w:r>
          </w:p>
        </w:tc>
        <w:tc>
          <w:tcPr>
            <w:tcW w:type="dxa" w:w="2160"/>
          </w:tcPr>
          <w:p>
            <w:r>
              <w:rPr>
                <w:b/>
              </w:rPr>
            </w:r>
            <w:r>
              <w:rPr>
                <w:b/>
              </w:rPr>
              <w:t>Claimed</w:t>
            </w:r>
          </w:p>
        </w:tc>
        <w:tc>
          <w:tcPr>
            <w:tcW w:type="dxa" w:w="2160"/>
          </w:tcPr>
          <w:p>
            <w:r>
              <w:rPr>
                <w:b/>
              </w:rPr>
            </w:r>
            <w:r>
              <w:rPr>
                <w:b/>
              </w:rPr>
              <w:t>Likely Allowed</w:t>
            </w:r>
          </w:p>
        </w:tc>
        <w:tc>
          <w:tcPr>
            <w:tcW w:type="dxa" w:w="2160"/>
          </w:tcPr>
          <w:p>
            <w:r>
              <w:rPr>
                <w:b/>
              </w:rPr>
            </w:r>
            <w:r>
              <w:rPr>
                <w:b/>
              </w:rPr>
              <w:t>Disallowed</w:t>
            </w:r>
          </w:p>
        </w:tc>
      </w:tr>
      <w:tr>
        <w:tc>
          <w:tcPr>
            <w:tcW w:type="dxa" w:w="2160"/>
          </w:tcPr>
          <w:p>
            <w:r/>
            <w:r>
              <w:t>Drilling services (affiliate)</w:t>
            </w:r>
          </w:p>
        </w:tc>
        <w:tc>
          <w:tcPr>
            <w:tcW w:type="dxa" w:w="2160"/>
          </w:tcPr>
          <w:p>
            <w:r/>
            <w:r>
              <w:t>$50M</w:t>
            </w:r>
          </w:p>
        </w:tc>
        <w:tc>
          <w:tcPr>
            <w:tcW w:type="dxa" w:w="2160"/>
          </w:tcPr>
          <w:p>
            <w:r/>
            <w:r>
              <w:t>$40.25M</w:t>
            </w:r>
          </w:p>
        </w:tc>
        <w:tc>
          <w:tcPr>
            <w:tcW w:type="dxa" w:w="2160"/>
          </w:tcPr>
          <w:p>
            <w:r/>
            <w:r>
              <w:t>$9.75M</w:t>
            </w:r>
          </w:p>
        </w:tc>
      </w:tr>
      <w:tr>
        <w:tc>
          <w:tcPr>
            <w:tcW w:type="dxa" w:w="2160"/>
          </w:tcPr>
          <w:p>
            <w:r/>
            <w:r>
              <w:t>Technical management fees</w:t>
            </w:r>
          </w:p>
        </w:tc>
        <w:tc>
          <w:tcPr>
            <w:tcW w:type="dxa" w:w="2160"/>
          </w:tcPr>
          <w:p>
            <w:r/>
            <w:r>
              <w:t>$20M</w:t>
            </w:r>
          </w:p>
        </w:tc>
        <w:tc>
          <w:tcPr>
            <w:tcW w:type="dxa" w:w="2160"/>
          </w:tcPr>
          <w:p>
            <w:r/>
            <w:r>
              <w:t>$15M</w:t>
            </w:r>
          </w:p>
        </w:tc>
        <w:tc>
          <w:tcPr>
            <w:tcW w:type="dxa" w:w="2160"/>
          </w:tcPr>
          <w:p>
            <w:r/>
            <w:r>
              <w:t>$5M</w:t>
            </w:r>
          </w:p>
        </w:tc>
      </w:tr>
      <w:tr>
        <w:tc>
          <w:tcPr>
            <w:tcW w:type="dxa" w:w="2160"/>
          </w:tcPr>
          <w:p>
            <w:r/>
            <w:r>
              <w:t>Seismic data (pre-effective date)</w:t>
            </w:r>
          </w:p>
        </w:tc>
        <w:tc>
          <w:tcPr>
            <w:tcW w:type="dxa" w:w="2160"/>
          </w:tcPr>
          <w:p>
            <w:r/>
            <w:r>
              <w:t>$15M</w:t>
            </w:r>
          </w:p>
        </w:tc>
        <w:tc>
          <w:tcPr>
            <w:tcW w:type="dxa" w:w="2160"/>
          </w:tcPr>
          <w:p>
            <w:r/>
            <w:r>
              <w:t>$0</w:t>
            </w:r>
          </w:p>
        </w:tc>
        <w:tc>
          <w:tcPr>
            <w:tcW w:type="dxa" w:w="2160"/>
          </w:tcPr>
          <w:p>
            <w:r/>
            <w:r>
              <w:t>$15M</w:t>
            </w:r>
          </w:p>
        </w:tc>
      </w:tr>
      <w:tr>
        <w:tc>
          <w:tcPr>
            <w:tcW w:type="dxa" w:w="2160"/>
          </w:tcPr>
          <w:p>
            <w:r/>
            <w:r>
              <w:t>Legal fees (tax dispute)</w:t>
            </w:r>
          </w:p>
        </w:tc>
        <w:tc>
          <w:tcPr>
            <w:tcW w:type="dxa" w:w="2160"/>
          </w:tcPr>
          <w:p>
            <w:r/>
            <w:r>
              <w:t>$5M</w:t>
            </w:r>
          </w:p>
        </w:tc>
        <w:tc>
          <w:tcPr>
            <w:tcW w:type="dxa" w:w="2160"/>
          </w:tcPr>
          <w:p>
            <w:r/>
            <w:r>
              <w:t>$0</w:t>
            </w:r>
          </w:p>
        </w:tc>
        <w:tc>
          <w:tcPr>
            <w:tcW w:type="dxa" w:w="2160"/>
          </w:tcPr>
          <w:p>
            <w:r/>
            <w:r>
              <w:t>$5M</w:t>
            </w:r>
          </w:p>
        </w:tc>
      </w:tr>
      <w:tr>
        <w:tc>
          <w:tcPr>
            <w:tcW w:type="dxa" w:w="2160"/>
          </w:tcPr>
          <w:p>
            <w:r/>
            <w:r>
              <w:rPr>
                <w:b/>
              </w:rPr>
              <w:t>Total disputed costs</w:t>
            </w:r>
          </w:p>
        </w:tc>
        <w:tc>
          <w:tcPr>
            <w:tcW w:type="dxa" w:w="2160"/>
          </w:tcPr>
          <w:p>
            <w:r/>
            <w:r>
              <w:rPr>
                <w:b/>
              </w:rPr>
              <w:t>$90M</w:t>
            </w:r>
          </w:p>
        </w:tc>
        <w:tc>
          <w:tcPr>
            <w:tcW w:type="dxa" w:w="2160"/>
          </w:tcPr>
          <w:p>
            <w:r/>
            <w:r>
              <w:rPr>
                <w:b/>
              </w:rPr>
              <w:t>$55.25M</w:t>
            </w:r>
          </w:p>
        </w:tc>
        <w:tc>
          <w:tcPr>
            <w:tcW w:type="dxa" w:w="2160"/>
          </w:tcPr>
          <w:p>
            <w:r/>
            <w:r>
              <w:rPr>
                <w:b/>
              </w:rPr>
              <w:t>$34.75M</w:t>
            </w:r>
          </w:p>
        </w:tc>
      </w:tr>
    </w:tbl>
    <w:p/>
    <w:p>
      <w:r>
        <w:rPr>
          <w:b/>
        </w:rPr>
        <w:t>Step 4: Final Cost Recovery Calculation</w:t>
      </w:r>
    </w:p>
    <w:p>
      <w:pPr>
        <w:shd w:fill="F0F0F0"/>
        <w:spacing w:after="0" w:line="240" w:lineRule="auto"/>
      </w:pPr>
      <w:r>
        <w:rPr>
          <w:rFonts w:ascii="Courier New" w:hAnsi="Courier New"/>
          <w:sz w:val="20"/>
        </w:rPr>
        <w:t>Undisputed costs:                               $400.00M</w:t>
      </w:r>
    </w:p>
    <w:p>
      <w:pPr>
        <w:shd w:fill="F0F0F0"/>
        <w:spacing w:after="0" w:line="240" w:lineRule="auto"/>
      </w:pPr>
      <w:r>
        <w:rPr>
          <w:rFonts w:ascii="Courier New" w:hAnsi="Courier New"/>
          <w:sz w:val="20"/>
        </w:rPr>
        <w:t>Disputed costs (tribunal-allowed):               $55.25M</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Total recoverable costs:                        $455.25M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Cost recovery ceiling (70% × $800M):            $560.00M</w:t>
      </w:r>
    </w:p>
    <w:p>
      <w:pPr>
        <w:shd w:fill="F0F0F0"/>
        <w:spacing w:after="0" w:line="240" w:lineRule="auto"/>
      </w:pPr>
      <w:r>
        <w:rPr>
          <w:rFonts w:ascii="Courier New" w:hAnsi="Courier New"/>
          <w:sz w:val="20"/>
        </w:rPr>
        <w:t>Actual cost recovery:                           $455.25M (within ceiling)</w:t>
      </w:r>
    </w:p>
    <w:p>
      <w:pPr>
        <w:shd w:fill="F0F0F0"/>
        <w:spacing w:after="0" w:line="240" w:lineRule="auto"/>
      </w:pPr>
      <w:r>
        <w:rPr>
          <w:rFonts w:ascii="Courier New" w:hAnsi="Courier New"/>
          <w:sz w:val="20"/>
        </w:rPr>
        <w:t xml:space="preserve">                                                ═════════</w:t>
      </w:r>
    </w:p>
    <w:p/>
    <w:p>
      <w:r>
        <w:rPr>
          <w:b/>
        </w:rPr>
        <w:t>Step 5: Impact on Profit Oil</w:t>
      </w:r>
    </w:p>
    <w:p>
      <w:pPr>
        <w:shd w:fill="F0F0F0"/>
        <w:spacing w:after="0" w:line="240" w:lineRule="auto"/>
      </w:pPr>
      <w:r>
        <w:rPr>
          <w:rFonts w:ascii="Courier New" w:hAnsi="Courier New"/>
          <w:sz w:val="20"/>
        </w:rPr>
        <w:t>Gross production value:                         $800.00M</w:t>
      </w:r>
    </w:p>
    <w:p>
      <w:pPr>
        <w:shd w:fill="F0F0F0"/>
        <w:spacing w:after="0" w:line="240" w:lineRule="auto"/>
      </w:pPr>
      <w:r>
        <w:rPr>
          <w:rFonts w:ascii="Courier New" w:hAnsi="Courier New"/>
          <w:sz w:val="20"/>
        </w:rPr>
        <w:t>Less: Cost recovery:                           ($455.25M)</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Profit oil:                                     $344.75M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Government share (70%):                         $241.33M</w:t>
      </w:r>
    </w:p>
    <w:p>
      <w:pPr>
        <w:shd w:fill="F0F0F0"/>
        <w:spacing w:after="0" w:line="240" w:lineRule="auto"/>
      </w:pPr>
      <w:r>
        <w:rPr>
          <w:rFonts w:ascii="Courier New" w:hAnsi="Courier New"/>
          <w:sz w:val="20"/>
        </w:rPr>
        <w:t>Contractor share (30%):                         $103.42M</w:t>
      </w:r>
    </w:p>
    <w:p/>
    <w:p>
      <w:r>
        <w:rPr>
          <w:b/>
        </w:rPr>
        <w:t>If PetroGlobal's full claim ($490M) had been allowed:</w:t>
      </w:r>
    </w:p>
    <w:p>
      <w:pPr>
        <w:shd w:fill="F0F0F0"/>
        <w:spacing w:after="0" w:line="240" w:lineRule="auto"/>
      </w:pPr>
      <w:r>
        <w:rPr>
          <w:rFonts w:ascii="Courier New" w:hAnsi="Courier New"/>
          <w:sz w:val="20"/>
        </w:rPr>
        <w:t>Profit oil: $800M - $490M = $310M</w:t>
      </w:r>
    </w:p>
    <w:p>
      <w:pPr>
        <w:shd w:fill="F0F0F0"/>
        <w:spacing w:after="0" w:line="240" w:lineRule="auto"/>
      </w:pPr>
      <w:r>
        <w:rPr>
          <w:rFonts w:ascii="Courier New" w:hAnsi="Courier New"/>
          <w:sz w:val="20"/>
        </w:rPr>
        <w:t>Government share (70%): $217M</w:t>
      </w:r>
    </w:p>
    <w:p>
      <w:pPr>
        <w:shd w:fill="F0F0F0"/>
        <w:spacing w:after="0" w:line="240" w:lineRule="auto"/>
      </w:pPr>
      <w:r>
        <w:rPr>
          <w:rFonts w:ascii="Courier New" w:hAnsi="Courier New"/>
          <w:sz w:val="20"/>
        </w:rPr>
        <w:t>Contractor share (30%): $93M</w:t>
      </w:r>
    </w:p>
    <w:p/>
    <w:p>
      <w:r>
        <w:rPr>
          <w:b/>
        </w:rPr>
        <w:t>Government Additional Revenue from Tribunal Ruling:</w:t>
      </w:r>
    </w:p>
    <w:p>
      <w:pPr>
        <w:shd w:fill="F0F0F0"/>
        <w:spacing w:after="0" w:line="240" w:lineRule="auto"/>
      </w:pPr>
      <w:r>
        <w:rPr>
          <w:rFonts w:ascii="Courier New" w:hAnsi="Courier New"/>
          <w:sz w:val="20"/>
        </w:rPr>
        <w:t>Government profit oil (tribunal): $241.33M</w:t>
      </w:r>
    </w:p>
    <w:p>
      <w:pPr>
        <w:shd w:fill="F0F0F0"/>
        <w:spacing w:after="0" w:line="240" w:lineRule="auto"/>
      </w:pPr>
      <w:r>
        <w:rPr>
          <w:rFonts w:ascii="Courier New" w:hAnsi="Courier New"/>
          <w:sz w:val="20"/>
        </w:rPr>
        <w:t>Government profit oil (if full claim allowed): $217.00M</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Additional government revenue: $24.33M</w:t>
      </w:r>
    </w:p>
    <w:p/>
    <w:p>
      <w:r>
        <w:rPr>
          <w:b/>
        </w:rPr>
        <w:t>Conclusion:</w:t>
      </w:r>
    </w:p>
    <w:p>
      <w:r>
        <w:t xml:space="preserve">The ICC tribunal is likely to </w:t>
      </w:r>
      <w:r>
        <w:rPr>
          <w:b/>
        </w:rPr>
        <w:t>partially uphold</w:t>
      </w:r>
      <w:r>
        <w:t xml:space="preserve"> Country M's challenge, disallowing </w:t>
      </w:r>
      <w:r>
        <w:rPr>
          <w:b/>
        </w:rPr>
        <w:t>$34.75M</w:t>
      </w:r>
      <w:r>
        <w:t xml:space="preserve"> of the </w:t>
      </w:r>
      <w:r>
        <w:rPr>
          <w:b/>
        </w:rPr>
        <w:t>$90M disputed costs</w:t>
      </w:r>
      <w:r>
        <w:t xml:space="preserve"> (38.6% reduction). This increases government profit oil by </w:t>
      </w:r>
      <w:r>
        <w:rPr>
          <w:b/>
        </w:rPr>
        <w:t>$24.33M</w:t>
      </w:r>
      <w:r>
        <w:t>. The ruling reinforces:</w:t>
      </w:r>
    </w:p>
    <w:p>
      <w:pPr>
        <w:pStyle w:val="ListNumber"/>
      </w:pPr>
      <w:r>
        <w:rPr>
          <w:b/>
        </w:rPr>
        <w:t>Arm's length principle</w:t>
      </w:r>
      <w:r>
        <w:t xml:space="preserve"> applies to affiliate transactions (drilling services reduced)</w:t>
      </w:r>
    </w:p>
    <w:p>
      <w:pPr>
        <w:pStyle w:val="ListNumber"/>
      </w:pPr>
      <w:r>
        <w:rPr>
          <w:b/>
        </w:rPr>
        <w:t>Contractual caps</w:t>
      </w:r>
      <w:r>
        <w:t xml:space="preserve"> are strictly enforced (overhead limitation)</w:t>
      </w:r>
    </w:p>
    <w:p>
      <w:pPr>
        <w:pStyle w:val="ListNumber"/>
      </w:pPr>
      <w:r>
        <w:rPr>
          <w:b/>
        </w:rPr>
        <w:t>Pre-effective date costs</w:t>
      </w:r>
      <w:r>
        <w:t xml:space="preserve"> are non-recoverable absent explicit PSC provision</w:t>
      </w:r>
    </w:p>
    <w:p>
      <w:pPr>
        <w:pStyle w:val="ListNumber"/>
      </w:pPr>
      <w:r>
        <w:rPr>
          <w:b/>
        </w:rPr>
        <w:t>Tax dispute costs</w:t>
      </w:r>
      <w:r>
        <w:t xml:space="preserve"> are non-operational and not recoverable</w:t>
      </w:r>
    </w:p>
    <w:p>
      <w:r>
        <w:rPr>
          <w:b/>
        </w:rPr>
        <w:t>Arbitration Costs:</w:t>
      </w:r>
      <w:r>
        <w:t xml:space="preserve"> Typically </w:t>
      </w:r>
      <w:r>
        <w:rPr>
          <w:b/>
        </w:rPr>
        <w:t>$2-5M</w:t>
      </w:r>
      <w:r>
        <w:t xml:space="preserve"> (tribunal fees, legal fees, ICC administrative costs), usually </w:t>
      </w:r>
      <w:r>
        <w:rPr>
          <w:b/>
        </w:rPr>
        <w:t>split 50/50</w:t>
      </w:r>
      <w:r>
        <w:t xml:space="preserve"> or allocated based on success ratio. Given partial success for both parties, likely </w:t>
      </w:r>
      <w:r>
        <w:rPr>
          <w:b/>
        </w:rPr>
        <w:t>50/50 split</w:t>
      </w:r>
      <w:r>
        <w:t xml:space="preserve"> = </w:t>
      </w:r>
      <w:r>
        <w:rPr>
          <w:b/>
        </w:rPr>
        <w:t>$1.5M each</w:t>
      </w:r>
      <w:r>
        <w:t xml:space="preserve"> (assuming $3M total costs).</w:t>
      </w:r>
    </w:p>
    <w:p>
      <w:r>
        <w:t>═══════════════════════════════════════════</w:t>
      </w:r>
    </w:p>
    <w:p>
      <w:pPr>
        <w:spacing w:before="120" w:after="120"/>
        <w:pBdr>
          <w:bottom w:val="single" w:sz="6" w:space="1" w:color="auto"/>
        </w:pBdr>
      </w:pPr>
    </w:p>
    <w:p>
      <w:pPr>
        <w:pStyle w:val="Heading2"/>
      </w:pPr>
      <w:r>
        <w:t>6. Worked Example 2: Investment Arbitration - Expropriation Claim</w:t>
      </w:r>
    </w:p>
    <w:p>
      <w:r>
        <w:t>═══════════════════════════════════════════</w:t>
      </w:r>
    </w:p>
    <w:p>
      <w:r>
        <w:rPr>
          <w:b/>
        </w:rPr>
        <w:t>WORKED EXAMPLE 2: ICSID Arbitration - Indirect Expropriation</w:t>
      </w:r>
    </w:p>
    <w:p>
      <w:r>
        <w:t>═══════════════════════════════════════════</w:t>
      </w:r>
    </w:p>
    <w:p>
      <w:r>
        <w:rPr>
          <w:b/>
        </w:rPr>
        <w:t>Facts:</w:t>
      </w:r>
    </w:p>
    <w:p>
      <w:r>
        <w:t xml:space="preserve">OilCorp Ltd (UK) holds a </w:t>
      </w:r>
      <w:r>
        <w:rPr>
          <w:b/>
        </w:rPr>
        <w:t>concession license</w:t>
      </w:r>
      <w:r>
        <w:t xml:space="preserve"> in Country Z's offshore area (awarded 2018, 30-year term). In 2024, Country Z enacted the </w:t>
      </w:r>
      <w:r>
        <w:rPr>
          <w:b/>
        </w:rPr>
        <w:t>"Climate Transition Act 2024"</w:t>
      </w:r>
      <w:r>
        <w:t>, imposing:</w:t>
      </w:r>
    </w:p>
    <w:p>
      <w:pPr>
        <w:pStyle w:val="ListNumber"/>
      </w:pPr>
      <w:r>
        <w:rPr>
          <w:b/>
        </w:rPr>
        <w:t>50% Carbon Emissions Tax</w:t>
      </w:r>
      <w:r>
        <w:t xml:space="preserve"> on oil production (effective immediately)</w:t>
      </w:r>
    </w:p>
    <w:p>
      <w:pPr>
        <w:pStyle w:val="ListNumber"/>
      </w:pPr>
      <w:r>
        <w:rPr>
          <w:b/>
        </w:rPr>
        <w:t>Prohibition on new drilling</w:t>
      </w:r>
      <w:r>
        <w:t xml:space="preserve"> in offshore areas (environmental protection)</w:t>
      </w:r>
    </w:p>
    <w:p>
      <w:pPr>
        <w:pStyle w:val="ListNumber"/>
      </w:pPr>
      <w:r>
        <w:rPr>
          <w:b/>
        </w:rPr>
        <w:t>Mandatory phase-out</w:t>
      </w:r>
      <w:r>
        <w:t xml:space="preserve"> of existing production by 2030 (6-year acceleration vs. original 2036 license expiry)</w:t>
      </w:r>
    </w:p>
    <w:p>
      <w:r>
        <w:rPr>
          <w:b/>
        </w:rPr>
        <w:t>Investment Value:</w:t>
      </w:r>
    </w:p>
    <w:p>
      <w:pPr>
        <w:pStyle w:val="ListBullet"/>
      </w:pPr>
      <w:r>
        <w:t xml:space="preserve">OilCorp invested </w:t>
      </w:r>
      <w:r>
        <w:rPr>
          <w:b/>
        </w:rPr>
        <w:t>$2 billion</w:t>
      </w:r>
      <w:r>
        <w:t xml:space="preserve"> in exploration, development (2018-2022)</w:t>
      </w:r>
    </w:p>
    <w:p>
      <w:pPr>
        <w:pStyle w:val="ListBullet"/>
      </w:pPr>
      <w:r>
        <w:t>Production commenced 2023</w:t>
      </w:r>
    </w:p>
    <w:p>
      <w:pPr>
        <w:pStyle w:val="ListBullet"/>
      </w:pPr>
      <w:r>
        <w:rPr>
          <w:b/>
        </w:rPr>
        <w:t>Expected Net Present Value (NPV) at licensing</w:t>
      </w:r>
      <w:r>
        <w:t>: $3.5 billion over 30 years</w:t>
      </w:r>
    </w:p>
    <w:p>
      <w:pPr>
        <w:pStyle w:val="ListBullet"/>
      </w:pPr>
      <w:r>
        <w:rPr>
          <w:b/>
        </w:rPr>
        <w:t>Expected NPV at 2024</w:t>
      </w:r>
      <w:r>
        <w:t>: $2.8 billion remaining (based on original 2036 expiry)</w:t>
      </w:r>
    </w:p>
    <w:p>
      <w:r>
        <w:rPr>
          <w:b/>
        </w:rPr>
        <w:t>Impact of Climate Transition Act:</w:t>
      </w:r>
    </w:p>
    <w:p>
      <w:pPr>
        <w:pStyle w:val="ListBullet"/>
      </w:pPr>
      <w:r>
        <w:rPr>
          <w:b/>
        </w:rPr>
        <w:t>Carbon tax</w:t>
      </w:r>
      <w:r>
        <w:t xml:space="preserve"> reduces annual profits by </w:t>
      </w:r>
      <w:r>
        <w:rPr>
          <w:b/>
        </w:rPr>
        <w:t>60%</w:t>
      </w:r>
    </w:p>
    <w:p>
      <w:pPr>
        <w:pStyle w:val="ListBullet"/>
      </w:pPr>
      <w:r>
        <w:rPr>
          <w:b/>
        </w:rPr>
        <w:t>Production phase-out</w:t>
      </w:r>
      <w:r>
        <w:t xml:space="preserve"> reduces project life from </w:t>
      </w:r>
      <w:r>
        <w:rPr>
          <w:b/>
        </w:rPr>
        <w:t>12 years remaining</w:t>
      </w:r>
      <w:r>
        <w:t xml:space="preserve"> to </w:t>
      </w:r>
      <w:r>
        <w:rPr>
          <w:b/>
        </w:rPr>
        <w:t>6 years</w:t>
      </w:r>
    </w:p>
    <w:p>
      <w:pPr>
        <w:pStyle w:val="ListBullet"/>
      </w:pPr>
      <w:r>
        <w:rPr>
          <w:b/>
        </w:rPr>
        <w:t>Revised NPV</w:t>
      </w:r>
      <w:r>
        <w:t>: $600 million (78.6% reduction from expected $2.8B)</w:t>
      </w:r>
    </w:p>
    <w:p>
      <w:r>
        <w:rPr>
          <w:b/>
        </w:rPr>
        <w:t>Bilateral Investment Treaty:</w:t>
      </w:r>
    </w:p>
    <w:p>
      <w:r>
        <w:t>UK-Country Z BIT (2010) provides:</w:t>
      </w:r>
    </w:p>
    <w:p>
      <w:pPr>
        <w:pStyle w:val="ListBullet"/>
      </w:pPr>
      <w:r>
        <w:rPr>
          <w:b/>
        </w:rPr>
        <w:t>Article II</w:t>
      </w:r>
      <w:r>
        <w:t>: Fair and Equitable Treatment (FET)</w:t>
      </w:r>
    </w:p>
    <w:p>
      <w:pPr>
        <w:pStyle w:val="ListBullet"/>
      </w:pPr>
      <w:r>
        <w:rPr>
          <w:b/>
        </w:rPr>
        <w:t>Article III</w:t>
      </w:r>
      <w:r>
        <w:t>: "Neither Party shall expropriate investments except for public purpose, in a non-discriminatory manner, upon payment of prompt, adequate, and effective compensation equivalent to fair market value"</w:t>
      </w:r>
    </w:p>
    <w:p>
      <w:pPr>
        <w:pStyle w:val="ListBullet"/>
      </w:pPr>
      <w:r>
        <w:rPr>
          <w:b/>
        </w:rPr>
        <w:t>Article VII</w:t>
      </w:r>
      <w:r>
        <w:t xml:space="preserve">: Investor-state arbitration via </w:t>
      </w:r>
      <w:r>
        <w:rPr>
          <w:b/>
        </w:rPr>
        <w:t>ICSID</w:t>
      </w:r>
      <w:r>
        <w:t xml:space="preserve"> or </w:t>
      </w:r>
      <w:r>
        <w:rPr>
          <w:b/>
        </w:rPr>
        <w:t>UNCITRAL</w:t>
      </w:r>
      <w:r>
        <w:t xml:space="preserve"> (investor's choice)</w:t>
      </w:r>
    </w:p>
    <w:p>
      <w:r>
        <w:rPr>
          <w:b/>
        </w:rPr>
        <w:t>OilCorp initiated ICSID arbitration</w:t>
      </w:r>
      <w:r>
        <w:t xml:space="preserve"> (2025), claiming </w:t>
      </w:r>
      <w:r>
        <w:rPr>
          <w:b/>
        </w:rPr>
        <w:t>indirect expropriation</w:t>
      </w:r>
      <w:r>
        <w:t xml:space="preserve"> and </w:t>
      </w:r>
      <w:r>
        <w:rPr>
          <w:b/>
        </w:rPr>
        <w:t>FET breach</w:t>
      </w:r>
      <w:r>
        <w:t>.</w:t>
      </w:r>
    </w:p>
    <w:p>
      <w:r>
        <w:rPr>
          <w:b/>
        </w:rPr>
        <w:t>Required:</w:t>
      </w:r>
    </w:p>
    <w:p>
      <w:pPr>
        <w:pStyle w:val="ListNumber"/>
      </w:pPr>
      <w:r>
        <w:t xml:space="preserve">Analyze whether Country Z's measures constitute </w:t>
      </w:r>
      <w:r>
        <w:rPr>
          <w:b/>
        </w:rPr>
        <w:t>indirect expropriation</w:t>
      </w:r>
      <w:r>
        <w:t xml:space="preserve"> under international law</w:t>
      </w:r>
    </w:p>
    <w:p>
      <w:pPr>
        <w:pStyle w:val="ListNumber"/>
      </w:pPr>
      <w:r>
        <w:t xml:space="preserve">Determine applicable </w:t>
      </w:r>
      <w:r>
        <w:rPr>
          <w:b/>
        </w:rPr>
        <w:t>compensation standard</w:t>
      </w:r>
    </w:p>
    <w:p>
      <w:pPr>
        <w:pStyle w:val="ListNumber"/>
      </w:pPr>
      <w:r>
        <w:t>Calculate potential award</w:t>
      </w:r>
    </w:p>
    <w:p>
      <w:r>
        <w:rPr>
          <w:b/>
        </w:rPr>
        <w:t>Analysis:</w:t>
      </w:r>
    </w:p>
    <w:p>
      <w:r>
        <w:rPr>
          <w:b/>
        </w:rPr>
        <w:t>Step 1: Legal Framework for Indirect Expropriation</w:t>
      </w:r>
    </w:p>
    <w:p>
      <w:r>
        <w:rPr>
          <w:b/>
        </w:rPr>
        <w:t>Indirect (regulatory) expropriation</w:t>
      </w:r>
      <w:r>
        <w:t xml:space="preserve"> occurs when state measures, </w:t>
      </w:r>
      <w:r>
        <w:rPr>
          <w:b/>
        </w:rPr>
        <w:t>without formal taking of title</w:t>
      </w:r>
      <w:r>
        <w:t xml:space="preserve">, </w:t>
      </w:r>
      <w:r>
        <w:rPr>
          <w:b/>
        </w:rPr>
        <w:t>substantially deprive</w:t>
      </w:r>
      <w:r>
        <w:t xml:space="preserve"> investment value [Restatement (Third) of Foreign Relations Law, §712].</w:t>
      </w:r>
    </w:p>
    <w:p>
      <w:r>
        <w:rPr>
          <w:b/>
        </w:rPr>
        <w:t>Test (Established in *Metalclad v. Mexico*, ICSID ARB(AF)/97/1):</w:t>
      </w:r>
    </w:p>
    <w:p>
      <w:pPr>
        <w:pStyle w:val="ListNumber"/>
      </w:pPr>
      <w:r>
        <w:rPr>
          <w:b/>
        </w:rPr>
        <w:t>Substantial deprivation</w:t>
      </w:r>
      <w:r>
        <w:t xml:space="preserve"> of investment value (&gt;50-70% typically)</w:t>
      </w:r>
    </w:p>
    <w:p>
      <w:pPr>
        <w:pStyle w:val="ListNumber"/>
      </w:pPr>
      <w:r>
        <w:rPr>
          <w:b/>
        </w:rPr>
        <w:t>Permanence</w:t>
      </w:r>
      <w:r>
        <w:t xml:space="preserve"> of measure (not temporary)</w:t>
      </w:r>
    </w:p>
    <w:p>
      <w:pPr>
        <w:pStyle w:val="ListNumber"/>
      </w:pPr>
      <w:r>
        <w:rPr>
          <w:b/>
        </w:rPr>
        <w:t>Reasonable investment-backed expectations</w:t>
      </w:r>
      <w:r>
        <w:t xml:space="preserve"> defeated</w:t>
      </w:r>
    </w:p>
    <w:p>
      <w:pPr>
        <w:pStyle w:val="ListNumber"/>
      </w:pPr>
      <w:r>
        <w:rPr>
          <w:b/>
        </w:rPr>
        <w:t>Public purpose</w:t>
      </w:r>
      <w:r>
        <w:t xml:space="preserve"> and </w:t>
      </w:r>
      <w:r>
        <w:rPr>
          <w:b/>
        </w:rPr>
        <w:t>proportionality</w:t>
      </w:r>
      <w:r>
        <w:t xml:space="preserve"> analysis (post-</w:t>
      </w:r>
      <w:r>
        <w:rPr>
          <w:i/>
        </w:rPr>
        <w:t>Philip Morris v. Uruguay</w:t>
      </w:r>
      <w:r>
        <w:t xml:space="preserve"> balancing test)</w:t>
      </w:r>
    </w:p>
    <w:p>
      <w:r>
        <w:rPr>
          <w:b/>
        </w:rPr>
        <w:t>Step 2: Application to Facts</w:t>
      </w:r>
    </w:p>
    <w:p>
      <w:r>
        <w:rPr>
          <w:b/>
        </w:rPr>
        <w:t>1. Substantial Deprivation Test:</w:t>
      </w:r>
    </w:p>
    <w:p>
      <w:pPr>
        <w:shd w:fill="F0F0F0"/>
        <w:spacing w:after="0" w:line="240" w:lineRule="auto"/>
      </w:pPr>
      <w:r>
        <w:rPr>
          <w:rFonts w:ascii="Courier New" w:hAnsi="Courier New"/>
          <w:sz w:val="20"/>
        </w:rPr>
        <w:t>Original expected NPV (2024):                   $2,800M</w:t>
      </w:r>
    </w:p>
    <w:p>
      <w:pPr>
        <w:shd w:fill="F0F0F0"/>
        <w:spacing w:after="0" w:line="240" w:lineRule="auto"/>
      </w:pPr>
      <w:r>
        <w:rPr>
          <w:rFonts w:ascii="Courier New" w:hAnsi="Courier New"/>
          <w:sz w:val="20"/>
        </w:rPr>
        <w:t>Post-Climate Act NPV:                           $600M</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Value loss:                                     $2,200M</w:t>
      </w:r>
    </w:p>
    <w:p>
      <w:pPr>
        <w:shd w:fill="F0F0F0"/>
        <w:spacing w:after="0" w:line="240" w:lineRule="auto"/>
      </w:pPr>
      <w:r>
        <w:rPr>
          <w:rFonts w:ascii="Courier New" w:hAnsi="Courier New"/>
          <w:sz w:val="20"/>
        </w:rPr>
        <w:t>Percentage loss: $2,200M / $2,800M = 78.6%</w:t>
      </w:r>
    </w:p>
    <w:p/>
    <w:p>
      <w:r>
        <w:rPr>
          <w:b/>
        </w:rPr>
        <w:t>Conclusion:</w:t>
      </w:r>
      <w:r>
        <w:t xml:space="preserve"> </w:t>
      </w:r>
      <w:r>
        <w:rPr>
          <w:b/>
        </w:rPr>
        <w:t>78.6% value loss</w:t>
      </w:r>
      <w:r>
        <w:t xml:space="preserve"> satisfies </w:t>
      </w:r>
      <w:r>
        <w:rPr>
          <w:b/>
        </w:rPr>
        <w:t>substantial deprivation</w:t>
      </w:r>
      <w:r>
        <w:t xml:space="preserve"> threshold (precedent: &gt;70% in </w:t>
      </w:r>
      <w:r>
        <w:rPr>
          <w:i/>
        </w:rPr>
        <w:t>Tecmed v. Mexico</w:t>
      </w:r>
      <w:r>
        <w:t>, ICSID ARB(AF)/00/2).</w:t>
      </w:r>
    </w:p>
    <w:p>
      <w:r>
        <w:rPr>
          <w:b/>
        </w:rPr>
        <w:t>2. Permanence:</w:t>
      </w:r>
    </w:p>
    <w:p>
      <w:r>
        <w:t xml:space="preserve">The </w:t>
      </w:r>
      <w:r>
        <w:rPr>
          <w:b/>
        </w:rPr>
        <w:t>phase-out by 2030</w:t>
      </w:r>
      <w:r>
        <w:t xml:space="preserve"> is </w:t>
      </w:r>
      <w:r>
        <w:rPr>
          <w:b/>
        </w:rPr>
        <w:t>permanent</w:t>
      </w:r>
      <w:r>
        <w:t xml:space="preserve"> (not temporary regulatory adjustment). Production will </w:t>
      </w:r>
      <w:r>
        <w:rPr>
          <w:b/>
        </w:rPr>
        <w:t>cease entirely</w:t>
      </w:r>
      <w:r>
        <w:t xml:space="preserve"> in 6 years.</w:t>
      </w:r>
    </w:p>
    <w:p>
      <w:r>
        <w:rPr>
          <w:b/>
        </w:rPr>
        <w:t>Conclusion:</w:t>
      </w:r>
      <w:r>
        <w:t xml:space="preserve"> </w:t>
      </w:r>
      <w:r>
        <w:rPr>
          <w:b/>
        </w:rPr>
        <w:t>Permanence satisfied</w:t>
      </w:r>
      <w:r>
        <w:t>.</w:t>
      </w:r>
    </w:p>
    <w:p>
      <w:r>
        <w:rPr>
          <w:b/>
        </w:rPr>
        <w:t>3. Legitimate Expectations:</w:t>
      </w:r>
    </w:p>
    <w:p>
      <w:r>
        <w:t xml:space="preserve">OilCorp's expectations </w:t>
      </w:r>
      <w:r>
        <w:rPr>
          <w:b/>
        </w:rPr>
        <w:t>at time of investment (2018)</w:t>
      </w:r>
      <w:r>
        <w:t>:</w:t>
      </w:r>
    </w:p>
    <w:p>
      <w:pPr>
        <w:pStyle w:val="ListBullet"/>
      </w:pPr>
      <w:r>
        <w:rPr>
          <w:b/>
        </w:rPr>
        <w:t>30-year license</w:t>
      </w:r>
      <w:r>
        <w:t xml:space="preserve"> (explicit government commitment)</w:t>
      </w:r>
    </w:p>
    <w:p>
      <w:pPr>
        <w:pStyle w:val="ListBullet"/>
      </w:pPr>
      <w:r>
        <w:rPr>
          <w:b/>
        </w:rPr>
        <w:t>Fiscal stability</w:t>
      </w:r>
      <w:r>
        <w:t xml:space="preserve"> (no indication of carbon tax or production bans in investment decision)</w:t>
      </w:r>
    </w:p>
    <w:p>
      <w:pPr>
        <w:pStyle w:val="ListBullet"/>
      </w:pPr>
      <w:r>
        <w:rPr>
          <w:b/>
        </w:rPr>
        <w:t>Regulatory environment</w:t>
      </w:r>
      <w:r>
        <w:t xml:space="preserve">: Country Z had </w:t>
      </w:r>
      <w:r>
        <w:rPr>
          <w:b/>
        </w:rPr>
        <w:t>no climate legislation</w:t>
      </w:r>
      <w:r>
        <w:t xml:space="preserve"> in 2018; enacted </w:t>
      </w:r>
      <w:r>
        <w:rPr>
          <w:b/>
        </w:rPr>
        <w:t>2024</w:t>
      </w:r>
      <w:r>
        <w:t xml:space="preserve"> (6 years post-investment)</w:t>
      </w:r>
    </w:p>
    <w:p>
      <w:r>
        <w:rPr>
          <w:b/>
        </w:rPr>
        <w:t>Country Z's Defense:</w:t>
      </w:r>
    </w:p>
    <w:p>
      <w:pPr>
        <w:pStyle w:val="ListBullet"/>
      </w:pPr>
      <w:r>
        <w:rPr>
          <w:b/>
        </w:rPr>
        <w:t>Right to regulate</w:t>
      </w:r>
      <w:r>
        <w:t xml:space="preserve"> for environmental protection (sovereign police power)</w:t>
      </w:r>
    </w:p>
    <w:p>
      <w:pPr>
        <w:pStyle w:val="ListBullet"/>
      </w:pPr>
      <w:r>
        <w:rPr>
          <w:b/>
        </w:rPr>
        <w:t>Climate emergency</w:t>
      </w:r>
      <w:r>
        <w:t xml:space="preserve"> requires urgent action (public purpose)</w:t>
      </w:r>
    </w:p>
    <w:p>
      <w:pPr>
        <w:pStyle w:val="ListBullet"/>
      </w:pPr>
      <w:r>
        <w:rPr>
          <w:b/>
        </w:rPr>
        <w:t>Global trend</w:t>
      </w:r>
      <w:r>
        <w:t>: Many countries phasing out fossil fuels (not discriminatory)</w:t>
      </w:r>
    </w:p>
    <w:p>
      <w:r>
        <w:rPr>
          <w:b/>
        </w:rPr>
        <w:t>Tribunal Analysis:</w:t>
      </w:r>
    </w:p>
    <w:p>
      <w:pPr>
        <w:pStyle w:val="ListBullet"/>
      </w:pPr>
      <w:r>
        <w:rPr>
          <w:b/>
        </w:rPr>
        <w:t>Legitimate expectations</w:t>
      </w:r>
      <w:r>
        <w:t xml:space="preserve"> were established by </w:t>
      </w:r>
      <w:r>
        <w:rPr>
          <w:b/>
        </w:rPr>
        <w:t>30-year license</w:t>
      </w:r>
      <w:r>
        <w:t xml:space="preserve"> (precedent: </w:t>
      </w:r>
      <w:r>
        <w:rPr>
          <w:i/>
        </w:rPr>
        <w:t>Occidental v. Ecuador</w:t>
      </w:r>
      <w:r>
        <w:t xml:space="preserve"> - license terms create expectations)</w:t>
      </w:r>
    </w:p>
    <w:p>
      <w:pPr>
        <w:pStyle w:val="ListBullet"/>
      </w:pPr>
      <w:r>
        <w:rPr>
          <w:b/>
        </w:rPr>
        <w:t>Regulatory evolution</w:t>
      </w:r>
      <w:r>
        <w:t xml:space="preserve"> is permissible, but </w:t>
      </w:r>
      <w:r>
        <w:rPr>
          <w:b/>
        </w:rPr>
        <w:t>drastic changes</w:t>
      </w:r>
      <w:r>
        <w:t xml:space="preserve"> defeating investment basis may breach FET</w:t>
      </w:r>
    </w:p>
    <w:p>
      <w:pPr>
        <w:pStyle w:val="ListBullet"/>
      </w:pPr>
      <w:r>
        <w:rPr>
          <w:b/>
        </w:rPr>
        <w:t>Proportionality</w:t>
      </w:r>
      <w:r>
        <w:t>: Complete phase-out within 6 years vs. gradual transition (less restrictive alternatives exist)</w:t>
      </w:r>
    </w:p>
    <w:p>
      <w:r>
        <w:rPr>
          <w:b/>
        </w:rPr>
        <w:t>Likely Finding:</w:t>
      </w:r>
      <w:r>
        <w:t xml:space="preserve"> </w:t>
      </w:r>
      <w:r>
        <w:rPr>
          <w:b/>
        </w:rPr>
        <w:t>Legitimate expectations breached</w:t>
      </w:r>
      <w:r>
        <w:t xml:space="preserve">; measure </w:t>
      </w:r>
      <w:r>
        <w:rPr>
          <w:b/>
        </w:rPr>
        <w:t>disproportionate</w:t>
      </w:r>
      <w:r>
        <w:t xml:space="preserve"> (phase-out acceleration by 83% of remaining term is excessive).</w:t>
      </w:r>
    </w:p>
    <w:p>
      <w:r>
        <w:rPr>
          <w:b/>
        </w:rPr>
        <w:t>4. Public Purpose and Proportionality:</w:t>
      </w:r>
    </w:p>
    <w:p>
      <w:r>
        <w:rPr>
          <w:b/>
        </w:rPr>
        <w:t>Country Z's Public Purpose:</w:t>
      </w:r>
      <w:r>
        <w:t xml:space="preserve"> Climate change mitigation (legitimate under international law, </w:t>
      </w:r>
      <w:r>
        <w:rPr>
          <w:i/>
        </w:rPr>
        <w:t>Paris Agreement 2015</w:t>
      </w:r>
      <w:r>
        <w:t>).</w:t>
      </w:r>
    </w:p>
    <w:p>
      <w:r>
        <w:rPr>
          <w:b/>
        </w:rPr>
        <w:t>Proportionality Analysis (per *Philip Morris v. Uruguay*, ICSID ARB/10/7):</w:t>
      </w:r>
    </w:p>
    <w:p>
      <w:pPr>
        <w:pStyle w:val="ListBullet"/>
      </w:pPr>
      <w:r>
        <w:rPr>
          <w:b/>
        </w:rPr>
        <w:t>Necessity</w:t>
      </w:r>
      <w:r>
        <w:t xml:space="preserve">: Are measures </w:t>
      </w:r>
      <w:r>
        <w:rPr>
          <w:b/>
        </w:rPr>
        <w:t>necessary</w:t>
      </w:r>
      <w:r>
        <w:t xml:space="preserve"> to achieve climate goals?</w:t>
      </w:r>
    </w:p>
    <w:p>
      <w:pPr>
        <w:pStyle w:val="ListBullet"/>
        <w:ind w:left="360"/>
      </w:pPr>
      <w:r>
        <w:rPr>
          <w:b/>
        </w:rPr>
        <w:t>Tribunal may find</w:t>
      </w:r>
      <w:r>
        <w:t xml:space="preserve">: 6-year phase-out is </w:t>
      </w:r>
      <w:r>
        <w:rPr>
          <w:b/>
        </w:rPr>
        <w:t>more restrictive than necessary</w:t>
      </w:r>
      <w:r>
        <w:t>; gradual transition (e.g., 12-15 years with declining production caps) would achieve same goal with less investment destruction</w:t>
      </w:r>
    </w:p>
    <w:p>
      <w:pPr>
        <w:pStyle w:val="ListBullet"/>
      </w:pPr>
      <w:r>
        <w:rPr>
          <w:b/>
        </w:rPr>
        <w:t>Proportionality</w:t>
      </w:r>
      <w:r>
        <w:t xml:space="preserve">: Do measures </w:t>
      </w:r>
      <w:r>
        <w:rPr>
          <w:b/>
        </w:rPr>
        <w:t>balance public interest</w:t>
      </w:r>
      <w:r>
        <w:t xml:space="preserve"> with investor protection?</w:t>
      </w:r>
    </w:p>
    <w:p>
      <w:pPr>
        <w:pStyle w:val="ListBullet"/>
        <w:ind w:left="360"/>
      </w:pPr>
      <w:r>
        <w:rPr>
          <w:b/>
        </w:rPr>
        <w:t>Tribunal may find</w:t>
      </w:r>
      <w:r>
        <w:t xml:space="preserve">: </w:t>
      </w:r>
      <w:r>
        <w:rPr>
          <w:b/>
        </w:rPr>
        <w:t>Disproportionate</w:t>
      </w:r>
      <w:r>
        <w:t xml:space="preserve"> - 78.6% value destruction excessive; compensation mechanism needed</w:t>
      </w:r>
    </w:p>
    <w:p>
      <w:r>
        <w:rPr>
          <w:b/>
        </w:rPr>
        <w:t>Step 3: Expropriation Finding</w:t>
      </w:r>
    </w:p>
    <w:p>
      <w:r>
        <w:rPr>
          <w:b/>
        </w:rPr>
        <w:t>Likely Tribunal Ruling:</w:t>
      </w:r>
    </w:p>
    <w:p>
      <w:r>
        <w:t xml:space="preserve">Country Z's measures constitute </w:t>
      </w:r>
      <w:r>
        <w:rPr>
          <w:b/>
        </w:rPr>
        <w:t>indirect expropriation</w:t>
      </w:r>
      <w:r>
        <w:t xml:space="preserve"> because:</w:t>
      </w:r>
    </w:p>
    <w:p>
      <w:pPr>
        <w:pStyle w:val="ListNumber"/>
      </w:pPr>
      <w:r>
        <w:rPr>
          <w:b/>
        </w:rPr>
        <w:t>Substantial deprivation</w:t>
      </w:r>
      <w:r>
        <w:t>: 78.6% value loss (exceeds threshold)</w:t>
      </w:r>
    </w:p>
    <w:p>
      <w:pPr>
        <w:pStyle w:val="ListNumber"/>
      </w:pPr>
      <w:r>
        <w:rPr>
          <w:b/>
        </w:rPr>
        <w:t>Permanence</w:t>
      </w:r>
      <w:r>
        <w:t>: Production ceases entirely by 2030</w:t>
      </w:r>
    </w:p>
    <w:p>
      <w:pPr>
        <w:pStyle w:val="ListNumber"/>
      </w:pPr>
      <w:r>
        <w:rPr>
          <w:b/>
        </w:rPr>
        <w:t>Legitimate expectations breached</w:t>
      </w:r>
      <w:r>
        <w:t>: 30-year license reduced to 12 years (60% reduction)</w:t>
      </w:r>
    </w:p>
    <w:p>
      <w:pPr>
        <w:pStyle w:val="ListNumber"/>
      </w:pPr>
      <w:r>
        <w:rPr>
          <w:b/>
        </w:rPr>
        <w:t>Disproportionate</w:t>
      </w:r>
      <w:r>
        <w:t>: Less restrictive alternatives available (gradual phase-out, carbon trading schemes)</w:t>
      </w:r>
    </w:p>
    <w:p>
      <w:r>
        <w:rPr>
          <w:b/>
        </w:rPr>
        <w:t>Distinguishing from Non-Expropriatory Regulation:</w:t>
      </w:r>
    </w:p>
    <w:p>
      <w:r>
        <w:t xml:space="preserve">This case </w:t>
      </w:r>
      <w:r>
        <w:rPr>
          <w:b/>
        </w:rPr>
        <w:t>differs</w:t>
      </w:r>
      <w:r>
        <w:t xml:space="preserve"> from </w:t>
      </w:r>
      <w:r>
        <w:rPr>
          <w:i/>
        </w:rPr>
        <w:t>Philip Morris v. Uruguay</w:t>
      </w:r>
      <w:r>
        <w:t xml:space="preserve"> (plain packaging upheld as legitimate regulation) because:</w:t>
      </w:r>
    </w:p>
    <w:p>
      <w:pPr>
        <w:pStyle w:val="ListBullet"/>
      </w:pPr>
      <w:r>
        <w:rPr>
          <w:b/>
        </w:rPr>
        <w:t>Uruguay measure</w:t>
      </w:r>
      <w:r>
        <w:t>: 0% economic impact (cigarettes still sold)</w:t>
      </w:r>
    </w:p>
    <w:p>
      <w:pPr>
        <w:pStyle w:val="ListBullet"/>
      </w:pPr>
      <w:r>
        <w:rPr>
          <w:b/>
        </w:rPr>
        <w:t>Country Z measure</w:t>
      </w:r>
      <w:r>
        <w:t>: 78.6% economic impact (production banned)</w:t>
      </w:r>
    </w:p>
    <w:p>
      <w:r>
        <w:rPr>
          <w:b/>
        </w:rPr>
        <w:t>Step 4: Compensation Standard</w:t>
      </w:r>
    </w:p>
    <w:p>
      <w:r>
        <w:rPr>
          <w:b/>
        </w:rPr>
        <w:t>BIT Article III</w:t>
      </w:r>
      <w:r>
        <w:t xml:space="preserve"> requires </w:t>
      </w:r>
      <w:r>
        <w:rPr>
          <w:b/>
        </w:rPr>
        <w:t>"prompt, adequate, and effective compensation equivalent to fair market value"</w:t>
      </w:r>
      <w:r>
        <w:t xml:space="preserve"> (Hull Formula).</w:t>
      </w:r>
    </w:p>
    <w:p>
      <w:r>
        <w:rPr>
          <w:b/>
        </w:rPr>
        <w:t>Fair Market Value = Expected NPV but for the expropriation</w:t>
      </w:r>
    </w:p>
    <w:p>
      <w:pPr>
        <w:shd w:fill="F0F0F0"/>
        <w:spacing w:after="0" w:line="240" w:lineRule="auto"/>
      </w:pPr>
      <w:r>
        <w:rPr>
          <w:rFonts w:ascii="Courier New" w:hAnsi="Courier New"/>
          <w:sz w:val="20"/>
        </w:rPr>
        <w:t>Expected NPV (but for Climate Act):             $2,800M</w:t>
      </w:r>
    </w:p>
    <w:p>
      <w:pPr>
        <w:shd w:fill="F0F0F0"/>
        <w:spacing w:after="0" w:line="240" w:lineRule="auto"/>
      </w:pPr>
      <w:r>
        <w:rPr>
          <w:rFonts w:ascii="Courier New" w:hAnsi="Courier New"/>
          <w:sz w:val="20"/>
        </w:rPr>
        <w:t>Actual NPV (with Climate Act):                  $600M</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Compensation (prima facie):                     $2,200M</w:t>
      </w:r>
    </w:p>
    <w:p/>
    <w:p>
      <w:r>
        <w:rPr>
          <w:b/>
        </w:rPr>
        <w:t>Adjustments:</w:t>
      </w:r>
    </w:p>
    <w:p>
      <w:r>
        <w:rPr>
          <w:b/>
        </w:rPr>
        <w:t>A. Right to Regulate Discount?</w:t>
      </w:r>
    </w:p>
    <w:p>
      <w:r>
        <w:t xml:space="preserve">Country Z may argue </w:t>
      </w:r>
      <w:r>
        <w:rPr>
          <w:b/>
        </w:rPr>
        <w:t>partial right to regulate discount</w:t>
      </w:r>
      <w:r>
        <w:t xml:space="preserve"> (some tribunals reduce awards by 20-40% for legitimate regulatory purpose).</w:t>
      </w:r>
    </w:p>
    <w:p>
      <w:r>
        <w:rPr>
          <w:b/>
        </w:rPr>
        <w:t>Counter-Argument:</w:t>
      </w:r>
      <w:r>
        <w:t xml:space="preserve"> Right to regulate does </w:t>
      </w:r>
      <w:r>
        <w:rPr>
          <w:b/>
        </w:rPr>
        <w:t>not eliminate compensation obligation</w:t>
      </w:r>
      <w:r>
        <w:t xml:space="preserve"> for expropriation (precedent: </w:t>
      </w:r>
      <w:r>
        <w:rPr>
          <w:i/>
        </w:rPr>
        <w:t>ADC v. Hungary</w:t>
      </w:r>
      <w:r>
        <w:t xml:space="preserve">, ICSID ARB/03/16 - right to regulate is </w:t>
      </w:r>
      <w:r>
        <w:rPr>
          <w:b/>
        </w:rPr>
        <w:t>defense to expropriation finding</w:t>
      </w:r>
      <w:r>
        <w:t>, not compensation reduction).</w:t>
      </w:r>
    </w:p>
    <w:p>
      <w:r>
        <w:rPr>
          <w:b/>
        </w:rPr>
        <w:t>Likely Outcome:</w:t>
      </w:r>
      <w:r>
        <w:t xml:space="preserve"> </w:t>
      </w:r>
      <w:r>
        <w:rPr>
          <w:b/>
        </w:rPr>
        <w:t>No discount</w:t>
      </w:r>
      <w:r>
        <w:t xml:space="preserve"> if expropriation is established (compensation is </w:t>
      </w:r>
      <w:r>
        <w:rPr>
          <w:b/>
        </w:rPr>
        <w:t>full fair market value</w:t>
      </w:r>
      <w:r>
        <w:t>).</w:t>
      </w:r>
    </w:p>
    <w:p>
      <w:r>
        <w:rPr>
          <w:b/>
        </w:rPr>
        <w:t>B. Discount Rate and Valuation Date:</w:t>
      </w:r>
    </w:p>
    <w:p>
      <w:pPr>
        <w:pStyle w:val="ListBullet"/>
      </w:pPr>
      <w:r>
        <w:rPr>
          <w:b/>
        </w:rPr>
        <w:t>Valuation date</w:t>
      </w:r>
      <w:r>
        <w:t>: Date of expropriation (2024 when Climate Act enacted)</w:t>
      </w:r>
    </w:p>
    <w:p>
      <w:pPr>
        <w:pStyle w:val="ListBullet"/>
      </w:pPr>
      <w:r>
        <w:rPr>
          <w:b/>
        </w:rPr>
        <w:t>Discount rate</w:t>
      </w:r>
      <w:r>
        <w:t xml:space="preserve">: Typically </w:t>
      </w:r>
      <w:r>
        <w:rPr>
          <w:b/>
        </w:rPr>
        <w:t>8-12% WACC</w:t>
      </w:r>
      <w:r>
        <w:t xml:space="preserve"> (</w:t>
      </w:r>
      <w:r>
        <w:rPr>
          <w:b/>
        </w:rPr>
        <w:t>Weighted Average Cost of Capital</w:t>
      </w:r>
      <w:r>
        <w:t xml:space="preserve"> for oil projects, reflecting both equity and debt costs)</w:t>
      </w:r>
    </w:p>
    <w:p>
      <w:pPr>
        <w:pStyle w:val="ListBullet"/>
      </w:pPr>
      <w:r>
        <w:rPr>
          <w:b/>
        </w:rPr>
        <w:t>Currency</w:t>
      </w:r>
      <w:r>
        <w:t>: USD (investment currency)</w:t>
      </w:r>
    </w:p>
    <w:p>
      <w:r>
        <w:rPr>
          <w:b/>
        </w:rPr>
        <w:t>Step 5: Quantum Calculation</w:t>
      </w:r>
    </w:p>
    <w:p>
      <w:r>
        <w:rPr>
          <w:b/>
        </w:rPr>
        <w:t>Discounted Cash Flow (DCF) Valuation - But-For Scenario:</w:t>
      </w:r>
    </w:p>
    <w:p>
      <w:pPr>
        <w:shd w:fill="F0F0F0"/>
        <w:spacing w:after="0" w:line="240" w:lineRule="auto"/>
      </w:pPr>
      <w:r>
        <w:rPr>
          <w:rFonts w:ascii="Courier New" w:hAnsi="Courier New"/>
          <w:sz w:val="20"/>
        </w:rPr>
        <w:t>Expected annual cash flow (2025-2036, 12 years): $350M/year</w:t>
      </w:r>
    </w:p>
    <w:p>
      <w:pPr>
        <w:shd w:fill="F0F0F0"/>
        <w:spacing w:after="0" w:line="240" w:lineRule="auto"/>
      </w:pPr>
      <w:r>
        <w:rPr>
          <w:rFonts w:ascii="Courier New" w:hAnsi="Courier New"/>
          <w:sz w:val="20"/>
        </w:rPr>
        <w:t>Discount rate (WACC): 10%</w:t>
      </w:r>
    </w:p>
    <w:p>
      <w:pPr>
        <w:shd w:fill="F0F0F0"/>
        <w:spacing w:after="0" w:line="240" w:lineRule="auto"/>
      </w:pPr>
      <w:r>
        <w:rPr>
          <w:rFonts w:ascii="Courier New" w:hAnsi="Courier New"/>
          <w:sz w:val="20"/>
        </w:rPr>
        <w:t>NPV (2024) = Σ $350M / (1.10)^t for t=1 to 12</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NPV = $350M × 6.8137 (annuity factor) = $2,384M</w:t>
      </w:r>
    </w:p>
    <w:p/>
    <w:p>
      <w:r>
        <w:rPr>
          <w:b/>
        </w:rPr>
        <w:t>Actual Scenario (With Climate Act):</w:t>
      </w:r>
    </w:p>
    <w:p>
      <w:pPr>
        <w:shd w:fill="F0F0F0"/>
        <w:spacing w:after="0" w:line="240" w:lineRule="auto"/>
      </w:pPr>
      <w:r>
        <w:rPr>
          <w:rFonts w:ascii="Courier New" w:hAnsi="Courier New"/>
          <w:sz w:val="20"/>
        </w:rPr>
        <w:t>Annual cash flow (2025-2030, 6 years):</w:t>
      </w:r>
    </w:p>
    <w:p>
      <w:pPr>
        <w:shd w:fill="F0F0F0"/>
        <w:spacing w:after="0" w:line="240" w:lineRule="auto"/>
      </w:pPr>
      <w:r>
        <w:rPr>
          <w:rFonts w:ascii="Courier New" w:hAnsi="Courier New"/>
          <w:sz w:val="20"/>
        </w:rPr>
        <w:t xml:space="preserve">  Year 1-6 average: $100M (after 60% profit reduction from carbon tax)</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NPV (2024) = $100M × 4.3553 (annuity factor, 6 years) = $436M</w:t>
      </w:r>
    </w:p>
    <w:p/>
    <w:p>
      <w:r>
        <w:rPr>
          <w:b/>
        </w:rPr>
        <w:t>Compensation:</w:t>
      </w:r>
    </w:p>
    <w:p>
      <w:pPr>
        <w:shd w:fill="F0F0F0"/>
        <w:spacing w:after="0" w:line="240" w:lineRule="auto"/>
      </w:pPr>
      <w:r>
        <w:rPr>
          <w:rFonts w:ascii="Courier New" w:hAnsi="Courier New"/>
          <w:sz w:val="20"/>
        </w:rPr>
        <w:t>But-for NPV:                                    $2,384M</w:t>
      </w:r>
    </w:p>
    <w:p>
      <w:pPr>
        <w:shd w:fill="F0F0F0"/>
        <w:spacing w:after="0" w:line="240" w:lineRule="auto"/>
      </w:pPr>
      <w:r>
        <w:rPr>
          <w:rFonts w:ascii="Courier New" w:hAnsi="Courier New"/>
          <w:sz w:val="20"/>
        </w:rPr>
        <w:t>Actual NPV:                                     $436M</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Compensation:                                   $1,948M</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Plus: Pre-award interest @ 6% per annum from 2024 to award date (2027 est.):</w:t>
      </w:r>
    </w:p>
    <w:p>
      <w:pPr>
        <w:shd w:fill="F0F0F0"/>
        <w:spacing w:after="0" w:line="240" w:lineRule="auto"/>
      </w:pPr>
      <w:r>
        <w:rPr>
          <w:rFonts w:ascii="Courier New" w:hAnsi="Courier New"/>
          <w:sz w:val="20"/>
        </w:rPr>
        <w:t xml:space="preserve">  $1,948M × 6% × 3 years = $351M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Total Award (estimated): $1,948M + $351M = $2,299M</w:t>
      </w:r>
    </w:p>
    <w:p/>
    <w:p>
      <w:r>
        <w:rPr>
          <w:b/>
        </w:rPr>
        <w:t>Step 6: Country Z's Defenses</w:t>
      </w:r>
    </w:p>
    <w:p>
      <w:r>
        <w:rPr>
          <w:b/>
        </w:rPr>
        <w:t>Defense 1: No Expropriation - Police Power Doctrine</w:t>
      </w:r>
    </w:p>
    <w:p>
      <w:r>
        <w:rPr>
          <w:b/>
        </w:rPr>
        <w:t>Argument:</w:t>
      </w:r>
      <w:r>
        <w:t xml:space="preserve"> Environmental regulation under </w:t>
      </w:r>
      <w:r>
        <w:rPr>
          <w:b/>
        </w:rPr>
        <w:t>police power</w:t>
      </w:r>
      <w:r>
        <w:t xml:space="preserve"> is </w:t>
      </w:r>
      <w:r>
        <w:rPr>
          <w:b/>
        </w:rPr>
        <w:t>non-compensable</w:t>
      </w:r>
      <w:r>
        <w:t xml:space="preserve"> (precedent: </w:t>
      </w:r>
      <w:r>
        <w:rPr>
          <w:i/>
        </w:rPr>
        <w:t>Methanex v. United States</w:t>
      </w:r>
      <w:r>
        <w:t>, UNCITRAL).</w:t>
      </w:r>
    </w:p>
    <w:p>
      <w:r>
        <w:rPr>
          <w:b/>
        </w:rPr>
        <w:t>Counter (OilCorp):</w:t>
      </w:r>
    </w:p>
    <w:p>
      <w:pPr>
        <w:pStyle w:val="ListBullet"/>
      </w:pPr>
      <w:r>
        <w:rPr>
          <w:i/>
        </w:rPr>
        <w:t>Methanex</w:t>
      </w:r>
      <w:r>
        <w:t xml:space="preserve"> involved </w:t>
      </w:r>
      <w:r>
        <w:rPr>
          <w:b/>
        </w:rPr>
        <w:t>negligible economic impact</w:t>
      </w:r>
      <w:r>
        <w:t xml:space="preserve"> (company could sell methanol for other uses)</w:t>
      </w:r>
    </w:p>
    <w:p>
      <w:pPr>
        <w:pStyle w:val="ListBullet"/>
      </w:pPr>
      <w:r>
        <w:t xml:space="preserve">Here, </w:t>
      </w:r>
      <w:r>
        <w:rPr>
          <w:b/>
        </w:rPr>
        <w:t>78.6% value destruction</w:t>
      </w:r>
      <w:r>
        <w:t xml:space="preserve"> exceeds police power scope</w:t>
      </w:r>
    </w:p>
    <w:p>
      <w:pPr>
        <w:pStyle w:val="ListBullet"/>
      </w:pPr>
      <w:r>
        <w:rPr>
          <w:b/>
        </w:rPr>
        <w:t>Proportionality requires compensation</w:t>
      </w:r>
      <w:r>
        <w:t xml:space="preserve"> even if public purpose legitimate</w:t>
      </w:r>
    </w:p>
    <w:p>
      <w:r>
        <w:rPr>
          <w:b/>
        </w:rPr>
        <w:t>Likely Outcome:</w:t>
      </w:r>
      <w:r>
        <w:t xml:space="preserve"> </w:t>
      </w:r>
      <w:r>
        <w:rPr>
          <w:b/>
        </w:rPr>
        <w:t>Police power defense rejected</w:t>
      </w:r>
      <w:r>
        <w:t xml:space="preserve"> due to </w:t>
      </w:r>
      <w:r>
        <w:rPr>
          <w:b/>
        </w:rPr>
        <w:t>substantial deprivation</w:t>
      </w:r>
      <w:r>
        <w:t xml:space="preserve"> and </w:t>
      </w:r>
      <w:r>
        <w:rPr>
          <w:b/>
        </w:rPr>
        <w:t>disproportionality</w:t>
      </w:r>
      <w:r>
        <w:t>.</w:t>
      </w:r>
    </w:p>
    <w:p>
      <w:pPr>
        <w:spacing w:before="120" w:after="120"/>
        <w:pBdr>
          <w:bottom w:val="single" w:sz="6" w:space="1" w:color="auto"/>
        </w:pBdr>
      </w:pPr>
    </w:p>
    <w:p>
      <w:r>
        <w:rPr>
          <w:b/>
        </w:rPr>
        <w:t>Defense 2: Contributory Fault</w:t>
      </w:r>
    </w:p>
    <w:p>
      <w:r>
        <w:rPr>
          <w:b/>
        </w:rPr>
        <w:t>Argument:</w:t>
      </w:r>
      <w:r>
        <w:t xml:space="preserve"> OilCorp </w:t>
      </w:r>
      <w:r>
        <w:rPr>
          <w:b/>
        </w:rPr>
        <w:t>should have anticipated</w:t>
      </w:r>
      <w:r>
        <w:t xml:space="preserve"> climate regulation risks (Paris Agreement signed 2015, before 2018 investment).</w:t>
      </w:r>
    </w:p>
    <w:p>
      <w:r>
        <w:rPr>
          <w:b/>
        </w:rPr>
        <w:t>Counter (OilCorp):</w:t>
      </w:r>
    </w:p>
    <w:p>
      <w:pPr>
        <w:pStyle w:val="ListBullet"/>
      </w:pPr>
      <w:r>
        <w:rPr>
          <w:b/>
        </w:rPr>
        <w:t>No specific indication</w:t>
      </w:r>
      <w:r>
        <w:t xml:space="preserve"> Country Z would enact </w:t>
      </w:r>
      <w:r>
        <w:rPr>
          <w:b/>
        </w:rPr>
        <w:t>production phase-out</w:t>
      </w:r>
      <w:r>
        <w:t xml:space="preserve"> in 2018</w:t>
      </w:r>
    </w:p>
    <w:p>
      <w:pPr>
        <w:pStyle w:val="ListBullet"/>
      </w:pPr>
      <w:r>
        <w:rPr>
          <w:b/>
        </w:rPr>
        <w:t>Many countries</w:t>
      </w:r>
      <w:r>
        <w:t xml:space="preserve"> implement climate policy </w:t>
      </w:r>
      <w:r>
        <w:rPr>
          <w:b/>
        </w:rPr>
        <w:t>without expropriating existing investments</w:t>
      </w:r>
      <w:r>
        <w:t xml:space="preserve"> (carbon trading, gradual transitions)</w:t>
      </w:r>
    </w:p>
    <w:p>
      <w:pPr>
        <w:pStyle w:val="ListBullet"/>
      </w:pPr>
      <w:r>
        <w:rPr>
          <w:b/>
        </w:rPr>
        <w:t>Foreseeability</w:t>
      </w:r>
      <w:r>
        <w:t xml:space="preserve"> standard: Specific regulatory change must be </w:t>
      </w:r>
      <w:r>
        <w:rPr>
          <w:b/>
        </w:rPr>
        <w:t>reasonably foreseeable</w:t>
      </w:r>
      <w:r>
        <w:t>, not generic climate policy trend</w:t>
      </w:r>
    </w:p>
    <w:p>
      <w:r>
        <w:rPr>
          <w:b/>
        </w:rPr>
        <w:t>Likely Outcome:</w:t>
      </w:r>
      <w:r>
        <w:t xml:space="preserve"> </w:t>
      </w:r>
      <w:r>
        <w:rPr>
          <w:b/>
        </w:rPr>
        <w:t>Contributory fault rejected</w:t>
      </w:r>
      <w:r>
        <w:t xml:space="preserve"> - general climate policy awareness does not equate to specific phase-out foreseeability.</w:t>
      </w:r>
    </w:p>
    <w:p>
      <w:pPr>
        <w:spacing w:before="120" w:after="120"/>
        <w:pBdr>
          <w:bottom w:val="single" w:sz="6" w:space="1" w:color="auto"/>
        </w:pBdr>
      </w:pPr>
    </w:p>
    <w:p>
      <w:r>
        <w:rPr>
          <w:b/>
        </w:rPr>
        <w:t>Defense 3: Necessity (State of Emergency)</w:t>
      </w:r>
    </w:p>
    <w:p>
      <w:r>
        <w:rPr>
          <w:b/>
        </w:rPr>
        <w:t>Argument:</w:t>
      </w:r>
      <w:r>
        <w:t xml:space="preserve"> </w:t>
      </w:r>
      <w:r>
        <w:rPr>
          <w:b/>
        </w:rPr>
        <w:t>Climate emergency</w:t>
      </w:r>
      <w:r>
        <w:t xml:space="preserve"> justifies measures under </w:t>
      </w:r>
      <w:r>
        <w:rPr>
          <w:b/>
        </w:rPr>
        <w:t>customary international law necessity defense</w:t>
      </w:r>
      <w:r>
        <w:t xml:space="preserve"> (ILC Articles on State Responsibility, Article 25).</w:t>
      </w:r>
    </w:p>
    <w:p>
      <w:r>
        <w:rPr>
          <w:b/>
        </w:rPr>
        <w:t>Requirements (Strict Test):</w:t>
      </w:r>
    </w:p>
    <w:p>
      <w:pPr>
        <w:pStyle w:val="ListNumber"/>
      </w:pPr>
      <w:r>
        <w:rPr>
          <w:b/>
        </w:rPr>
        <w:t>Grave and imminent peril</w:t>
      </w:r>
      <w:r>
        <w:t xml:space="preserve"> to essential state interest</w:t>
      </w:r>
    </w:p>
    <w:p>
      <w:pPr>
        <w:pStyle w:val="ListNumber"/>
      </w:pPr>
      <w:r>
        <w:rPr>
          <w:b/>
        </w:rPr>
        <w:t>Only means</w:t>
      </w:r>
      <w:r>
        <w:t xml:space="preserve"> to safeguard interest</w:t>
      </w:r>
    </w:p>
    <w:p>
      <w:pPr>
        <w:pStyle w:val="ListNumber"/>
      </w:pPr>
      <w:r>
        <w:t xml:space="preserve">Measure does </w:t>
      </w:r>
      <w:r>
        <w:rPr>
          <w:b/>
        </w:rPr>
        <w:t>not seriously impair</w:t>
      </w:r>
      <w:r>
        <w:t xml:space="preserve"> other state's essential interest</w:t>
      </w:r>
    </w:p>
    <w:p>
      <w:r>
        <w:rPr>
          <w:b/>
        </w:rPr>
        <w:t>Counter (OilCorp):</w:t>
      </w:r>
    </w:p>
    <w:p>
      <w:pPr>
        <w:pStyle w:val="ListBullet"/>
      </w:pPr>
      <w:r>
        <w:rPr>
          <w:b/>
        </w:rPr>
        <w:t>Gradual transition</w:t>
      </w:r>
      <w:r>
        <w:t xml:space="preserve"> is equally effective (not "only means")</w:t>
      </w:r>
    </w:p>
    <w:p>
      <w:pPr>
        <w:pStyle w:val="ListBullet"/>
      </w:pPr>
      <w:r>
        <w:t xml:space="preserve">Country Z has </w:t>
      </w:r>
      <w:r>
        <w:rPr>
          <w:b/>
        </w:rPr>
        <w:t>not declared formal emergency</w:t>
      </w:r>
    </w:p>
    <w:p>
      <w:pPr>
        <w:pStyle w:val="ListBullet"/>
      </w:pPr>
      <w:r>
        <w:rPr>
          <w:b/>
        </w:rPr>
        <w:t>ILC Article 25(2)(b)</w:t>
      </w:r>
      <w:r>
        <w:t xml:space="preserve">: Necessity not available if state </w:t>
      </w:r>
      <w:r>
        <w:rPr>
          <w:b/>
        </w:rPr>
        <w:t>contributed to situation</w:t>
      </w:r>
      <w:r>
        <w:t xml:space="preserve"> (Country Z granted 30-year license knowing climate risks)</w:t>
      </w:r>
    </w:p>
    <w:p>
      <w:r>
        <w:rPr>
          <w:b/>
        </w:rPr>
        <w:t>Likely Outcome:</w:t>
      </w:r>
      <w:r>
        <w:t xml:space="preserve"> </w:t>
      </w:r>
      <w:r>
        <w:rPr>
          <w:b/>
        </w:rPr>
        <w:t>Necessity defense rejected</w:t>
      </w:r>
      <w:r>
        <w:t xml:space="preserve"> - less restrictive alternatives available.</w:t>
      </w:r>
    </w:p>
    <w:p>
      <w:pPr>
        <w:spacing w:before="120" w:after="120"/>
        <w:pBdr>
          <w:bottom w:val="single" w:sz="6" w:space="1" w:color="auto"/>
        </w:pBdr>
      </w:pPr>
    </w:p>
    <w:p>
      <w:r>
        <w:rPr>
          <w:b/>
        </w:rPr>
        <w:t>Conclusion:</w:t>
      </w:r>
    </w:p>
    <w:p>
      <w:r>
        <w:rPr>
          <w:b/>
        </w:rPr>
        <w:t>Tribunal Award (Likely Range):</w:t>
      </w:r>
    </w:p>
    <w:p>
      <w:pPr>
        <w:shd w:fill="F0F0F0"/>
        <w:spacing w:after="0" w:line="240" w:lineRule="auto"/>
      </w:pPr>
      <w:r>
        <w:rPr>
          <w:rFonts w:ascii="Courier New" w:hAnsi="Courier New"/>
          <w:sz w:val="20"/>
        </w:rPr>
        <w:t>Base compensation (DCF method):                 $1,948M</w:t>
      </w:r>
    </w:p>
    <w:p>
      <w:pPr>
        <w:shd w:fill="F0F0F0"/>
        <w:spacing w:after="0" w:line="240" w:lineRule="auto"/>
      </w:pPr>
      <w:r>
        <w:rPr>
          <w:rFonts w:ascii="Courier New" w:hAnsi="Courier New"/>
          <w:sz w:val="20"/>
        </w:rPr>
        <w:t>Pre-award interest (6% × 3 years):              $351M</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Total Award:                                    $2,299M</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Alternative (Comparable Sales Method):</w:t>
      </w:r>
    </w:p>
    <w:p>
      <w:pPr>
        <w:shd w:fill="F0F0F0"/>
        <w:spacing w:after="0" w:line="240" w:lineRule="auto"/>
      </w:pPr>
      <w:r>
        <w:rPr>
          <w:rFonts w:ascii="Courier New" w:hAnsi="Courier New"/>
          <w:sz w:val="20"/>
        </w:rPr>
        <w:t xml:space="preserve">  Market value of comparable offshore licenses (2024): $2.5-3.0B</w:t>
      </w:r>
    </w:p>
    <w:p>
      <w:pPr>
        <w:shd w:fill="F0F0F0"/>
        <w:spacing w:after="0" w:line="240" w:lineRule="auto"/>
      </w:pPr>
      <w:r>
        <w:rPr>
          <w:rFonts w:ascii="Courier New" w:hAnsi="Courier New"/>
          <w:sz w:val="20"/>
        </w:rPr>
        <w:t xml:space="preserve">  Adjusted for Country Z specifics: ~$2.1B</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Likely Award Range: $1.9B - $2.3B</w:t>
      </w:r>
    </w:p>
    <w:p/>
    <w:p>
      <w:r>
        <w:rPr>
          <w:b/>
        </w:rPr>
        <w:t>Costs:</w:t>
      </w:r>
      <w:r>
        <w:t xml:space="preserve"> ICSID arbitration costs typically </w:t>
      </w:r>
      <w:r>
        <w:rPr>
          <w:b/>
        </w:rPr>
        <w:t>$5-15M</w:t>
      </w:r>
      <w:r>
        <w:t xml:space="preserve"> (tribunal fees, expert witnesses, legal fees). </w:t>
      </w:r>
      <w:r>
        <w:rPr>
          <w:b/>
        </w:rPr>
        <w:t>Costs follow the event</w:t>
      </w:r>
      <w:r>
        <w:t xml:space="preserve"> principle: Country Z (losing party) pays </w:t>
      </w:r>
      <w:r>
        <w:rPr>
          <w:b/>
        </w:rPr>
        <w:t>80% of costs</w:t>
      </w:r>
      <w:r>
        <w:t xml:space="preserve">; OilCorp pays </w:t>
      </w:r>
      <w:r>
        <w:rPr>
          <w:b/>
        </w:rPr>
        <w:t>20%</w:t>
      </w:r>
      <w:r>
        <w:t>.</w:t>
      </w:r>
    </w:p>
    <w:p>
      <w:r>
        <w:rPr>
          <w:b/>
        </w:rPr>
        <w:t>Enforcement:</w:t>
      </w:r>
      <w:r>
        <w:t xml:space="preserve"> Award enforceable under </w:t>
      </w:r>
      <w:r>
        <w:rPr>
          <w:b/>
        </w:rPr>
        <w:t>ICSID Convention</w:t>
      </w:r>
      <w:r>
        <w:t xml:space="preserve"> in Country Z and </w:t>
      </w:r>
      <w:r>
        <w:rPr>
          <w:b/>
        </w:rPr>
        <w:t>159 other member states</w:t>
      </w:r>
      <w:r>
        <w:t xml:space="preserve"> (direct recognition without New York Convention requirement).</w:t>
      </w:r>
    </w:p>
    <w:p>
      <w:r>
        <w:rPr>
          <w:b/>
        </w:rPr>
        <w:t>Policy Implication:</w:t>
      </w:r>
    </w:p>
    <w:p>
      <w:r>
        <w:t xml:space="preserve">The ruling demonstrates that </w:t>
      </w:r>
      <w:r>
        <w:rPr>
          <w:b/>
        </w:rPr>
        <w:t>states retain right to regulate for climate goals</w:t>
      </w:r>
      <w:r>
        <w:t xml:space="preserve">, but </w:t>
      </w:r>
      <w:r>
        <w:rPr>
          <w:b/>
        </w:rPr>
        <w:t>substantial interference</w:t>
      </w:r>
      <w:r>
        <w:t xml:space="preserve"> with existing investments </w:t>
      </w:r>
      <w:r>
        <w:rPr>
          <w:b/>
        </w:rPr>
        <w:t>triggers compensation</w:t>
      </w:r>
      <w:r>
        <w:t xml:space="preserve">. </w:t>
      </w:r>
      <w:r>
        <w:rPr>
          <w:b/>
        </w:rPr>
        <w:t>Best practice</w:t>
      </w:r>
      <w:r>
        <w:t xml:space="preserve">: Implement </w:t>
      </w:r>
      <w:r>
        <w:rPr>
          <w:b/>
        </w:rPr>
        <w:t>gradual transitions</w:t>
      </w:r>
      <w:r>
        <w:t xml:space="preserve"> with </w:t>
      </w:r>
      <w:r>
        <w:rPr>
          <w:b/>
        </w:rPr>
        <w:t>transitional compensation mechanisms</w:t>
      </w:r>
      <w:r>
        <w:t xml:space="preserve"> (e.g., carbon credit trading, extended phase-out timelines) to balance environmental imperatives with investor protection.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