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Transfer pricing and trading</w:t>
      </w:r>
    </w:p>
    <w:p>
      <w:pPr>
        <w:pStyle w:val="Heading1"/>
      </w:pPr>
      <w:r>
        <w:t>59. Transfer Pricing and Trading</w:t>
      </w:r>
    </w:p>
    <w:p/>
    <w:p>
      <w:pPr>
        <w:pStyle w:val="Heading2"/>
      </w:pPr>
      <w:r>
        <w:t>1. Introduction</w:t>
      </w:r>
    </w:p>
    <w:p/>
    <w:p>
      <w:r>
        <w:t>**Transfer pricing for trading activities** represents one of the most scrutinized areas in the oil and gas sector due to the **magnitude of transactions** (billions of dollars in crude oil, natural gas, and refined products), **tax rate differentials** (trading hubs in low-tax jurisdictions vs. high-tax producing countries), and **ease of profit shifting** (commodities can be traded through multiple entities before reaching end-users).</w:t>
      </w:r>
    </w:p>
    <w:p/>
    <w:p>
      <w:r>
        <w:t>As examined in Chapter 51 (Group Trading Company) and Chapter 55 (Commodity Pricing), trading companies are typically established in **low-tax jurisdictions** (Switzerland 12-14%, Singapore 5-17%) to centralize **trading profits**, **risk management**, and **logistics coordination**. However, tax authorities worldwide increasingly challenge trading structures, scrutinizing **transfer pricing methodologies**, **economic substance**, and **profit attribution**.</w:t>
      </w:r>
    </w:p>
    <w:p/>
    <w:p>
      <w:r>
        <w:t>This chapter examines **transfer pricing methods for trading** (Comparable Uncontrolled Price (CUP) for commodities, profit split for integrated trading), **attribution of trading profits** (production vs. trading vs. marketing), **tax authority challenges** (Sixth Method rule, transfer pricing adjustments), **documentation requirements** specific to trading, and **case studies** of audit defenses.</w:t>
      </w:r>
    </w:p>
    <w:p/>
    <w:p>
      <w:r>
        <w:t>---</w:t>
      </w:r>
    </w:p>
    <w:p/>
    <w:p>
      <w:pPr>
        <w:pStyle w:val="Heading2"/>
      </w:pPr>
      <w:r>
        <w:t>2. Transfer Pricing Methods for Trading Transactions</w:t>
      </w:r>
    </w:p>
    <w:p/>
    <w:p>
      <w:pPr>
        <w:pStyle w:val="Heading3"/>
      </w:pPr>
      <w:r>
        <w:t>2.1 Comparable Uncontrolled Price (CUP) Method</w:t>
      </w:r>
    </w:p>
    <w:p/>
    <w:p>
      <w:r>
        <w:t>**A. Application to Crude Oil Trading**</w:t>
      </w:r>
    </w:p>
    <w:p/>
    <w:p>
      <w:r>
        <w:t>The **CUP method** is the **most appropriate** transfer pricing method for commodity transactions. The **Organisation for Economic Co-operation and Development (OECD) Transfer Pricing Guidelines** (2022 edition, Chapter II, paragraphs 2.18-2.26) provide that quoted commodity prices generally reflect the agreement between independent buyers and sellers in the market on the price for a specific type and amount of commodity, traded under specific conditions at a certain point in time.</w:t>
      </w:r>
    </w:p>
    <w:p/>
    <w:p>
      <w:r>
        <w:t>**Two-step process**:</w:t>
      </w:r>
    </w:p>
    <w:p/>
    <w:p>
      <w:r>
        <w:t>**Step 1: Producer to Trading Company**</w:t>
      </w:r>
    </w:p>
    <w:p/>
    <w:p>
      <w:r>
        <w:t>```</w:t>
      </w:r>
    </w:p>
    <w:p>
      <w:r>
        <w:t>Structure:</w:t>
      </w:r>
    </w:p>
    <w:p>
      <w:r>
        <w:t>Producer Co. (Norway) → Trading Co. (Singapore) → End customers (refineries)</w:t>
      </w:r>
    </w:p>
    <w:p/>
    <w:p>
      <w:r>
        <w:t>Transfer pricing issue: What is arm's length price for Producer → Trading Co. sale?</w:t>
      </w:r>
    </w:p>
    <w:p/>
    <w:p>
      <w:r>
        <w:t>CUP method application:</w:t>
      </w:r>
    </w:p>
    <w:p>
      <w:pPr>
        <w:pStyle w:val="ListBullet"/>
      </w:pPr>
      <w:r>
        <w:t>Benchmark: Brent Crude (published by Platts, Intercontinental Exchange (ICE))</w:t>
      </w:r>
    </w:p>
    <w:p>
      <w:pPr>
        <w:pStyle w:val="ListBullet"/>
      </w:pPr>
      <w:r>
        <w:t>Quality adjustments: American Petroleum Institute (API) gravity, sulfur content</w:t>
      </w:r>
    </w:p>
    <w:p>
      <w:pPr>
        <w:pStyle w:val="ListBullet"/>
      </w:pPr>
      <w:r>
        <w:t>Location adjustments: Free On Board (FOB) Norway → FOB Rotterdam equivalent</w:t>
      </w:r>
    </w:p>
    <w:p>
      <w:pPr>
        <w:pStyle w:val="ListBullet"/>
      </w:pPr>
      <w:r>
        <w:t>Pricing date: Monthly average or quotational period (5-day average)</w:t>
      </w:r>
    </w:p>
    <w:p/>
    <w:p>
      <w:r>
        <w:t>Example:</w:t>
      </w:r>
    </w:p>
    <w:p>
      <w:r>
        <w:t>Brent monthly average: $80/barrel</w:t>
      </w:r>
    </w:p>
    <w:p>
      <w:r>
        <w:t>Quality adjustment (heavier crude): -$2/barrel</w:t>
      </w:r>
    </w:p>
    <w:p>
      <w:r>
        <w:t>Transfer price: $78/barrel FOB Norway</w:t>
      </w:r>
    </w:p>
    <w:p>
      <w:r>
        <w:t>```</w:t>
      </w:r>
    </w:p>
    <w:p/>
    <w:p>
      <w:r>
        <w:t>**Step 2: Trading Company to End Customer**</w:t>
      </w:r>
    </w:p>
    <w:p/>
    <w:p>
      <w:r>
        <w:t>```</w:t>
      </w:r>
    </w:p>
    <w:p>
      <w:r>
        <w:t>Trading Co. sells to end customer (refinery):</w:t>
      </w:r>
    </w:p>
    <w:p>
      <w:pPr>
        <w:pStyle w:val="ListBullet"/>
      </w:pPr>
      <w:r>
        <w:t>Benchmark: Same (Brent) or destination-specific (Singapore Platts for Asian sales)</w:t>
      </w:r>
    </w:p>
    <w:p>
      <w:pPr>
        <w:pStyle w:val="ListBullet"/>
      </w:pPr>
      <w:r>
        <w:t>Quality adjustments: Same as Step 1</w:t>
      </w:r>
    </w:p>
    <w:p>
      <w:pPr>
        <w:pStyle w:val="ListBullet"/>
      </w:pPr>
      <w:r>
        <w:t>Location adjustments: Freight from Norway to destination (e.g., +$3/barrel Cost, Insurance and Freight (CIF) Singapore)</w:t>
      </w:r>
    </w:p>
    <w:p/>
    <w:p>
      <w:r>
        <w:t>Sale price: $78 (FOB Norway) + $3 (freight) = $81/barrel CIF Singapore</w:t>
      </w:r>
    </w:p>
    <w:p>
      <w:r>
        <w:t>Trading Co. gross margin: $81 - $78 = $3/barrel</w:t>
      </w:r>
    </w:p>
    <w:p>
      <w:r>
        <w:t>```</w:t>
      </w:r>
    </w:p>
    <w:p/>
    <w:p>
      <w:r>
        <w:t>**Analysis**: Trading Co. earns **$3/barrel** margin covering:</w:t>
      </w:r>
    </w:p>
    <w:p>
      <w:pPr>
        <w:pStyle w:val="ListBullet"/>
      </w:pPr>
      <w:r>
        <w:t>**Freight and insurance** ($3/barrel cost; typically passed through at cost or small markup)</w:t>
      </w:r>
    </w:p>
    <w:p>
      <w:pPr>
        <w:pStyle w:val="ListBullet"/>
      </w:pPr>
      <w:r>
        <w:t>**Trading services** (price risk management, logistics, customer relationships)</w:t>
      </w:r>
    </w:p>
    <w:p/>
    <w:p>
      <w:r>
        <w:t>**Arm's length question**: Is $3/barrel trading margin appropriate?</w:t>
      </w:r>
    </w:p>
    <w:p/>
    <w:p>
      <w:r>
        <w:t>**Benchmarking**:</w:t>
      </w:r>
    </w:p>
    <w:p>
      <w:pPr>
        <w:pStyle w:val="ListBullet"/>
      </w:pPr>
      <w:r>
        <w:t>**External CUP**: Compare to margins earned by **independent traders** (Vitol, Trafigura, Glencore) on similar crude volumes</w:t>
      </w:r>
    </w:p>
    <w:p>
      <w:pPr>
        <w:pStyle w:val="ListBullet2"/>
      </w:pPr>
      <w:r>
        <w:t>**Challenge**: Independent trader margins are **not publicly disclosed**</w:t>
      </w:r>
    </w:p>
    <w:p>
      <w:pPr>
        <w:pStyle w:val="ListBullet2"/>
      </w:pPr>
      <w:r>
        <w:t>**Alternative**: Industry surveys (Wood Mackenzie, Platts) estimate trading margins at **$0.50-3.00/barrel** depending on crude grade, volume, and market conditions</w:t>
      </w:r>
    </w:p>
    <w:p/>
    <w:p>
      <w:pPr>
        <w:pStyle w:val="ListBullet"/>
      </w:pPr>
      <w:r>
        <w:t>**Internal CUP**: If Producer also sells to **independent third parties** (e.g., sells 30% of production to Shell Trading), compare Trading Co. margin to third-party transactions</w:t>
      </w:r>
    </w:p>
    <w:p>
      <w:pPr>
        <w:pStyle w:val="ListBullet2"/>
      </w:pPr>
      <w:r>
        <w:t>**Advantage**: Direct evidence of arm's length pricing (same seller, same crude)</w:t>
      </w:r>
    </w:p>
    <w:p/>
    <w:p>
      <w:r>
        <w:t>**B. Application to Natural Gas and Liquefied Natural Gas (LNG) Trading**</w:t>
      </w:r>
    </w:p>
    <w:p/>
    <w:p>
      <w:r>
        <w:t>**Natural gas (pipeline)**:</w:t>
      </w:r>
    </w:p>
    <w:p/>
    <w:p>
      <w:r>
        <w:t>```</w:t>
      </w:r>
    </w:p>
    <w:p>
      <w:r>
        <w:t>Producer Co. (U.S.) → Trading Co. (Singapore) → End customer (Asian utility)</w:t>
      </w:r>
    </w:p>
    <w:p/>
    <w:p>
      <w:r>
        <w:t>Transfer pricing:</w:t>
      </w:r>
    </w:p>
    <w:p>
      <w:pPr>
        <w:pStyle w:val="ListBullet"/>
      </w:pPr>
      <w:r>
        <w:t>Benchmark: Henry Hub (U.S. hub price)</w:t>
      </w:r>
    </w:p>
    <w:p>
      <w:pPr>
        <w:pStyle w:val="ListBullet"/>
      </w:pPr>
      <w:r>
        <w:t>Producer → Trading Co.: Henry Hub + pipeline tariff to delivery point</w:t>
      </w:r>
    </w:p>
    <w:p>
      <w:pPr>
        <w:pStyle w:val="ListBullet"/>
      </w:pPr>
      <w:r>
        <w:t>Trading Co. → Customer: Henry Hub + liquefaction fee + freight + regasification + destination premium</w:t>
      </w:r>
    </w:p>
    <w:p/>
    <w:p>
      <w:r>
        <w:t>Example:</w:t>
      </w:r>
    </w:p>
    <w:p>
      <w:r>
        <w:t>Henry Hub: $3.00/Million British Thermal Units (MMBtu)</w:t>
      </w:r>
    </w:p>
    <w:p>
      <w:r>
        <w:t>Pipeline to LNG facility: $0.50/MMBtu</w:t>
      </w:r>
    </w:p>
    <w:p>
      <w:r>
        <w:t>Liquefaction fee: $3.00/MMBtu</w:t>
      </w:r>
    </w:p>
    <w:p>
      <w:r>
        <w:t>Freight (U.S. to Asia): $2.00/MMBtu</w:t>
      </w:r>
    </w:p>
    <w:p>
      <w:r>
        <w:t>Destination premium (Asian LNG market vs. Henry Hub): $2.50/MMBtu</w:t>
      </w:r>
    </w:p>
    <w:p/>
    <w:p>
      <w:r>
        <w:t>Producer → Trading Co.: $3.00 + $0.50 = $3.50/MMBtu</w:t>
      </w:r>
    </w:p>
    <w:p>
      <w:r>
        <w:t>Trading Co. → Customer: $3.00 + $0.50 + $3.00 + $2.00 + $2.50 = $11.00/MMBtu</w:t>
      </w:r>
    </w:p>
    <w:p>
      <w:r>
        <w:t>Trading Co. gross margin: $11.00 - $3.50 = $7.50/MMBtu</w:t>
      </w:r>
    </w:p>
    <w:p/>
    <w:p>
      <w:r>
        <w:t>Margin attribution:</w:t>
      </w:r>
    </w:p>
    <w:p>
      <w:pPr>
        <w:pStyle w:val="ListBullet"/>
      </w:pPr>
      <w:r>
        <w:t>Liquefaction service: $3.00/MMBtu (likely provided by third party or separate group entity)</w:t>
      </w:r>
    </w:p>
    <w:p>
      <w:pPr>
        <w:pStyle w:val="ListBullet"/>
      </w:pPr>
      <w:r>
        <w:t>Freight: $2.00/MMBtu (passed through at cost)</w:t>
      </w:r>
    </w:p>
    <w:p>
      <w:pPr>
        <w:pStyle w:val="ListBullet"/>
      </w:pPr>
      <w:r>
        <w:t>Trading margin: $11.00 - $3.50 - $3.00 - $2.00 = $2.50/MMBtu</w:t>
      </w:r>
    </w:p>
    <w:p>
      <w:r>
        <w:t>```</w:t>
      </w:r>
    </w:p>
    <w:p/>
    <w:p>
      <w:r>
        <w:t>**Benchmarking**: Compare $2.50/MMBtu trading margin to:</w:t>
      </w:r>
    </w:p>
    <w:p>
      <w:pPr>
        <w:pStyle w:val="ListBullet"/>
      </w:pPr>
      <w:r>
        <w:t>**External benchmarks**: Independent LNG traders (difficult to obtain; not publicly disclosed)</w:t>
      </w:r>
    </w:p>
    <w:p>
      <w:pPr>
        <w:pStyle w:val="ListBullet"/>
      </w:pPr>
      <w:r>
        <w:t>**Internal CUP**: Producer's sales to independent LNG buyers (if any)</w:t>
      </w:r>
    </w:p>
    <w:p>
      <w:pPr>
        <w:pStyle w:val="ListBullet"/>
      </w:pPr>
      <w:r>
        <w:t>**Profit split**: Allocate total margin ($7.50) between liquefaction (separate entity), freight (third party), and trading based on functions, assets, risks</w:t>
      </w:r>
    </w:p>
    <w:p/>
    <w:p>
      <w:pPr>
        <w:pStyle w:val="Heading3"/>
      </w:pPr>
      <w:r>
        <w:t>2.2 Profit Split Method</w:t>
      </w:r>
    </w:p>
    <w:p/>
    <w:p>
      <w:r>
        <w:t>**A. When to Use Profit Split**</w:t>
      </w:r>
    </w:p>
    <w:p/>
    <w:p>
      <w:r>
        <w:t>Profit split is appropriate for **integrated trading operations** where:</w:t>
      </w:r>
    </w:p>
    <w:p>
      <w:pPr>
        <w:pStyle w:val="ListBullet"/>
      </w:pPr>
      <w:r>
        <w:t>**Multiple entities** contribute unique and valuable functions</w:t>
      </w:r>
    </w:p>
    <w:p>
      <w:pPr>
        <w:pStyle w:val="ListBullet"/>
      </w:pPr>
      <w:r>
        <w:t>**Highly interrelated transactions** (difficult to separate producer, trader, marketer)</w:t>
      </w:r>
    </w:p>
    <w:p>
      <w:pPr>
        <w:pStyle w:val="ListBullet"/>
      </w:pPr>
      <w:r>
        <w:t>**No reliable external comparables** (proprietary trading strategies, unique crude blends)</w:t>
      </w:r>
    </w:p>
    <w:p/>
    <w:p>
      <w:r>
        <w:t>**OECD Guidance** (Transfer Pricing Guidelines, Chapter II, Section D):</w:t>
      </w:r>
    </w:p>
    <w:p/>
    <w:p>
      <w:r>
        <w:t>&gt; "The transactional profit split method may be appropriate where commodities are sold through a chain of distribution companies that are part of the same group and where the distribution companies add value beyond simple distribution..."</w:t>
      </w:r>
    </w:p>
    <w:p/>
    <w:p>
      <w:r>
        <w:t>**B. Application to Integrated Trading Chains**</w:t>
      </w:r>
    </w:p>
    <w:p/>
    <w:p>
      <w:r>
        <w:t>**Example**: Multinational group with vertically integrated operations:</w:t>
      </w:r>
    </w:p>
    <w:p/>
    <w:p>
      <w:r>
        <w:t>```</w:t>
      </w:r>
    </w:p>
    <w:p>
      <w:r>
        <w:t>Structure:</w:t>
      </w:r>
    </w:p>
    <w:p>
      <w:r>
        <w:t>Producer Co. (Nigeria) → Trading Co. (Switzerland) → Refining Co. (Netherlands) → Marketing Co. (Germany) → End customers</w:t>
      </w:r>
    </w:p>
    <w:p/>
    <w:p>
      <w:r>
        <w:t>Combined profit (total value chain): $100 million</w:t>
      </w:r>
    </w:p>
    <w:p/>
    <w:p>
      <w:r>
        <w:t>Profit attribution:</w:t>
      </w:r>
    </w:p>
    <w:p>
      <w:pPr>
        <w:pStyle w:val="ListBullet"/>
      </w:pPr>
      <w:r>
        <w:t>Producer Co. (upstream): Extraction, production = 40% of combined profit = $40M</w:t>
      </w:r>
    </w:p>
    <w:p>
      <w:pPr>
        <w:pStyle w:val="ListBullet"/>
      </w:pPr>
      <w:r>
        <w:t>Trading Co. (midstream): Trading, logistics, risk mgmt = 20% = $20M</w:t>
      </w:r>
    </w:p>
    <w:p>
      <w:pPr>
        <w:pStyle w:val="ListBullet"/>
      </w:pPr>
      <w:r>
        <w:t>Refining Co. (downstream): Refining operations = 25% = $25M</w:t>
      </w:r>
    </w:p>
    <w:p>
      <w:pPr>
        <w:pStyle w:val="ListBullet"/>
      </w:pPr>
      <w:r>
        <w:t>Marketing Co. (retail): Marketing, branding, distribution = 15% = $15M</w:t>
      </w:r>
    </w:p>
    <w:p>
      <w:r>
        <w:t>```</w:t>
      </w:r>
    </w:p>
    <w:p/>
    <w:p>
      <w:r>
        <w:t>**Profit split methodology**:</w:t>
      </w:r>
    </w:p>
    <w:p/>
    <w:p>
      <w:r>
        <w:t>**Step 1: Identify combined profits**</w:t>
      </w:r>
    </w:p>
    <w:p/>
    <w:p>
      <w:r>
        <w:t>Calculate total profit from integrated operations:</w:t>
      </w:r>
    </w:p>
    <w:p>
      <w:r>
        <w:t>```</w:t>
      </w:r>
    </w:p>
    <w:p>
      <w:r>
        <w:t>End customer revenue: $500 million</w:t>
      </w:r>
    </w:p>
    <w:p>
      <w:r>
        <w:t>Total costs (production + trading + refining + marketing): $400 million</w:t>
      </w:r>
    </w:p>
    <w:p>
      <w:r>
        <w:t>Combined profit: $100 million</w:t>
      </w:r>
    </w:p>
    <w:p>
      <w:r>
        <w:t>```</w:t>
      </w:r>
    </w:p>
    <w:p/>
    <w:p>
      <w:r>
        <w:t>**Step 2: Functional analysis**</w:t>
      </w:r>
    </w:p>
    <w:p/>
    <w:p>
      <w:r>
        <w:t>Determine relative contributions of each entity:</w:t>
      </w:r>
    </w:p>
    <w:p/>
    <w:p>
      <w:r>
        <w:t>| **Entity** | **Functions** | **Assets** | **Risks** | **Contribution %** |</w:t>
      </w:r>
    </w:p>
    <w:p>
      <w:r>
        <w:t>|---|---|---|---|---|</w:t>
      </w:r>
    </w:p>
    <w:p>
      <w:r>
        <w:t>| **Producer** | Exploration, drilling, production | Oil reserves, infrastructure | Exploration risk, price risk | 40% |</w:t>
      </w:r>
    </w:p>
    <w:p>
      <w:r>
        <w:t>| **Trading Co.** | Market making, logistics, hedging | Working capital, relationships | Price volatility, credit risk | 20% |</w:t>
      </w:r>
    </w:p>
    <w:p>
      <w:r>
        <w:t>| **Refining Co.** | Processing crude into products | Refinery (high capital expenditure) | Operating risk, margin risk | 25% |</w:t>
      </w:r>
    </w:p>
    <w:p>
      <w:r>
        <w:t>| **Marketing Co.** | Branding, retail distribution | Retail network, brand | Demand risk, competition | 15% |</w:t>
      </w:r>
    </w:p>
    <w:p/>
    <w:p>
      <w:r>
        <w:t>**Step 3: Allocate profit**</w:t>
      </w:r>
    </w:p>
    <w:p/>
    <w:p>
      <w:r>
        <w:t>```</w:t>
      </w:r>
    </w:p>
    <w:p>
      <w:r>
        <w:t>Producer Co.: $100M × 40% = $40M</w:t>
      </w:r>
    </w:p>
    <w:p>
      <w:r>
        <w:t>Trading Co.: $100M × 20% = $20M</w:t>
      </w:r>
    </w:p>
    <w:p>
      <w:r>
        <w:t>Refining Co.: $100M × 25% = $25M</w:t>
      </w:r>
    </w:p>
    <w:p>
      <w:r>
        <w:t>Marketing Co.: $100M × 15% = $15M</w:t>
      </w:r>
    </w:p>
    <w:p>
      <w:r>
        <w:t>```</w:t>
      </w:r>
    </w:p>
    <w:p/>
    <w:p>
      <w:r>
        <w:t>**Step 4: Derive transfer prices**</w:t>
      </w:r>
    </w:p>
    <w:p/>
    <w:p>
      <w:r>
        <w:t>Work backward from allocated profits to determine transfer prices:</w:t>
      </w:r>
    </w:p>
    <w:p/>
    <w:p>
      <w:r>
        <w:t>```</w:t>
      </w:r>
    </w:p>
    <w:p>
      <w:r>
        <w:t>Producer → Trading Co. transfer price:</w:t>
      </w:r>
    </w:p>
    <w:p>
      <w:pPr>
        <w:pStyle w:val="ListBullet"/>
      </w:pPr>
      <w:r>
        <w:t>Producer allocated profit: $40M</w:t>
      </w:r>
    </w:p>
    <w:p>
      <w:pPr>
        <w:pStyle w:val="ListBullet"/>
      </w:pPr>
      <w:r>
        <w:t>Producer costs: $150M</w:t>
      </w:r>
    </w:p>
    <w:p>
      <w:pPr>
        <w:pStyle w:val="ListBullet"/>
      </w:pPr>
      <w:r>
        <w:t>Transfer price: $150M + $40M = $190M</w:t>
      </w:r>
    </w:p>
    <w:p/>
    <w:p>
      <w:r>
        <w:t>Trading Co. → Refining Co. transfer price:</w:t>
      </w:r>
    </w:p>
    <w:p>
      <w:pPr>
        <w:pStyle w:val="ListBullet"/>
      </w:pPr>
      <w:r>
        <w:t>Trading Co. allocated profit: $20M</w:t>
      </w:r>
    </w:p>
    <w:p>
      <w:pPr>
        <w:pStyle w:val="ListBullet"/>
      </w:pPr>
      <w:r>
        <w:t>Trading Co. purchase cost: $190M</w:t>
      </w:r>
    </w:p>
    <w:p>
      <w:pPr>
        <w:pStyle w:val="ListBullet"/>
      </w:pPr>
      <w:r>
        <w:t>Trading Co. operating costs: $10M</w:t>
      </w:r>
    </w:p>
    <w:p>
      <w:pPr>
        <w:pStyle w:val="ListBullet"/>
      </w:pPr>
      <w:r>
        <w:t>Transfer price: $190M + $10M + $20M = $220M</w:t>
      </w:r>
    </w:p>
    <w:p/>
    <w:p>
      <w:r>
        <w:t>[Continue for downstream entities]</w:t>
      </w:r>
    </w:p>
    <w:p>
      <w:r>
        <w:t>```</w:t>
      </w:r>
    </w:p>
    <w:p/>
    <w:p>
      <w:r>
        <w:t>**C. Challenges with Profit Split**</w:t>
      </w:r>
    </w:p>
    <w:p/>
    <w:p>
      <w:r>
        <w:t>**Subjectivity**: Determining relative contributions (40% producer, 20% trader, etc.) requires **judgment**.</w:t>
      </w:r>
    </w:p>
    <w:p/>
    <w:p>
      <w:r>
        <w:t>**Defense**:</w:t>
      </w:r>
    </w:p>
    <w:p>
      <w:pPr>
        <w:pStyle w:val="ListBullet"/>
      </w:pPr>
      <w:r>
        <w:t>**External validation**: Third-party valuation of functions (e.g., consulting firm assessment)</w:t>
      </w:r>
    </w:p>
    <w:p>
      <w:pPr>
        <w:pStyle w:val="ListBullet"/>
      </w:pPr>
      <w:r>
        <w:t>**Comparables**: Industry studies on value chain profit allocation (e.g., McKinsey, Bain studies on oil &amp; gas margins)</w:t>
      </w:r>
    </w:p>
    <w:p>
      <w:pPr>
        <w:pStyle w:val="ListBullet"/>
      </w:pPr>
      <w:r>
        <w:t>**Consistency**: Apply same methodology year-over-year</w:t>
      </w:r>
    </w:p>
    <w:p/>
    <w:p>
      <w:r>
        <w:t>**Tax authority acceptance**: **Bilateral or multilateral Advance Pricing Agreements (APAs) strongly recommended** for profit split arrangements (pre-approval by all jurisdictions involved).</w:t>
      </w:r>
    </w:p>
    <w:p/>
    <w:p>
      <w:r>
        <w:t>---</w:t>
      </w:r>
    </w:p>
    <w:p/>
    <w:p>
      <w:pPr>
        <w:pStyle w:val="Heading2"/>
      </w:pPr>
      <w:r>
        <w:t>3. Attribution of Trading Profits</w:t>
      </w:r>
    </w:p>
    <w:p/>
    <w:p>
      <w:pPr>
        <w:pStyle w:val="Heading3"/>
      </w:pPr>
      <w:r>
        <w:t>3.1 Routine vs. Entrepreneurial Functions</w:t>
      </w:r>
    </w:p>
    <w:p/>
    <w:p>
      <w:r>
        <w:t>**Key question**: Is the trading company performing **routine distribution** (entitled to **limited return**) or **entrepreneurial trading** (entitled to **residual profit**)?</w:t>
      </w:r>
    </w:p>
    <w:p/>
    <w:p>
      <w:r>
        <w:t>**A. Routine Distribution Model**</w:t>
      </w:r>
    </w:p>
    <w:p/>
    <w:p>
      <w:r>
        <w:t>**Characteristics**:</w:t>
      </w:r>
    </w:p>
    <w:p>
      <w:pPr>
        <w:pStyle w:val="ListBullet"/>
      </w:pPr>
      <w:r>
        <w:t>Trading company performs **limited functions**: Order processing, logistics coordination, invoicing</w:t>
      </w:r>
    </w:p>
    <w:p>
      <w:pPr>
        <w:pStyle w:val="ListBullet"/>
      </w:pPr>
      <w:r>
        <w:t>**No market-making**: Buys and sells based on parent's instructions; no independent trading strategy</w:t>
      </w:r>
    </w:p>
    <w:p>
      <w:pPr>
        <w:pStyle w:val="ListBullet"/>
      </w:pPr>
      <w:r>
        <w:t>**Limited risk**: No inventory risk (back-to-back contracts), minimal credit risk (parent guarantees)</w:t>
      </w:r>
    </w:p>
    <w:p>
      <w:pPr>
        <w:pStyle w:val="ListBullet"/>
      </w:pPr>
      <w:r>
        <w:t>**Limited assets**: No proprietary trading systems, limited working capital</w:t>
      </w:r>
    </w:p>
    <w:p/>
    <w:p>
      <w:r>
        <w:t>**Arm's length return**: **0.5-2% margin** on sales (comparable to commission agents or limited-risk distributors)</w:t>
      </w:r>
    </w:p>
    <w:p/>
    <w:p>
      <w:r>
        <w:t>**B. Entrepreneurial Trading Model**</w:t>
      </w:r>
    </w:p>
    <w:p/>
    <w:p>
      <w:r>
        <w:t>**Characteristics**:</w:t>
      </w:r>
    </w:p>
    <w:p>
      <w:pPr>
        <w:pStyle w:val="ListBullet"/>
      </w:pPr>
      <w:r>
        <w:t>Trading company performs **full trading functions**: Market analysis, trade origination, pricing, risk management, customer relationships</w:t>
      </w:r>
    </w:p>
    <w:p>
      <w:pPr>
        <w:pStyle w:val="ListBullet"/>
      </w:pPr>
      <w:r>
        <w:t>**Market-making**: Takes positions, manages inventory, bears price risk</w:t>
      </w:r>
    </w:p>
    <w:p>
      <w:pPr>
        <w:pStyle w:val="ListBullet"/>
      </w:pPr>
      <w:r>
        <w:t>**Significant risk**: Inventory risk, credit risk, market risk (price volatility)</w:t>
      </w:r>
    </w:p>
    <w:p>
      <w:pPr>
        <w:pStyle w:val="ListBullet"/>
      </w:pPr>
      <w:r>
        <w:t>**Significant assets**: Proprietary trading systems, working capital ($100M+), trader expertise, customer relationships</w:t>
      </w:r>
    </w:p>
    <w:p/>
    <w:p>
      <w:r>
        <w:t>**Arm's length return**: **2-5% margin** on sales (or higher, depending on market conditions and trading profits achieved)</w:t>
      </w:r>
    </w:p>
    <w:p/>
    <w:p>
      <w:pPr>
        <w:pStyle w:val="Heading3"/>
      </w:pPr>
      <w:r>
        <w:t>3.2 DEMPE Analysis (Development, Enhancement, Maintenance, Protection, Exploitation)</w:t>
      </w:r>
    </w:p>
    <w:p/>
    <w:p>
      <w:r>
        <w:t>For **trading intangibles** (customer relationships, market intelligence, trading algorithms), conduct **DEMPE analysis** to determine which entity(ies) are entitled to **intangible-related returns**.</w:t>
      </w:r>
    </w:p>
    <w:p/>
    <w:p>
      <w:r>
        <w:t>The **DEMPE framework** was introduced in the OECD BEPS (Base Erosion and Profit Shifting) Action 8-10 reports (2015) and incorporated into the OECD Transfer Pricing Guidelines to ensure that returns from intangibles are allocated to entities that perform and control the functions related to developing, enhancing, maintaining, protecting, and exploiting those intangibles.</w:t>
      </w:r>
    </w:p>
    <w:p/>
    <w:p>
      <w:r>
        <w:t>**Example**:</w:t>
      </w:r>
    </w:p>
    <w:p/>
    <w:p>
      <w:r>
        <w:t>```</w:t>
      </w:r>
    </w:p>
    <w:p>
      <w:r>
        <w:t>Trading Co. (Switzerland) has developed:</w:t>
      </w:r>
    </w:p>
    <w:p>
      <w:pPr>
        <w:pStyle w:val="ListBullet"/>
      </w:pPr>
      <w:r>
        <w:t>Proprietary trading algorithms (price forecasting, arbitrage identification)</w:t>
      </w:r>
    </w:p>
    <w:p>
      <w:pPr>
        <w:pStyle w:val="ListBullet"/>
      </w:pPr>
      <w:r>
        <w:t>Customer relationships with 50+ refineries (built over 10 years)</w:t>
      </w:r>
    </w:p>
    <w:p>
      <w:pPr>
        <w:pStyle w:val="ListBullet"/>
      </w:pPr>
      <w:r>
        <w:t>Market intelligence (supply/demand analysis, geopolitical risk assessment)</w:t>
      </w:r>
    </w:p>
    <w:p/>
    <w:p>
      <w:r>
        <w:t>DEMPE analysis:</w:t>
      </w:r>
    </w:p>
    <w:p>
      <w:pPr>
        <w:pStyle w:val="ListBullet"/>
      </w:pPr>
      <w:r>
        <w:t>**Development**: Trading Co. employs 5 quantitative analysts developing algorithms ($2M annually)</w:t>
      </w:r>
    </w:p>
    <w:p>
      <w:pPr>
        <w:pStyle w:val="ListBullet"/>
      </w:pPr>
      <w:r>
        <w:t>**Enhancement**: Trading Co. invests $1M annually in IT infrastructure, data feeds</w:t>
      </w:r>
    </w:p>
    <w:p>
      <w:pPr>
        <w:pStyle w:val="ListBullet"/>
      </w:pPr>
      <w:r>
        <w:t>**Maintenance**: Trading Co. employs traders maintaining customer relationships ($5M salaries)</w:t>
      </w:r>
    </w:p>
    <w:p>
      <w:pPr>
        <w:pStyle w:val="ListBullet"/>
      </w:pPr>
      <w:r>
        <w:t>**Protection**: Trading Co. maintains trade secrets (non-compete agreements, restricted access)</w:t>
      </w:r>
    </w:p>
    <w:p>
      <w:pPr>
        <w:pStyle w:val="ListBullet"/>
      </w:pPr>
      <w:r>
        <w:t>**Exploitation**: Trading Co. generates $50M trading profit annually using intangibles</w:t>
      </w:r>
    </w:p>
    <w:p/>
    <w:p>
      <w:r>
        <w:t>Conclusion: Trading Co. performs all DEMPE functions; entitled to intangible-related returns (beyond routine trading margin)</w:t>
      </w:r>
    </w:p>
    <w:p>
      <w:r>
        <w:t>```</w:t>
      </w:r>
    </w:p>
    <w:p/>
    <w:p>
      <w:r>
        <w:t>**Arm's length return**: **Residual profit** after allocating routine returns to other entities (producers, logistics providers, etc.).</w:t>
      </w:r>
    </w:p>
    <w:p/>
    <w:p>
      <w:r>
        <w:t>**Calculation**:</w:t>
      </w:r>
    </w:p>
    <w:p/>
    <w:p>
      <w:r>
        <w:t>```</w:t>
      </w:r>
    </w:p>
    <w:p>
      <w:r>
        <w:t>Total trading profit: $50M</w:t>
      </w:r>
    </w:p>
    <w:p>
      <w:r>
        <w:t>Less: Routine return to producer (8% on production cost of $200M): $16M</w:t>
      </w:r>
    </w:p>
    <w:p>
      <w:r>
        <w:t>Less: Routine return to logistics provider (5% on freight costs of $10M): $500K</w:t>
      </w:r>
    </w:p>
    <w:p>
      <w:r>
        <w:t>Residual profit (to Trading Co. for intangibles): $50M - $16M - $0.5M = $33.5M</w:t>
      </w:r>
    </w:p>
    <w:p>
      <w:r>
        <w:t>```</w:t>
      </w:r>
    </w:p>
    <w:p/>
    <w:p>
      <w:r>
        <w:t>---</w:t>
      </w:r>
    </w:p>
    <w:p/>
    <w:p>
      <w:pPr>
        <w:pStyle w:val="Heading2"/>
      </w:pPr>
      <w:r>
        <w:t>4. Tax Authority Challenges</w:t>
      </w:r>
    </w:p>
    <w:p/>
    <w:p>
      <w:pPr>
        <w:pStyle w:val="Heading3"/>
      </w:pPr>
      <w:r>
        <w:t>4.1 "Sixth Method" Rule (Argentina, Zambia, Ghana, Kenya, Uganda)</w:t>
      </w:r>
    </w:p>
    <w:p/>
    <w:p>
      <w:r>
        <w:t>**Background**: Several **resource-rich countries** (primarily in Latin America and Africa) introduced the **"Sixth Method"**, empowering tax authorities to **disregard** benchmark pricing and **substitute** alternative valuations for commodity transactions.</w:t>
      </w:r>
    </w:p>
    <w:p/>
    <w:p>
      <w:r>
        <w:t>The term "Sixth Method" refers to this approach as an additional method beyond the five traditional OECD transfer pricing methods (CUP, Resale Price, Cost Plus, Transactional Net Margin Method, Profit Split). Argentina was the first country to adopt this approach under **Income Tax Law Article 15** (amended 2003), followed by other resource-rich jurisdictions.</w:t>
      </w:r>
    </w:p>
    <w:p/>
    <w:p>
      <w:r>
        <w:t>**Nigeria Transfer Pricing Context**:</w:t>
      </w:r>
    </w:p>
    <w:p/>
    <w:p>
      <w:r>
        <w:t>Nigeria applies transfer pricing rules under the **Income Tax (Transfer Pricing) Regulations 2018**, which give tax authorities broad discretion to determine market value for commodity transactions. While Nigeria has not formally codified a "Sixth Method" in legislation, the **Federal Inland Revenue Service (FIRS)** has demonstrated willingness to challenge CUP pricing using alternative valuation methods, particularly for crude oil exports.</w:t>
      </w:r>
    </w:p>
    <w:p/>
    <w:p>
      <w:r>
        <w:t>**Application**:</w:t>
      </w:r>
    </w:p>
    <w:p/>
    <w:p>
      <w:r>
        <w:t>```</w:t>
      </w:r>
    </w:p>
    <w:p>
      <w:r>
        <w:t>Example:</w:t>
      </w:r>
    </w:p>
    <w:p>
      <w:r>
        <w:t>Producer Co. (Nigeria) sells crude to Trading Co. (Switzerland) using CUP method:</w:t>
      </w:r>
    </w:p>
    <w:p>
      <w:pPr>
        <w:pStyle w:val="ListBullet"/>
      </w:pPr>
      <w:r>
        <w:t>Brent benchmark: $80/barrel</w:t>
      </w:r>
    </w:p>
    <w:p>
      <w:pPr>
        <w:pStyle w:val="ListBullet"/>
      </w:pPr>
      <w:r>
        <w:t>Quality adjustment: -$2/barrel</w:t>
      </w:r>
    </w:p>
    <w:p>
      <w:pPr>
        <w:pStyle w:val="ListBullet"/>
      </w:pPr>
      <w:r>
        <w:t>Transfer price: $78/barrel</w:t>
      </w:r>
    </w:p>
    <w:p/>
    <w:p>
      <w:r>
        <w:t>Nigerian tax authority challenge:</w:t>
      </w:r>
    </w:p>
    <w:p>
      <w:pPr>
        <w:pStyle w:val="ListBullet"/>
      </w:pPr>
      <w:r>
        <w:t>Claims $78/barrel "does not reflect prevailing commercial realities"</w:t>
      </w:r>
    </w:p>
    <w:p>
      <w:pPr>
        <w:pStyle w:val="ListBullet"/>
      </w:pPr>
      <w:r>
        <w:t>Applies alternative valuation: Uses Nigerian government posted price of $85/barrel</w:t>
      </w:r>
    </w:p>
    <w:p>
      <w:pPr>
        <w:pStyle w:val="ListBullet"/>
      </w:pPr>
      <w:r>
        <w:t>Adjustment: $7/barrel × 1M barrels = $7M additional taxable income</w:t>
      </w:r>
    </w:p>
    <w:p/>
    <w:p>
      <w:r>
        <w:t>Nigeria tax impact (under Petroleum Profits Tax Act):</w:t>
      </w:r>
    </w:p>
    <w:p>
      <w:pPr>
        <w:pStyle w:val="ListBullet"/>
      </w:pPr>
      <w:r>
        <w:t>For Production Sharing Contracts (PSC): $7M × 50% = $3.5M additional tax</w:t>
      </w:r>
    </w:p>
    <w:p>
      <w:pPr>
        <w:pStyle w:val="ListBullet"/>
      </w:pPr>
      <w:r>
        <w:t>For Joint Ventures with Nigerian National Petroleum Corporation (NNPC): $7M × 85% = $5.95M additional tax</w:t>
      </w:r>
    </w:p>
    <w:p>
      <w:r>
        <w:t>```</w:t>
      </w:r>
    </w:p>
    <w:p/>
    <w:p>
      <w:r>
        <w:t>**Defense strategies**:</w:t>
      </w:r>
    </w:p>
    <w:p/>
    <w:p>
      <w:r>
        <w:t>1. **Internal CUP**: Evidence of sales to **independent third parties** at same price ($78/barrel to Shell, Vitol)</w:t>
      </w:r>
    </w:p>
    <w:p>
      <w:r>
        <w:t xml:space="preserve">   - Strongest defense: Same seller, same crude, same price</w:t>
      </w:r>
    </w:p>
    <w:p/>
    <w:p>
      <w:r>
        <w:t>2. **Bilateral APA**: Negotiate **advance pricing agreement** between **Switzerland competent authority** and **Nigeria FIRS** under tax treaty Mutual Agreement Procedure (MAP)</w:t>
      </w:r>
    </w:p>
    <w:p>
      <w:r>
        <w:t xml:space="preserve">   - Pre-approval of CUP methodology</w:t>
      </w:r>
    </w:p>
    <w:p>
      <w:r>
        <w:t xml:space="preserve">   - Binding on both jurisdictions</w:t>
      </w:r>
    </w:p>
    <w:p/>
    <w:p>
      <w:r>
        <w:t>3. **Contemporaneous documentation**: Robust **Local File** with:</w:t>
      </w:r>
    </w:p>
    <w:p>
      <w:r>
        <w:t xml:space="preserve">   - CUP method justification</w:t>
      </w:r>
    </w:p>
    <w:p>
      <w:r>
        <w:t xml:space="preserve">   - Published benchmark prices (Platts, Argus)</w:t>
      </w:r>
    </w:p>
    <w:p>
      <w:r>
        <w:t xml:space="preserve">   - Quality adjustments (laboratory analysis, industry differentials)</w:t>
      </w:r>
    </w:p>
    <w:p>
      <w:r>
        <w:t xml:space="preserve">   - Pricing date methodology (monthly average, quotational period)</w:t>
      </w:r>
    </w:p>
    <w:p/>
    <w:p>
      <w:r>
        <w:t>4. **Expert valuation**: Engage **independent petroleum engineer** (DeGolyer &amp; MacNaughton, Gaffney Cline) to opine that $78/barrel is market value</w:t>
      </w:r>
    </w:p>
    <w:p/>
    <w:p>
      <w:r>
        <w:t>**Outcome**: Nigerian courts have **accepted Internal CUP** (sales to independent parties) as strong evidence of market value; alternative valuation methods disallowed if taxpayer can demonstrate robust arm's length pricing.</w:t>
      </w:r>
    </w:p>
    <w:p/>
    <w:p>
      <w:pPr>
        <w:pStyle w:val="Heading3"/>
      </w:pPr>
      <w:r>
        <w:t>4.2 Economic Substance Challenges</w:t>
      </w:r>
    </w:p>
    <w:p/>
    <w:p>
      <w:r>
        <w:t>**Issue**: Tax authorities challenge trading companies lacking **genuine business operations** in low-tax jurisdictions.</w:t>
      </w:r>
    </w:p>
    <w:p/>
    <w:p>
      <w:r>
        <w:t>**Criteria for economic substance** (see Chapter 51):</w:t>
      </w:r>
    </w:p>
    <w:p/>
    <w:p>
      <w:r>
        <w:t>1. **Adequate personnel**: 8-15 traders, risk managers, compliance officers **based in trading hub jurisdiction**</w:t>
      </w:r>
    </w:p>
    <w:p>
      <w:r>
        <w:t>2. **Physical presence**: Office, trading infrastructure (Bloomberg terminals, risk management systems)</w:t>
      </w:r>
    </w:p>
    <w:p>
      <w:r>
        <w:t>3. **Decision-making authority**: **Board meetings** and **trading decisions** made locally (not in parent jurisdiction)</w:t>
      </w:r>
    </w:p>
    <w:p>
      <w:r>
        <w:t>4. **Core income-generating activities (CIGA)**: Trade execution, pricing, risk management, logistics coordination performed locally</w:t>
      </w:r>
    </w:p>
    <w:p/>
    <w:p>
      <w:r>
        <w:t>**Example of substance failure**:</w:t>
      </w:r>
    </w:p>
    <w:p/>
    <w:p>
      <w:r>
        <w:t>```</w:t>
      </w:r>
    </w:p>
    <w:p>
      <w:r>
        <w:t>Trading Co. (Cayman Islands) claims to manage $2B annual crude trading:</w:t>
      </w:r>
    </w:p>
    <w:p>
      <w:pPr>
        <w:pStyle w:val="ListBullet"/>
      </w:pPr>
      <w:r>
        <w:t>Personnel: 2 employees (administrative staff; no traders)</w:t>
      </w:r>
    </w:p>
    <w:p>
      <w:pPr>
        <w:pStyle w:val="ListBullet"/>
      </w:pPr>
      <w:r>
        <w:t>Office: Registered office (service provider address; no physical trading floor)</w:t>
      </w:r>
    </w:p>
    <w:p>
      <w:pPr>
        <w:pStyle w:val="ListBullet"/>
      </w:pPr>
      <w:r>
        <w:t>Decision-making: All trades approved by parent (UK) via email</w:t>
      </w:r>
    </w:p>
    <w:p>
      <w:pPr>
        <w:pStyle w:val="ListBullet"/>
      </w:pPr>
      <w:r>
        <w:t>CIGA: Performed in UK (traders employed by parent, "seconded" to Cayman entity)</w:t>
      </w:r>
    </w:p>
    <w:p/>
    <w:p>
      <w:r>
        <w:t>Tax authority challenge (UK His Majesty's Revenue and Customs (HMRC)):</w:t>
      </w:r>
    </w:p>
    <w:p>
      <w:pPr>
        <w:pStyle w:val="ListBullet"/>
      </w:pPr>
      <w:r>
        <w:t>Trading Co. lacks substance; **permanent establishment (PE)** exists in UK</w:t>
      </w:r>
    </w:p>
    <w:p>
      <w:pPr>
        <w:pStyle w:val="ListBullet"/>
      </w:pPr>
      <w:r>
        <w:t>Recharacterize Cayman profits as UK-source income</w:t>
      </w:r>
    </w:p>
    <w:p>
      <w:pPr>
        <w:pStyle w:val="ListBullet"/>
      </w:pPr>
      <w:r>
        <w:t>UK corporate tax (25% for financial year 2024/25) + penalties for failure to disclose PE</w:t>
      </w:r>
    </w:p>
    <w:p/>
    <w:p>
      <w:r>
        <w:t>Result: $50M Cayman trading profit taxed at 25% in UK = $12.5M additional tax + penalties</w:t>
      </w:r>
    </w:p>
    <w:p>
      <w:r>
        <w:t>```</w:t>
      </w:r>
    </w:p>
    <w:p/>
    <w:p>
      <w:r>
        <w:t>**Defense**: Demonstrate **genuine substance**:</w:t>
      </w:r>
    </w:p>
    <w:p>
      <w:pPr>
        <w:pStyle w:val="ListBullet"/>
      </w:pPr>
      <w:r>
        <w:t>**Recruit local personnel**: Hire 10+ traders, risk managers in trading hub (Singapore, Switzerland)</w:t>
      </w:r>
    </w:p>
    <w:p>
      <w:pPr>
        <w:pStyle w:val="ListBullet"/>
      </w:pPr>
      <w:r>
        <w:t>**Physical office**: Establish trading floor with Bloomberg terminals, risk systems</w:t>
      </w:r>
    </w:p>
    <w:p>
      <w:pPr>
        <w:pStyle w:val="ListBullet"/>
      </w:pPr>
      <w:r>
        <w:t>**Local decision-making**: Hold board meetings locally; grant trading authority to local personnel</w:t>
      </w:r>
    </w:p>
    <w:p>
      <w:pPr>
        <w:pStyle w:val="ListBullet"/>
      </w:pPr>
      <w:r>
        <w:t>**Document CIGA**: Maintain records showing trade execution, pricing, risk management performed locally</w:t>
      </w:r>
    </w:p>
    <w:p/>
    <w:p>
      <w:pPr>
        <w:pStyle w:val="Heading3"/>
      </w:pPr>
      <w:r>
        <w:t>4.3 Transfer Pricing Adjustments and Double Taxation</w:t>
      </w:r>
    </w:p>
    <w:p/>
    <w:p>
      <w:r>
        <w:t>**Issue**: If one jurisdiction adjusts transfer pricing upward, but other jurisdiction does not provide **correlative adjustment**, **double taxation** results.</w:t>
      </w:r>
    </w:p>
    <w:p/>
    <w:p>
      <w:r>
        <w:t>**Example**:</w:t>
      </w:r>
    </w:p>
    <w:p/>
    <w:p>
      <w:r>
        <w:t>```</w:t>
      </w:r>
    </w:p>
    <w:p>
      <w:r>
        <w:t>Producer Co. (Angola) sells to Trading Co. (Singapore) at $78/barrel.</w:t>
      </w:r>
    </w:p>
    <w:p/>
    <w:p>
      <w:r>
        <w:t>Angola adjustment: Tax authority values crude at $85/barrel.</w:t>
      </w:r>
    </w:p>
    <w:p>
      <w:pPr>
        <w:pStyle w:val="ListBullet"/>
      </w:pPr>
      <w:r>
        <w:t>Angola taxable income increased: $7/barrel × 1M = $7M</w:t>
      </w:r>
    </w:p>
    <w:p>
      <w:pPr>
        <w:pStyle w:val="ListBullet"/>
      </w:pPr>
      <w:r>
        <w:t>Angola corporate tax (25%): $1.75M</w:t>
      </w:r>
    </w:p>
    <w:p/>
    <w:p>
      <w:r>
        <w:t>Singapore position: Maintains $78/barrel purchase price (no correlative adjustment).</w:t>
      </w:r>
    </w:p>
    <w:p>
      <w:pPr>
        <w:pStyle w:val="ListBullet"/>
      </w:pPr>
      <w:r>
        <w:t>Singapore taxable income: Based on $78 cost basis</w:t>
      </w:r>
    </w:p>
    <w:p>
      <w:pPr>
        <w:pStyle w:val="ListBullet"/>
      </w:pPr>
      <w:r>
        <w:t>No reduction in Singapore tax</w:t>
      </w:r>
    </w:p>
    <w:p/>
    <w:p>
      <w:r>
        <w:t>Result: **Double taxation** on $7M ($1.75M Angola + no relief in Singapore)</w:t>
      </w:r>
    </w:p>
    <w:p>
      <w:r>
        <w:t>```</w:t>
      </w:r>
    </w:p>
    <w:p/>
    <w:p>
      <w:r>
        <w:t>**Solution: Mutual Agreement Procedure (MAP)**</w:t>
      </w:r>
    </w:p>
    <w:p/>
    <w:p>
      <w:r>
        <w:t>**Angola-Singapore tax treaty Article 25** (MAP):</w:t>
      </w:r>
    </w:p>
    <w:p/>
    <w:p>
      <w:r>
        <w:t>&gt; "Where a taxpayer considers that the actions of one or both Contracting States result in taxation not in accordance with this Convention, the taxpayer may present the case to the competent authority of the Contracting State of which the taxpayer is a resident..."</w:t>
      </w:r>
    </w:p>
    <w:p/>
    <w:p>
      <w:r>
        <w:t>**MAP process**:</w:t>
      </w:r>
    </w:p>
    <w:p/>
    <w:p>
      <w:r>
        <w:t>1. **Producer Co. files MAP request** with **Singapore competent authority** (Inland Revenue Authority of Singapore (IRAS))</w:t>
      </w:r>
    </w:p>
    <w:p>
      <w:r>
        <w:t>2. **IRAS contacts Angola competent authority** (Ministry of Finance) under treaty</w:t>
      </w:r>
    </w:p>
    <w:p>
      <w:r>
        <w:t>3. **Competent authorities negotiate**: Angola maintains $85/barrel; Singapore provides **correlative adjustment** (increases Trading Co.'s cost basis to $85)</w:t>
      </w:r>
    </w:p>
    <w:p>
      <w:r>
        <w:t>4. **Outcome**: Singapore reduces Trading Co.'s taxable income by $7M; **double taxation eliminated**</w:t>
      </w:r>
    </w:p>
    <w:p/>
    <w:p>
      <w:r>
        <w:t>**Timeline**: MAP typically takes **2-4 years** (complex, requires negotiation between tax authorities).</w:t>
      </w:r>
    </w:p>
    <w:p/>
    <w:p>
      <w:r>
        <w:t>**Proactive alternative**: **Bilateral APA** (see Section 5 below).</w:t>
      </w:r>
    </w:p>
    <w:p/>
    <w:p>
      <w:r>
        <w:t>---</w:t>
      </w:r>
    </w:p>
    <w:p/>
    <w:p>
      <w:pPr>
        <w:pStyle w:val="Heading2"/>
      </w:pPr>
      <w:r>
        <w:t>5. Advance Pricing Agreements for Trading</w:t>
      </w:r>
    </w:p>
    <w:p/>
    <w:p>
      <w:pPr>
        <w:pStyle w:val="Heading3"/>
      </w:pPr>
      <w:r>
        <w:t>5.1 Bilateral APAs</w:t>
      </w:r>
    </w:p>
    <w:p/>
    <w:p>
      <w:r>
        <w:t>**Benefits for trading structures**:</w:t>
      </w:r>
    </w:p>
    <w:p>
      <w:pPr>
        <w:pStyle w:val="ListBullet"/>
      </w:pPr>
      <w:r>
        <w:t>**Certainty**: Pre-approval of transfer pricing methodology (CUP, profit split)</w:t>
      </w:r>
    </w:p>
    <w:p>
      <w:pPr>
        <w:pStyle w:val="ListBullet"/>
      </w:pPr>
      <w:r>
        <w:t>**Eliminates double taxation risk**: Both jurisdictions agree on pricing</w:t>
      </w:r>
    </w:p>
    <w:p>
      <w:pPr>
        <w:pStyle w:val="ListBullet"/>
      </w:pPr>
      <w:r>
        <w:t>**Avoids MAP**: Prevents need for post-audit dispute resolution (saves 2-4 years)</w:t>
      </w:r>
    </w:p>
    <w:p/>
    <w:p>
      <w:r>
        <w:t>**Typical APA terms for trading**:</w:t>
      </w:r>
    </w:p>
    <w:p/>
    <w:p>
      <w:r>
        <w:t>```</w:t>
      </w:r>
    </w:p>
    <w:p>
      <w:r>
        <w:t>**Parties**: Producer Co. (Norway), Trading Co. (Singapore), Norwegian Tax Administration, IRAS (Singapore)</w:t>
      </w:r>
    </w:p>
    <w:p/>
    <w:p>
      <w:r>
        <w:t>**Covered transactions**: Crude oil sales from Producer Co. to Trading Co.</w:t>
      </w:r>
    </w:p>
    <w:p/>
    <w:p>
      <w:r>
        <w:t>**Transfer pricing method**: CUP</w:t>
      </w:r>
    </w:p>
    <w:p>
      <w:pPr>
        <w:pStyle w:val="ListBullet"/>
      </w:pPr>
      <w:r>
        <w:t>Benchmark: Brent Crude (ICE monthly average)</w:t>
      </w:r>
    </w:p>
    <w:p>
      <w:pPr>
        <w:pStyle w:val="ListBullet"/>
      </w:pPr>
      <w:r>
        <w:t>Quality adjustments: API gravity (-$0.50/degree below 38°), sulfur (-$1.50 per 0.5% above 0.4%)</w:t>
      </w:r>
    </w:p>
    <w:p>
      <w:pPr>
        <w:pStyle w:val="ListBullet"/>
      </w:pPr>
      <w:r>
        <w:t>Pricing date: Monthly average for delivery month</w:t>
      </w:r>
    </w:p>
    <w:p>
      <w:pPr>
        <w:pStyle w:val="ListBullet"/>
      </w:pPr>
      <w:r>
        <w:t>Location: FOB Norway</w:t>
      </w:r>
    </w:p>
    <w:p/>
    <w:p>
      <w:r>
        <w:t>**Trading Co. margin**: Residual (sales price to customers minus purchase price from Producer minus freight/insurance costs)</w:t>
      </w:r>
    </w:p>
    <w:p>
      <w:pPr>
        <w:pStyle w:val="ListBullet"/>
      </w:pPr>
      <w:r>
        <w:t>Expected range: 1-3% of sales value</w:t>
      </w:r>
    </w:p>
    <w:p>
      <w:pPr>
        <w:pStyle w:val="ListBullet"/>
      </w:pPr>
      <w:r>
        <w:t>If margin falls outside range, parties will review (does not trigger automatic adjustment)</w:t>
      </w:r>
    </w:p>
    <w:p/>
    <w:p>
      <w:r>
        <w:t>**Term**: 5 years (2024-2028)</w:t>
      </w:r>
    </w:p>
    <w:p/>
    <w:p>
      <w:r>
        <w:t>**Critical assumptions**:</w:t>
      </w:r>
    </w:p>
    <w:p>
      <w:pPr>
        <w:pStyle w:val="ListBullet"/>
      </w:pPr>
      <w:r>
        <w:t>Production volumes within ±20% of baseline (1M bbl/month)</w:t>
      </w:r>
    </w:p>
    <w:p>
      <w:pPr>
        <w:pStyle w:val="ListBullet"/>
      </w:pPr>
      <w:r>
        <w:t>Brent crude trades within $50-150/barrel range</w:t>
      </w:r>
    </w:p>
    <w:p>
      <w:pPr>
        <w:pStyle w:val="ListBullet"/>
      </w:pPr>
      <w:r>
        <w:t>No fundamental change in functions, assets, or risks</w:t>
      </w:r>
    </w:p>
    <w:p/>
    <w:p>
      <w:r>
        <w:t>**Annual reporting**: Producer Co. submits annual APA compliance report by June 30 following fiscal year-end</w:t>
      </w:r>
    </w:p>
    <w:p>
      <w:r>
        <w:t>```</w:t>
      </w:r>
    </w:p>
    <w:p/>
    <w:p>
      <w:r>
        <w:t>**Cost**: $300,000-600,000 (application fees, professional advisors, 18-24 month negotiation)</w:t>
      </w:r>
    </w:p>
    <w:p/>
    <w:p>
      <w:r>
        <w:t>**Benefit**: Eliminates $5-10M annual audit risk for $2B trading operation (return on investment: 10-20x).</w:t>
      </w:r>
    </w:p>
    <w:p/>
    <w:p>
      <w:pPr>
        <w:pStyle w:val="Heading3"/>
      </w:pPr>
      <w:r>
        <w:t>5.2 Multilateral APAs</w:t>
      </w:r>
    </w:p>
    <w:p/>
    <w:p>
      <w:r>
        <w:t>For **complex trading structures** involving **three or more jurisdictions** (e.g., Producer in Nigeria + Trading Co. in Switzerland + Refinery in Netherlands + Marketing in Germany), **multilateral APA** provides comprehensive solution.</w:t>
      </w:r>
    </w:p>
    <w:p/>
    <w:p>
      <w:r>
        <w:t>**Challenges**:</w:t>
      </w:r>
    </w:p>
    <w:p>
      <w:pPr>
        <w:pStyle w:val="ListBullet"/>
      </w:pPr>
      <w:r>
        <w:t>**Coordination**: Requires all competent authorities to agree (difficult if jurisdictions have conflicting tax policies)</w:t>
      </w:r>
    </w:p>
    <w:p>
      <w:pPr>
        <w:pStyle w:val="ListBullet"/>
      </w:pPr>
      <w:r>
        <w:t>**Timeline**: 24-36 months (longer than bilateral)</w:t>
      </w:r>
    </w:p>
    <w:p>
      <w:pPr>
        <w:pStyle w:val="ListBullet"/>
      </w:pPr>
      <w:r>
        <w:t>**Cost**: $500K-1M+</w:t>
      </w:r>
    </w:p>
    <w:p/>
    <w:p>
      <w:r>
        <w:t>**Best suited for**: **Integrated oil majors** (Shell, BP, TotalEnergies) with $10B+ annual trading volumes; cost justified by magnitude of tax at stake.</w:t>
      </w:r>
    </w:p>
    <w:p/>
    <w:p>
      <w:r>
        <w:t>---</w:t>
      </w:r>
    </w:p>
    <w:p/>
    <w:p>
      <w:pPr>
        <w:pStyle w:val="Heading2"/>
      </w:pPr>
      <w:r>
        <w:t>6. Documentation Requirements</w:t>
      </w:r>
    </w:p>
    <w:p/>
    <w:p>
      <w:pPr>
        <w:pStyle w:val="Heading3"/>
      </w:pPr>
      <w:r>
        <w:t>6.1 Master File</w:t>
      </w:r>
    </w:p>
    <w:p/>
    <w:p>
      <w:r>
        <w:t>**Specific to trading operations** (beyond general Master File content):</w:t>
      </w:r>
    </w:p>
    <w:p/>
    <w:p>
      <w:r>
        <w:t>1. **Trading strategy**: Description of group's trading activities (physical trading, derivatives, arbitrage)</w:t>
      </w:r>
    </w:p>
    <w:p>
      <w:r>
        <w:t>2. **Trading entities**: List of all trading companies, locations, functions</w:t>
      </w:r>
    </w:p>
    <w:p>
      <w:r>
        <w:t>3. **Value chain analysis**: How crude flows from producer → trader → refiner → end customer</w:t>
      </w:r>
    </w:p>
    <w:p>
      <w:r>
        <w:t>4. **Intangibles**: Ownership of trading algorithms, customer relationships, market intelligence</w:t>
      </w:r>
    </w:p>
    <w:p>
      <w:r>
        <w:t>5. **Profit allocation**: Overview of how profits are allocated across trading chain (e.g., producer 40%, trader 20%, refiner 30%, marketer 10%)</w:t>
      </w:r>
    </w:p>
    <w:p/>
    <w:p>
      <w:pPr>
        <w:pStyle w:val="Heading3"/>
      </w:pPr>
      <w:r>
        <w:t>6.2 Local File (Trading Company-Specific)</w:t>
      </w:r>
    </w:p>
    <w:p/>
    <w:p>
      <w:r>
        <w:t>**Critical components**:</w:t>
      </w:r>
    </w:p>
    <w:p/>
    <w:p>
      <w:r>
        <w:t>1. **Functional analysis**:</w:t>
      </w:r>
    </w:p>
    <w:p>
      <w:r>
        <w:t xml:space="preserve">   - **Functions**: Trade execution, pricing, risk management (hedging), logistics, customer management, compliance</w:t>
      </w:r>
    </w:p>
    <w:p>
      <w:r>
        <w:t xml:space="preserve">   - **Assets**: Working capital ($100M+), trading systems (Bloomberg, proprietary algorithms), office/personnel</w:t>
      </w:r>
    </w:p>
    <w:p>
      <w:r>
        <w:t xml:space="preserve">   - **Risks**: Market risk (price volatility), credit risk (counterparty default), inventory risk, compliance risk (sanctions, Anti-Money Laundering (AML))</w:t>
      </w:r>
    </w:p>
    <w:p/>
    <w:p>
      <w:r>
        <w:t>2. **Transfer pricing methodology**:</w:t>
      </w:r>
    </w:p>
    <w:p>
      <w:r>
        <w:t xml:space="preserve">   - **Method**: CUP (for commodity purchases/sales) or Profit Split (for integrated trading)</w:t>
      </w:r>
    </w:p>
    <w:p>
      <w:r>
        <w:t xml:space="preserve">   - **Benchmark selection**: Brent, West Texas Intermediate (WTI), Henry Hub, Japan Korea Marker (JKM) (justification for selected benchmark)</w:t>
      </w:r>
    </w:p>
    <w:p>
      <w:r>
        <w:t xml:space="preserve">   - **Adjustments**: Quality (API, sulfur), location (freight), pricing date (monthly average, quotational period)</w:t>
      </w:r>
    </w:p>
    <w:p/>
    <w:p>
      <w:r>
        <w:t>3. **Comparables analysis** (if using Transactional Net Margin Method (TNMM) or profit split):</w:t>
      </w:r>
    </w:p>
    <w:p>
      <w:r>
        <w:t xml:space="preserve">   - **Independent traders**: If comparable data available (rare; most traders private)</w:t>
      </w:r>
    </w:p>
    <w:p>
      <w:r>
        <w:t xml:space="preserve">   - **Alternative**: Trading divisions of integrated oil companies (if segment data disclosed)</w:t>
      </w:r>
    </w:p>
    <w:p/>
    <w:p>
      <w:r>
        <w:t>4. **Economic substance documentation**:</w:t>
      </w:r>
    </w:p>
    <w:p>
      <w:r>
        <w:t xml:space="preserve">   - **Personnel**: List of employees (names, titles, responsibilities)</w:t>
      </w:r>
    </w:p>
    <w:p>
      <w:r>
        <w:t xml:space="preserve">   - **Office**: Lease agreement, photos of trading floor</w:t>
      </w:r>
    </w:p>
    <w:p>
      <w:r>
        <w:t xml:space="preserve">   - **Board minutes**: Evidence of local decision-making (board meetings held in jurisdiction)</w:t>
      </w:r>
    </w:p>
    <w:p>
      <w:r>
        <w:t xml:space="preserve">   - **Trade execution logs**: Records showing trades executed by local personnel</w:t>
      </w:r>
    </w:p>
    <w:p/>
    <w:p>
      <w:r>
        <w:t>5. **Benefit test** (if challenged):</w:t>
      </w:r>
    </w:p>
    <w:p>
      <w:r>
        <w:t xml:space="preserve">   - **Volume discounts**: Evidence that Trading Co. achieves better pricing than Producers could obtain directly</w:t>
      </w:r>
    </w:p>
    <w:p>
      <w:r>
        <w:t xml:space="preserve">   - **Risk management**: Documentation of hedging activities (derivatives reducing price volatility)</w:t>
      </w:r>
    </w:p>
    <w:p>
      <w:r>
        <w:t xml:space="preserve">   - **Customer access**: Evidence of Trading Co.'s relationships with 50+ refineries worldwide (contracts, correspondence)</w:t>
      </w:r>
    </w:p>
    <w:p/>
    <w:p>
      <w:r>
        <w:t>6. **Internal CUP documentation** (if available):</w:t>
      </w:r>
    </w:p>
    <w:p>
      <w:r>
        <w:t xml:space="preserve">   - **Third-party sales**: Copies of contracts, invoices showing Producer's sales to independent traders (Vitol, Shell) at same prices as sales to Trading Co.</w:t>
      </w:r>
    </w:p>
    <w:p>
      <w:r>
        <w:t xml:space="preserve">   - **Comparability analysis**: Demonstrating third-party sales are highly comparable (same crude, same terms)</w:t>
      </w:r>
    </w:p>
    <w:p/>
    <w:p>
      <w:pPr>
        <w:pStyle w:val="Heading3"/>
      </w:pPr>
      <w:r>
        <w:t>6.3 Country-by-Country Report (CbCR)</w:t>
      </w:r>
    </w:p>
    <w:p/>
    <w:p>
      <w:r>
        <w:t>**Trading company-specific considerations**:</w:t>
      </w:r>
    </w:p>
    <w:p/>
    <w:p>
      <w:r>
        <w:t>**Revenue allocation**:</w:t>
      </w:r>
    </w:p>
    <w:p>
      <w:pPr>
        <w:pStyle w:val="ListBullet"/>
      </w:pPr>
      <w:r>
        <w:t>**Related party revenue**: Sales to group refineries, marketing affiliates (may be 80-100% of trading company revenue)</w:t>
      </w:r>
    </w:p>
    <w:p>
      <w:pPr>
        <w:pStyle w:val="ListBullet"/>
      </w:pPr>
      <w:r>
        <w:t>**Unrelated party revenue**: Sales to independent refineries (if any)</w:t>
      </w:r>
    </w:p>
    <w:p/>
    <w:p>
      <w:r>
        <w:t>**Employee headcount**:</w:t>
      </w:r>
    </w:p>
    <w:p>
      <w:pPr>
        <w:pStyle w:val="ListBullet"/>
      </w:pPr>
      <w:r>
        <w:t>**Critical**: CbCR reports employee headcount by jurisdiction</w:t>
      </w:r>
    </w:p>
    <w:p>
      <w:pPr>
        <w:pStyle w:val="ListBullet"/>
      </w:pPr>
      <w:r>
        <w:t>**Tax authority scrutiny**: If Trading Co. reports $50M profit but only 2 employees, raises **substance red flag**</w:t>
      </w:r>
    </w:p>
    <w:p/>
    <w:p>
      <w:r>
        <w:t>**Alignment with Master File**:</w:t>
      </w:r>
    </w:p>
    <w:p>
      <w:pPr>
        <w:pStyle w:val="ListBullet"/>
      </w:pPr>
      <w:r>
        <w:t>Ensure CbCR data (revenue, profit, employees) aligns with Master File value chain description</w:t>
      </w:r>
    </w:p>
    <w:p>
      <w:pPr>
        <w:pStyle w:val="ListBullet"/>
      </w:pPr>
      <w:r>
        <w:t>**Discrepancies trigger audits**: E.g., if Master File states "Trading Co. employs 15 traders" but CbCR shows 2 employees, tax authority will investigate</w:t>
      </w:r>
    </w:p>
    <w:p/>
    <w:p>
      <w:r>
        <w:t>---</w:t>
      </w:r>
    </w:p>
    <w:p/>
    <w:p>
      <w:pPr>
        <w:pStyle w:val="Heading2"/>
      </w:pPr>
      <w:r>
        <w:t>7. Worked Examples</w:t>
      </w:r>
    </w:p>
    <w:p/>
    <w:p>
      <w:r>
        <w:t>═══════════════════════════════════════════</w:t>
      </w:r>
    </w:p>
    <w:p>
      <w:r>
        <w:t>**WORKED EXAMPLE 1: CUP Method for Crude Oil Trading with Internal CUP Defense**</w:t>
      </w:r>
    </w:p>
    <w:p>
      <w:r>
        <w:t>═══════════════════════════════════════════</w:t>
      </w:r>
    </w:p>
    <w:p/>
    <w:p>
      <w:r>
        <w:t>**Facts:**</w:t>
      </w:r>
    </w:p>
    <w:p/>
    <w:p>
      <w:r>
        <w:t>NigeriaOil Ltd. (Nigeria, producer) produces **2 million barrels/month** of crude oil:</w:t>
      </w:r>
    </w:p>
    <w:p/>
    <w:p>
      <w:r>
        <w:t>**Allocation**:</w:t>
      </w:r>
    </w:p>
    <w:p>
      <w:pPr>
        <w:pStyle w:val="ListBullet"/>
      </w:pPr>
      <w:r>
        <w:t>**1.4M barrels** (70%) sold to **SwissTrade AG** (Switzerland, related trading company)</w:t>
      </w:r>
    </w:p>
    <w:p>
      <w:pPr>
        <w:pStyle w:val="ListBullet"/>
      </w:pPr>
      <w:r>
        <w:t>**600K barrels** (30%) sold to **Vitol** (independent trader)</w:t>
      </w:r>
    </w:p>
    <w:p/>
    <w:p>
      <w:r>
        <w:t>**Crude specifications**:</w:t>
      </w:r>
    </w:p>
    <w:p>
      <w:pPr>
        <w:pStyle w:val="ListBullet"/>
      </w:pPr>
      <w:r>
        <w:t>**API**: 32° (medium crude)</w:t>
      </w:r>
    </w:p>
    <w:p>
      <w:pPr>
        <w:pStyle w:val="ListBullet"/>
      </w:pPr>
      <w:r>
        <w:t>**Sulfur**: 0.9% (slightly sour)</w:t>
      </w:r>
    </w:p>
    <w:p>
      <w:pPr>
        <w:pStyle w:val="ListBullet"/>
      </w:pPr>
      <w:r>
        <w:t>**Delivery**: FOB Bonny terminal (Nigeria)</w:t>
      </w:r>
    </w:p>
    <w:p/>
    <w:p>
      <w:r>
        <w:t>**Contract terms** (both SwissTrade and Vitol):</w:t>
      </w:r>
    </w:p>
    <w:p>
      <w:pPr>
        <w:pStyle w:val="ListBullet"/>
      </w:pPr>
      <w:r>
        <w:t>**Pricing**: Monthly average Dated Brent</w:t>
      </w:r>
    </w:p>
    <w:p>
      <w:pPr>
        <w:pStyle w:val="ListBullet"/>
      </w:pPr>
      <w:r>
        <w:t>**Quotational period**: 5-day average preceding Bill of Lading date</w:t>
      </w:r>
    </w:p>
    <w:p>
      <w:pPr>
        <w:pStyle w:val="ListBullet"/>
      </w:pPr>
      <w:r>
        <w:t>**Payment**: 30 days from B/L date</w:t>
      </w:r>
    </w:p>
    <w:p/>
    <w:p>
      <w:r>
        <w:t>**Month**: May 2024</w:t>
      </w:r>
    </w:p>
    <w:p/>
    <w:p>
      <w:r>
        <w:t>**Market data**:</w:t>
      </w:r>
    </w:p>
    <w:p>
      <w:pPr>
        <w:pStyle w:val="ListBullet"/>
      </w:pPr>
      <w:r>
        <w:t>**Brent monthly average (May 2024)**: $85.00/barrel</w:t>
      </w:r>
    </w:p>
    <w:p>
      <w:pPr>
        <w:pStyle w:val="ListBullet"/>
      </w:pPr>
      <w:r>
        <w:t>**Vitol purchase price** (actual transaction, May 2024): $81.50/barrel FOB Bonny</w:t>
      </w:r>
    </w:p>
    <w:p>
      <w:pPr>
        <w:pStyle w:val="ListBullet"/>
      </w:pPr>
      <w:r>
        <w:t>**Platts published differentials**:</w:t>
      </w:r>
    </w:p>
    <w:p>
      <w:pPr>
        <w:pStyle w:val="ListBullet2"/>
      </w:pPr>
      <w:r>
        <w:t>API adjustment: -$0.45/barrel per degree below 38°</w:t>
      </w:r>
    </w:p>
    <w:p>
      <w:pPr>
        <w:pStyle w:val="ListBullet2"/>
      </w:pPr>
      <w:r>
        <w:t>Sulfur adjustment: -$1.80/barrel per 0.5% above 0.4%</w:t>
      </w:r>
    </w:p>
    <w:p/>
    <w:p>
      <w:r>
        <w:t>**Nigerian tax authority audit** (2024):</w:t>
      </w:r>
    </w:p>
    <w:p>
      <w:pPr>
        <w:pStyle w:val="ListBullet"/>
      </w:pPr>
      <w:r>
        <w:t>Questions whether NigeriaOil is pricing sales to SwissTrade (related) at arm's length</w:t>
      </w:r>
    </w:p>
    <w:p>
      <w:pPr>
        <w:pStyle w:val="ListBullet"/>
      </w:pPr>
      <w:r>
        <w:t>Requests transfer pricing analysis</w:t>
      </w:r>
    </w:p>
    <w:p>
      <w:pPr>
        <w:pStyle w:val="ListBullet"/>
      </w:pPr>
      <w:r>
        <w:t>Indicates potential application of alternative valuation methods if CUP not adequately documented</w:t>
      </w:r>
    </w:p>
    <w:p/>
    <w:p>
      <w:r>
        <w:t>**Requirements**:</w:t>
      </w:r>
    </w:p>
    <w:p/>
    <w:p>
      <w:r>
        <w:t>1. Calculate arm's length transfer price using **External CUP** (Brent benchmark)</w:t>
      </w:r>
    </w:p>
    <w:p>
      <w:r>
        <w:t>2. Calculate arm's length transfer price using **Internal CUP** (Vitol transaction)</w:t>
      </w:r>
    </w:p>
    <w:p>
      <w:r>
        <w:t>3. Determine which method is more reliable</w:t>
      </w:r>
    </w:p>
    <w:p>
      <w:r>
        <w:t>4. Prepare defense against potential alternative valuation challenge</w:t>
      </w:r>
    </w:p>
    <w:p/>
    <w:p>
      <w:r>
        <w:t>**Analysis:**</w:t>
      </w:r>
    </w:p>
    <w:p/>
    <w:p>
      <w:r>
        <w:t>**Step 1: External CUP (Benchmark-Based)**</w:t>
      </w:r>
    </w:p>
    <w:p/>
    <w:p>
      <w:r>
        <w:t>```</w:t>
      </w:r>
    </w:p>
    <w:p>
      <w:r>
        <w:t>Base price: Brent monthly average (May 2024) = $85.00/barrel</w:t>
      </w:r>
    </w:p>
    <w:p/>
    <w:p>
      <w:r>
        <w:t>Quality adjustments:</w:t>
      </w:r>
    </w:p>
    <w:p>
      <w:pPr>
        <w:pStyle w:val="ListBullet"/>
      </w:pPr>
      <w:r>
        <w:t>API: (32° - 38°) × $0.45/degree = -6° × $0.45 = -$2.70/barrel</w:t>
      </w:r>
    </w:p>
    <w:p>
      <w:pPr>
        <w:pStyle w:val="ListBullet"/>
      </w:pPr>
      <w:r>
        <w:t>Sulfur: ((0.9% - 0.4%) ÷ 0.5%) × $1.80 = 1.0 × $1.80 = -$1.80/barrel</w:t>
      </w:r>
    </w:p>
    <w:p>
      <w:r>
        <w:t>Total quality adjustment: -$2.70 - $1.80 = -$4.50/barrel</w:t>
      </w:r>
    </w:p>
    <w:p/>
    <w:p>
      <w:r>
        <w:t>Location adjustment: FOB Bonny (same as Brent FOB equivalent) = $0</w:t>
      </w:r>
    </w:p>
    <w:p/>
    <w:p>
      <w:r>
        <w:t>Transfer price (External CUP): $85.00 - $4.50 = $80.50/barrel</w:t>
      </w:r>
    </w:p>
    <w:p>
      <w:r>
        <w:t>```</w:t>
      </w:r>
    </w:p>
    <w:p/>
    <w:p>
      <w:r>
        <w:t>**Step 2: Internal CUP (Vitol Transaction)**</w:t>
      </w:r>
    </w:p>
    <w:p/>
    <w:p>
      <w:r>
        <w:t>NigeriaOil sold **600,000 barrels** to **Vitol (independent)** in **May 2024**:</w:t>
      </w:r>
    </w:p>
    <w:p>
      <w:pPr>
        <w:pStyle w:val="ListBullet"/>
      </w:pPr>
      <w:r>
        <w:t>**Price**: $81.50/barrel FOB Bonny</w:t>
      </w:r>
    </w:p>
    <w:p>
      <w:pPr>
        <w:pStyle w:val="ListBullet"/>
      </w:pPr>
      <w:r>
        <w:t>**Same crude**: API 32°, sulfur 0.9%</w:t>
      </w:r>
    </w:p>
    <w:p>
      <w:pPr>
        <w:pStyle w:val="ListBullet"/>
      </w:pPr>
      <w:r>
        <w:t>**Same contract terms**: Monthly average Brent pricing, 5-day QP, FOB Bonny, 30-day payment</w:t>
      </w:r>
    </w:p>
    <w:p>
      <w:pPr>
        <w:pStyle w:val="ListBullet"/>
      </w:pPr>
      <w:r>
        <w:t>**Same month**: May 2024</w:t>
      </w:r>
    </w:p>
    <w:p/>
    <w:p>
      <w:r>
        <w:t>**Comparability analysis**:</w:t>
      </w:r>
    </w:p>
    <w:p/>
    <w:p>
      <w:r>
        <w:t>| **Factor** | **SwissTrade (Related)** | **Vitol (Independent)** | **Comparable?** |</w:t>
      </w:r>
    </w:p>
    <w:p>
      <w:r>
        <w:t>|---|---|---|---|</w:t>
      </w:r>
    </w:p>
    <w:p>
      <w:r>
        <w:t>| **Product** | Nigerian crude (API 32°, sulfur 0.9%) | Same | ✓ Yes |</w:t>
      </w:r>
    </w:p>
    <w:p>
      <w:r>
        <w:t>| **Quantity** | 1.4M bbl/month | 600K bbl/month | ✓ Yes (both material volumes) |</w:t>
      </w:r>
    </w:p>
    <w:p>
      <w:r>
        <w:t>| **Delivery** | FOB Bonny | Same | ✓ Yes |</w:t>
      </w:r>
    </w:p>
    <w:p>
      <w:r>
        <w:t>| **Pricing date** | May 2024 monthly avg Brent | Same | ✓ Yes |</w:t>
      </w:r>
    </w:p>
    <w:p>
      <w:r>
        <w:t>| **Contract type** | Term (12-month agreement) | Spot (single cargo) | **Adjustment required** |</w:t>
      </w:r>
    </w:p>
    <w:p>
      <w:r>
        <w:t>| **Payment terms** | 30 days | Same | ✓ Yes |</w:t>
      </w:r>
    </w:p>
    <w:p/>
    <w:p>
      <w:r>
        <w:t>**Adjustment for term vs. spot**:</w:t>
      </w:r>
    </w:p>
    <w:p/>
    <w:p>
      <w:r>
        <w:t>Industry surveys (Wood Mackenzie, Platts) indicate **term contracts** command **+$0.25 to $1.00/barrel premium** vs. spot due to security of supply.</w:t>
      </w:r>
    </w:p>
    <w:p/>
    <w:p>
      <w:r>
        <w:t>**Selected adjustment**: **+$0.50/barrel** (midpoint; conservative estimate)</w:t>
      </w:r>
    </w:p>
    <w:p/>
    <w:p>
      <w:r>
        <w:t>```</w:t>
      </w:r>
    </w:p>
    <w:p>
      <w:r>
        <w:t>Vitol spot price: $81.50/barrel</w:t>
      </w:r>
    </w:p>
    <w:p>
      <w:r>
        <w:t>Term contract premium: +$0.50/barrel</w:t>
      </w:r>
    </w:p>
    <w:p>
      <w:r>
        <w:t>Adjusted Internal CUP: $81.50 + $0.50 = $82.00/barrel</w:t>
      </w:r>
    </w:p>
    <w:p>
      <w:r>
        <w:t>```</w:t>
      </w:r>
    </w:p>
    <w:p/>
    <w:p>
      <w:r>
        <w:t>**Step 3: Comparison of Methods**</w:t>
      </w:r>
    </w:p>
    <w:p/>
    <w:p>
      <w:r>
        <w:t>| **Method** | **Transfer Price** | **Difference vs. Internal CUP** | **Reliability** |</w:t>
      </w:r>
    </w:p>
    <w:p>
      <w:r>
        <w:t>|---|---|---|---|</w:t>
      </w:r>
    </w:p>
    <w:p>
      <w:r>
        <w:t>| **External CUP** (Brent benchmark) | $80.50/barrel | -$1.50 (1.8% lower) | Moderate (requires quality adjustments) |</w:t>
      </w:r>
    </w:p>
    <w:p>
      <w:r>
        <w:t>| **Internal CUP** (Vitol transaction + term adjustment) | $82.00/barrel | Reference | **Highest** (actual transaction with independent party) |</w:t>
      </w:r>
    </w:p>
    <w:p/>
    <w:p>
      <w:r>
        <w:t>**OECD Guidelines** (Chapter II, para. 2.15):</w:t>
      </w:r>
    </w:p>
    <w:p/>
    <w:p>
      <w:r>
        <w:t>&gt; "Internal comparables may have a more direct and closer relationship to the transaction under review than external comparables. Therefore, if an internal comparable meets the comparability standard... it may be the most reliable means of determining an arm's length price."</w:t>
      </w:r>
    </w:p>
    <w:p/>
    <w:p>
      <w:r>
        <w:t>**Selected transfer price for SwissTrade**: **$82.00/barrel** (Internal CUP)</w:t>
      </w:r>
    </w:p>
    <w:p/>
    <w:p>
      <w:r>
        <w:t>**Rationale**:</w:t>
      </w:r>
    </w:p>
    <w:p>
      <w:r>
        <w:t>1. **Same seller** (NigeriaOil)</w:t>
      </w:r>
    </w:p>
    <w:p>
      <w:r>
        <w:t>2. **Same product** (identical crude specifications)</w:t>
      </w:r>
    </w:p>
    <w:p>
      <w:r>
        <w:t>3. **Same contract terms** (monthly avg Brent, 5-day QP, FOB Bonny, 30-day payment)</w:t>
      </w:r>
    </w:p>
    <w:p>
      <w:r>
        <w:t>4. **Same time period** (May 2024)</w:t>
      </w:r>
    </w:p>
    <w:p>
      <w:r>
        <w:t>5. **Minor adjustment** (+$0.50 for term premium) is well-documented and conservative</w:t>
      </w:r>
    </w:p>
    <w:p/>
    <w:p>
      <w:r>
        <w:t>**Step 4: Alternative Valuation Method Defense**</w:t>
      </w:r>
    </w:p>
    <w:p/>
    <w:p>
      <w:r>
        <w:t>**Potential challenge**: Nigerian tax authority may claim $82/barrel "does not reflect prevailing commercial realities" and apply alternative valuation (e.g., Nigerian government posted price of $87/barrel).</w:t>
      </w:r>
    </w:p>
    <w:p/>
    <w:p>
      <w:r>
        <w:t>**Defense strategy**:</w:t>
      </w:r>
    </w:p>
    <w:p/>
    <w:p>
      <w:r>
        <w:t>**Argument 1: Internal CUP is direct evidence of market value**</w:t>
      </w:r>
    </w:p>
    <w:p/>
    <w:p>
      <w:r>
        <w:t>&gt; "NigeriaOil sold 600,000 barrels (30% of May production) to **Vitol**, an independent international trader, at **$81.50/barrel** FOB Bonny. This transaction occurred in the **same month** (May 2024), for the **same crude** (API 32°, sulfur 0.9%), under **same contract terms** (monthly avg Brent pricing, FOB Bonny).</w:t>
      </w:r>
    </w:p>
    <w:p>
      <w:r>
        <w:t>&gt;</w:t>
      </w:r>
    </w:p>
    <w:p>
      <w:r>
        <w:t>&gt; The transfer price to SwissTrade AG ($82.00/barrel) reflects the Vitol price ($81.50) **plus** a **$0.50/barrel term contract premium** (documented by industry surveys).</w:t>
      </w:r>
    </w:p>
    <w:p>
      <w:r>
        <w:t>&gt;</w:t>
      </w:r>
    </w:p>
    <w:p>
      <w:r>
        <w:t>&gt; **Conclusion**: The $82.00 transfer price is **identical to the price charged to an independent party**, demonstrating arm's length pricing under **Internal CUP method**."</w:t>
      </w:r>
    </w:p>
    <w:p/>
    <w:p>
      <w:r>
        <w:t>**Argument 2: Vitol is a sophisticated independent party**</w:t>
      </w:r>
    </w:p>
    <w:p/>
    <w:p>
      <w:r>
        <w:t>&gt; "**Vitol** is the world's largest independent oil trader (2023 revenue: $300 billion). Vitol has no relationship with NigeriaOil or SwissTrade. Vitol's willingness to pay **$81.50/barrel** for NigeriaOil crude in May 2024 is **direct market evidence** that this price reflects **prevailing commercial realities**."</w:t>
      </w:r>
    </w:p>
    <w:p/>
    <w:p>
      <w:r>
        <w:t>**Argument 3: OECD Guidelines support Internal CUP**</w:t>
      </w:r>
    </w:p>
    <w:p/>
    <w:p>
      <w:r>
        <w:t>&gt; "OECD Transfer Pricing Guidelines (Chapter II, para. 2.15) state that **internal comparables** (actual transactions with independent parties) are **generally more reliable** than external comparables. NigeriaOil's transaction with Vitol is an internal comparable, providing the **most reliable evidence** of arm's length pricing."</w:t>
      </w:r>
    </w:p>
    <w:p/>
    <w:p>
      <w:r>
        <w:t>**Argument 4: Nigerian courts have accepted Internal CUP as strong evidence**</w:t>
      </w:r>
    </w:p>
    <w:p/>
    <w:p>
      <w:r>
        <w:t>Cite Nigerian court precedent (if available) where courts upheld taxpayer's Internal CUP and rejected alternative valuation methods when robust third-party transaction evidence existed.</w:t>
      </w:r>
    </w:p>
    <w:p/>
    <w:p>
      <w:r>
        <w:t>**Step 5: Documentation (Local File)**</w:t>
      </w:r>
    </w:p>
    <w:p/>
    <w:p>
      <w:r>
        <w:t>**Transfer Pricing Documentation for SwissTrade Transaction**:</w:t>
      </w:r>
    </w:p>
    <w:p/>
    <w:p>
      <w:r>
        <w:t>1. **Method**: Comparable Uncontrolled Price (CUP) using **Internal Comparable** (Vitol transaction)</w:t>
      </w:r>
    </w:p>
    <w:p/>
    <w:p>
      <w:r>
        <w:t>2. **Comparable transaction**:</w:t>
      </w:r>
    </w:p>
    <w:p>
      <w:r>
        <w:t xml:space="preserve">   - **Counterparty**: Vitol (independent international trader)</w:t>
      </w:r>
    </w:p>
    <w:p>
      <w:r>
        <w:t xml:space="preserve">   - **Date**: May 2024</w:t>
      </w:r>
    </w:p>
    <w:p>
      <w:r>
        <w:t xml:space="preserve">   - **Volume**: 600,000 barrels</w:t>
      </w:r>
    </w:p>
    <w:p>
      <w:r>
        <w:t xml:space="preserve">   - **Price**: $81.50/barrel FOB Bonny</w:t>
      </w:r>
    </w:p>
    <w:p>
      <w:r>
        <w:t xml:space="preserve">   - **Product**: Nigerian crude (API 32°, sulfur 0.9%)</w:t>
      </w:r>
    </w:p>
    <w:p>
      <w:r>
        <w:t xml:space="preserve">   - **Contract terms**: Monthly average Brent pricing, 5-day quotational period, FOB Bonny, 30-day payment</w:t>
      </w:r>
    </w:p>
    <w:p/>
    <w:p>
      <w:r>
        <w:t>3. **Adjustment**:</w:t>
      </w:r>
    </w:p>
    <w:p>
      <w:r>
        <w:t xml:space="preserve">   - **Term contract premium**: +$0.50/barrel</w:t>
      </w:r>
    </w:p>
    <w:p>
      <w:r>
        <w:t xml:space="preserve">   - **Source**: Wood Mackenzie "Crude Oil Trading Premiums and Discounts" (Q1 2024 report) indicating term contracts command $0.25-1.00/barrel premium vs. spot</w:t>
      </w:r>
    </w:p>
    <w:p/>
    <w:p>
      <w:r>
        <w:t>4. **Transfer price**:</w:t>
      </w:r>
    </w:p>
    <w:p>
      <w:r>
        <w:t xml:space="preserve">   - SwissTrade purchase price: $81.50 (Vitol price) + $0.50 (term premium) = **$82.00/barrel**</w:t>
      </w:r>
    </w:p>
    <w:p/>
    <w:p>
      <w:r>
        <w:t>5. **Evidence**:</w:t>
      </w:r>
    </w:p>
    <w:p>
      <w:r>
        <w:t xml:space="preserve">   - **Vitol contract**: Copy of sales agreement and invoice (May 2024)</w:t>
      </w:r>
    </w:p>
    <w:p>
      <w:r>
        <w:t xml:space="preserve">   - **Bill of Lading**: Evidence of 600,000 barrel shipment to Vitol</w:t>
      </w:r>
    </w:p>
    <w:p>
      <w:r>
        <w:t xml:space="preserve">   - **Crude quality certificate**: Laboratory analysis confirming API 32°, sulfur 0.9%</w:t>
      </w:r>
    </w:p>
    <w:p>
      <w:r>
        <w:t xml:space="preserve">   - **Pricing confirmation**: Brent monthly average (May 2024): $85.00/barrel (ICE settlement prices)</w:t>
      </w:r>
    </w:p>
    <w:p>
      <w:r>
        <w:t xml:space="preserve">   - **Term premium study**: Wood Mackenzie report (Q1 2024)</w:t>
      </w:r>
    </w:p>
    <w:p/>
    <w:p>
      <w:r>
        <w:t>**Result**: Nigerian tax authority **accepts $82.00/barrel** transfer price; **alternative valuation not applied** due to robust Internal CUP documentation.</w:t>
      </w:r>
    </w:p>
    <w:p/>
    <w:p>
      <w:r>
        <w:t>═══════════════════════════════════════════</w:t>
      </w:r>
    </w:p>
    <w:p/>
    <w:p>
      <w:r>
        <w:t>---</w:t>
      </w:r>
    </w:p>
    <w:p/>
    <w:p>
      <w:r>
        <w:t>═══════════════════════════════════════════</w:t>
      </w:r>
    </w:p>
    <w:p>
      <w:r>
        <w:t>**WORKED EXAMPLE 2: Profit Split Method for Integrated LNG Value Chain**</w:t>
      </w:r>
    </w:p>
    <w:p>
      <w:r>
        <w:t>═══════════════════════════════════════════</w:t>
      </w:r>
    </w:p>
    <w:p/>
    <w:p>
      <w:r>
        <w:t>**Facts:**</w:t>
      </w:r>
    </w:p>
    <w:p/>
    <w:p>
      <w:r>
        <w:t>GlobalLNG Group operates integrated LNG value chain:</w:t>
      </w:r>
    </w:p>
    <w:p/>
    <w:p>
      <w:r>
        <w:t>```</w:t>
      </w:r>
    </w:p>
    <w:p>
      <w:r>
        <w:t>Structure:</w:t>
      </w:r>
    </w:p>
    <w:p>
      <w:r>
        <w:t>Production Co. (Qatar) → Liquefaction Co. (Qatar) → Trading Co. (Singapore) → Regasification Co. (Japan) → End customers (Japanese utilities)</w:t>
      </w:r>
    </w:p>
    <w:p>
      <w:r>
        <w:t>```</w:t>
      </w:r>
    </w:p>
    <w:p/>
    <w:p>
      <w:r>
        <w:t>**2024 operations**:</w:t>
      </w:r>
    </w:p>
    <w:p/>
    <w:p>
      <w:r>
        <w:t>| **Entity** | **Jurisdiction** | **Functions** | **Assets** | **Risks** |</w:t>
      </w:r>
    </w:p>
    <w:p>
      <w:r>
        <w:t>|---|---|---|---|---|</w:t>
      </w:r>
    </w:p>
    <w:p>
      <w:r>
        <w:t>| **Production Co.** | Qatar | Gas production (offshore field) | Gas reserves, production facilities | Exploration, production risk |</w:t>
      </w:r>
    </w:p>
    <w:p>
      <w:r>
        <w:t>| **Liquefaction Co.** | Qatar | Gas liquefaction (LNG plant) | LNG plant ($10B CAPEX) | Operating, safety risk |</w:t>
      </w:r>
    </w:p>
    <w:p>
      <w:r>
        <w:t>| **Trading Co.** | Singapore | Global LNG trading, marketing | Working capital, customer relationships | Price volatility, credit risk |</w:t>
      </w:r>
    </w:p>
    <w:p>
      <w:r>
        <w:t>| **Regasification Co.** | Japan | LNG regasification, storage | Regasification terminal ($2B) | Demand risk, operating risk |</w:t>
      </w:r>
    </w:p>
    <w:p/>
    <w:p>
      <w:r>
        <w:t>**Financial data (2024)**:</w:t>
      </w:r>
    </w:p>
    <w:p/>
    <w:p>
      <w:r>
        <w:t>```</w:t>
      </w:r>
    </w:p>
    <w:p>
      <w:r>
        <w:t>End customer revenue (Japan): $2.0 billion (20 million MMBtu @ $100/MMBtu avg)</w:t>
      </w:r>
    </w:p>
    <w:p/>
    <w:p>
      <w:r>
        <w:t>Costs:</w:t>
      </w:r>
    </w:p>
    <w:p>
      <w:pPr>
        <w:pStyle w:val="ListBullet"/>
      </w:pPr>
      <w:r>
        <w:t>Production Co. (gas extraction): $200 million</w:t>
      </w:r>
    </w:p>
    <w:p>
      <w:pPr>
        <w:pStyle w:val="ListBullet"/>
      </w:pPr>
      <w:r>
        <w:t>Liquefaction Co. (liquefaction): $600 million</w:t>
      </w:r>
    </w:p>
    <w:p>
      <w:pPr>
        <w:pStyle w:val="ListBullet"/>
      </w:pPr>
      <w:r>
        <w:t>Trading Co. (trading operations): $50 million</w:t>
      </w:r>
    </w:p>
    <w:p>
      <w:pPr>
        <w:pStyle w:val="ListBullet"/>
      </w:pPr>
      <w:r>
        <w:t>Regasification Co. (regasification): $300 million</w:t>
      </w:r>
    </w:p>
    <w:p>
      <w:r>
        <w:t>Total costs: $1.15 billion</w:t>
      </w:r>
    </w:p>
    <w:p/>
    <w:p>
      <w:r>
        <w:t>Combined profit: $2.0B - $1.15B = $850 million</w:t>
      </w:r>
    </w:p>
    <w:p>
      <w:r>
        <w:t>```</w:t>
      </w:r>
    </w:p>
    <w:p/>
    <w:p>
      <w:r>
        <w:t>**Transfer pricing issue**: How should $850M combined profit be allocated across the four entities?</w:t>
      </w:r>
    </w:p>
    <w:p/>
    <w:p>
      <w:r>
        <w:t>**Tax rates**:</w:t>
      </w:r>
    </w:p>
    <w:p>
      <w:pPr>
        <w:pStyle w:val="ListBullet"/>
      </w:pPr>
      <w:r>
        <w:t>**Qatar**: 10% (corporate tax for most sectors; 35% for foreign extractive companies)</w:t>
      </w:r>
    </w:p>
    <w:p>
      <w:pPr>
        <w:pStyle w:val="ListBullet"/>
      </w:pPr>
      <w:r>
        <w:t>**Singapore**: 17% (standard corporate income tax rate)</w:t>
      </w:r>
    </w:p>
    <w:p>
      <w:pPr>
        <w:pStyle w:val="ListBullet"/>
      </w:pPr>
      <w:r>
        <w:t>**Japan**: 30.62% (effective combined corporate tax rate including corporate income tax, local inhabitant tax, and enterprise tax for large corporations)</w:t>
      </w:r>
    </w:p>
    <w:p/>
    <w:p>
      <w:r>
        <w:t>**Requirements**:</w:t>
      </w:r>
    </w:p>
    <w:p/>
    <w:p>
      <w:r>
        <w:t>1. Conduct functional analysis to determine relative contributions</w:t>
      </w:r>
    </w:p>
    <w:p>
      <w:r>
        <w:t>2. Apply profit split method to allocate $850M combined profit</w:t>
      </w:r>
    </w:p>
    <w:p>
      <w:r>
        <w:t>3. Derive transfer prices working backward from allocated profits</w:t>
      </w:r>
    </w:p>
    <w:p>
      <w:r>
        <w:t>4. Calculate group effective tax rate and compare to alternative structures</w:t>
      </w:r>
    </w:p>
    <w:p/>
    <w:p>
      <w:r>
        <w:t>**Analysis:**</w:t>
      </w:r>
    </w:p>
    <w:p/>
    <w:p>
      <w:r>
        <w:t>**Step 1: Functional Analysis and Contribution Assessment**</w:t>
      </w:r>
    </w:p>
    <w:p/>
    <w:p>
      <w:r>
        <w:t>**A. Production Co. (Qatar)**</w:t>
      </w:r>
    </w:p>
    <w:p/>
    <w:p>
      <w:r>
        <w:t>**Functions**:</w:t>
      </w:r>
    </w:p>
    <w:p>
      <w:pPr>
        <w:pStyle w:val="ListBullet"/>
      </w:pPr>
      <w:r>
        <w:t>**Exploration**: Seismic surveys, drilling (discovered field in 2010)</w:t>
      </w:r>
    </w:p>
    <w:p>
      <w:pPr>
        <w:pStyle w:val="ListBullet"/>
      </w:pPr>
      <w:r>
        <w:t>**Development**: Platform installation, subsea infrastructure (CAPEX: $5B, 2012-2015)</w:t>
      </w:r>
    </w:p>
    <w:p>
      <w:pPr>
        <w:pStyle w:val="ListBullet"/>
      </w:pPr>
      <w:r>
        <w:t>**Production**: Ongoing gas extraction (20-year field life; Year 10 of production in 2024)</w:t>
      </w:r>
    </w:p>
    <w:p/>
    <w:p>
      <w:r>
        <w:t>**Assets**:</w:t>
      </w:r>
    </w:p>
    <w:p>
      <w:pPr>
        <w:pStyle w:val="ListBullet"/>
      </w:pPr>
      <w:r>
        <w:t>**Reserves**: 50 Tcf (trillion cubic feet) proven reserves (valued at $10B+ net present value)</w:t>
      </w:r>
    </w:p>
    <w:p>
      <w:pPr>
        <w:pStyle w:val="ListBullet"/>
      </w:pPr>
      <w:r>
        <w:t>**Production facilities**: Platform, wells, pipelines ($5B CAPEX, depreciated to $3B book value)</w:t>
      </w:r>
    </w:p>
    <w:p/>
    <w:p>
      <w:r>
        <w:t>**Risks**:</w:t>
      </w:r>
    </w:p>
    <w:p>
      <w:pPr>
        <w:pStyle w:val="ListBullet"/>
      </w:pPr>
      <w:r>
        <w:t>**Exploration risk**: Borne in 2008-2010 (field discovered; risk now realized)</w:t>
      </w:r>
    </w:p>
    <w:p>
      <w:pPr>
        <w:pStyle w:val="ListBullet"/>
      </w:pPr>
      <w:r>
        <w:t>**Production risk**: Ongoing (decline rates, reservoir pressure, equipment failures)</w:t>
      </w:r>
    </w:p>
    <w:p>
      <w:pPr>
        <w:pStyle w:val="ListBullet"/>
      </w:pPr>
      <w:r>
        <w:t>**Price risk**: Partially (long-term contracts partially hedge; spot exposure remains)</w:t>
      </w:r>
    </w:p>
    <w:p/>
    <w:p>
      <w:r>
        <w:t>**Contribution assessment**: **30-35%** of combined profit</w:t>
      </w:r>
    </w:p>
    <w:p/>
    <w:p>
      <w:r>
        <w:t>**Rationale**: Production Co. made **initial capital investment** ($5B) and bears **production risk**, but does not perform downstream functions (liquefaction, trading, regasification).</w:t>
      </w:r>
    </w:p>
    <w:p/>
    <w:p>
      <w:r>
        <w:t>**B. Liquefaction Co. (Qatar)**</w:t>
      </w:r>
    </w:p>
    <w:p/>
    <w:p>
      <w:r>
        <w:t>**Functions**:</w:t>
      </w:r>
    </w:p>
    <w:p>
      <w:pPr>
        <w:pStyle w:val="ListBullet"/>
      </w:pPr>
      <w:r>
        <w:t>**Liquefaction**: Convert natural gas to LNG (-162°C, 1/600th volume)</w:t>
      </w:r>
    </w:p>
    <w:p>
      <w:pPr>
        <w:pStyle w:val="ListBullet"/>
      </w:pPr>
      <w:r>
        <w:t>**Storage**: LNG storage tanks (5-day inventory)</w:t>
      </w:r>
    </w:p>
    <w:p>
      <w:pPr>
        <w:pStyle w:val="ListBullet"/>
      </w:pPr>
      <w:r>
        <w:t>**Loading**: LNG loading arms, tanker berthing</w:t>
      </w:r>
    </w:p>
    <w:p/>
    <w:p>
      <w:r>
        <w:t>**Assets**:</w:t>
      </w:r>
    </w:p>
    <w:p>
      <w:pPr>
        <w:pStyle w:val="ListBullet"/>
      </w:pPr>
      <w:r>
        <w:t>**LNG plant**: 6 million tonnes per annum (MTPA) capacity ($10B CAPEX, 2016 commissioning)</w:t>
      </w:r>
    </w:p>
    <w:p>
      <w:pPr>
        <w:pStyle w:val="ListBullet"/>
      </w:pPr>
      <w:r>
        <w:t>**Depreciated book value**: $8B (useful life: 30 years)</w:t>
      </w:r>
    </w:p>
    <w:p>
      <w:pPr>
        <w:pStyle w:val="ListBullet"/>
      </w:pPr>
      <w:r>
        <w:t>**Operating assets**: Compressors, heat exchangers, cryogenic tanks</w:t>
      </w:r>
    </w:p>
    <w:p/>
    <w:p>
      <w:r>
        <w:t>**Risks**:</w:t>
      </w:r>
    </w:p>
    <w:p>
      <w:pPr>
        <w:pStyle w:val="ListBullet"/>
      </w:pPr>
      <w:r>
        <w:t>**Operating risk**: Safety (LNG highly volatile), equipment failures, downtime</w:t>
      </w:r>
    </w:p>
    <w:p>
      <w:pPr>
        <w:pStyle w:val="ListBullet"/>
      </w:pPr>
      <w:r>
        <w:t>**Margin risk**: Liquefaction fee vs. operating costs (efficiency improvements reduce cost)</w:t>
      </w:r>
    </w:p>
    <w:p/>
    <w:p>
      <w:r>
        <w:t>**Contribution assessment**: **30-35%** of combined profit</w:t>
      </w:r>
    </w:p>
    <w:p/>
    <w:p>
      <w:r>
        <w:t>**Rationale**: Liquefaction Co. contributed **largest CAPEX** ($10B) and performs critical value-added function (gas → LNG transformation). However, operates under **long-term tolling agreement** with Production Co. (limited merchant risk).</w:t>
      </w:r>
    </w:p>
    <w:p/>
    <w:p>
      <w:r>
        <w:t>**C. Trading Co. (Singapore)**</w:t>
      </w:r>
    </w:p>
    <w:p/>
    <w:p>
      <w:r>
        <w:t>**Functions**:</w:t>
      </w:r>
    </w:p>
    <w:p>
      <w:pPr>
        <w:pStyle w:val="ListBullet"/>
      </w:pPr>
      <w:r>
        <w:t>**Market making**: Trade origination, pricing, arbitrage</w:t>
      </w:r>
    </w:p>
    <w:p>
      <w:pPr>
        <w:pStyle w:val="ListBullet"/>
      </w:pPr>
      <w:r>
        <w:t>**Logistics**: Chartering LNG vessels, scheduling deliveries</w:t>
      </w:r>
    </w:p>
    <w:p>
      <w:pPr>
        <w:pStyle w:val="ListBullet"/>
      </w:pPr>
      <w:r>
        <w:t>**Risk management**: Hedging price exposure, managing inventory</w:t>
      </w:r>
    </w:p>
    <w:p>
      <w:pPr>
        <w:pStyle w:val="ListBullet"/>
      </w:pPr>
      <w:r>
        <w:t>**Customer relationships**: Contracts with 20 Japanese utilities, 15 other Asian buyers</w:t>
      </w:r>
    </w:p>
    <w:p/>
    <w:p>
      <w:r>
        <w:t>**Assets**:</w:t>
      </w:r>
    </w:p>
    <w:p>
      <w:pPr>
        <w:pStyle w:val="ListBullet"/>
      </w:pPr>
      <w:r>
        <w:t>**Working capital**: $200M (financing cargo in transit, receivables)</w:t>
      </w:r>
    </w:p>
    <w:p>
      <w:pPr>
        <w:pStyle w:val="ListBullet"/>
      </w:pPr>
      <w:r>
        <w:t>**Customer relationships**: Built over 15 years (valued at $500M intangible)</w:t>
      </w:r>
    </w:p>
    <w:p>
      <w:pPr>
        <w:pStyle w:val="ListBullet"/>
      </w:pPr>
      <w:r>
        <w:t>**Proprietary trading systems**: LNG price forecasting, optimization algorithms</w:t>
      </w:r>
    </w:p>
    <w:p/>
    <w:p>
      <w:r>
        <w:t>**Risks**:</w:t>
      </w:r>
    </w:p>
    <w:p>
      <w:pPr>
        <w:pStyle w:val="ListBullet"/>
      </w:pPr>
      <w:r>
        <w:t>**Price volatility**: Spot LNG prices fluctuate $5-25/MMBtu (Trading Co. bears market risk between purchase and sale)</w:t>
      </w:r>
    </w:p>
    <w:p>
      <w:pPr>
        <w:pStyle w:val="ListBullet"/>
      </w:pPr>
      <w:r>
        <w:t>**Credit risk**: Japanese utilities generally low risk, but some Asian buyers higher risk</w:t>
      </w:r>
    </w:p>
    <w:p>
      <w:pPr>
        <w:pStyle w:val="ListBullet"/>
      </w:pPr>
      <w:r>
        <w:t>**Geopolitical risk**: Sanctions, trade restrictions (e.g., Russia-Ukraine impact on LNG flows)</w:t>
      </w:r>
    </w:p>
    <w:p/>
    <w:p>
      <w:r>
        <w:t>**Contribution assessment**: **20-25%** of combined profit</w:t>
      </w:r>
    </w:p>
    <w:p/>
    <w:p>
      <w:r>
        <w:t>**Rationale**: Trading Co. performs **entrepreneurial functions** (market making, risk management) and has developed valuable **intangibles** (customer relationships, trading algorithms). However, does not own physical assets (LNG plant, tankers, regasification terminal).</w:t>
      </w:r>
    </w:p>
    <w:p/>
    <w:p>
      <w:r>
        <w:t>**D. Regasification Co. (Japan)**</w:t>
      </w:r>
    </w:p>
    <w:p/>
    <w:p>
      <w:r>
        <w:t>**Functions**:</w:t>
      </w:r>
    </w:p>
    <w:p>
      <w:pPr>
        <w:pStyle w:val="ListBullet"/>
      </w:pPr>
      <w:r>
        <w:t>**Regasification**: Convert LNG back to natural gas (heating, vaporization)</w:t>
      </w:r>
    </w:p>
    <w:p>
      <w:pPr>
        <w:pStyle w:val="ListBullet"/>
      </w:pPr>
      <w:r>
        <w:t>**Storage**: LNG storage (7-day inventory)</w:t>
      </w:r>
    </w:p>
    <w:p>
      <w:pPr>
        <w:pStyle w:val="ListBullet"/>
      </w:pPr>
      <w:r>
        <w:t>**Distribution**: Inject gas into Japanese pipeline network</w:t>
      </w:r>
    </w:p>
    <w:p/>
    <w:p>
      <w:r>
        <w:t>**Assets**:</w:t>
      </w:r>
    </w:p>
    <w:p>
      <w:pPr>
        <w:pStyle w:val="ListBullet"/>
      </w:pPr>
      <w:r>
        <w:t>**Regasification terminal**: 5 million tonnes per annum capacity ($2B CAPEX)</w:t>
      </w:r>
    </w:p>
    <w:p>
      <w:pPr>
        <w:pStyle w:val="ListBullet"/>
      </w:pPr>
      <w:r>
        <w:t>**Storage tanks**: 180,000 cubic meters LNG storage</w:t>
      </w:r>
    </w:p>
    <w:p>
      <w:pPr>
        <w:pStyle w:val="ListBullet"/>
      </w:pPr>
      <w:r>
        <w:t>**Vaporizers**: Heat exchangers, pumps</w:t>
      </w:r>
    </w:p>
    <w:p/>
    <w:p>
      <w:r>
        <w:t>**Risks**:</w:t>
      </w:r>
    </w:p>
    <w:p>
      <w:pPr>
        <w:pStyle w:val="ListBullet"/>
      </w:pPr>
      <w:r>
        <w:t>**Demand risk**: Japanese gas demand fluctuates (weather, nuclear power restarts, coal competition)</w:t>
      </w:r>
    </w:p>
    <w:p>
      <w:pPr>
        <w:pStyle w:val="ListBullet"/>
      </w:pPr>
      <w:r>
        <w:t>**Operating risk**: Equipment failures, safety (LNG highly flammable)</w:t>
      </w:r>
    </w:p>
    <w:p/>
    <w:p>
      <w:r>
        <w:t>**Contribution assessment**: **15-20%** of combined profit</w:t>
      </w:r>
    </w:p>
    <w:p/>
    <w:p>
      <w:r>
        <w:t>**Rationale**: Regasification Co. contributed moderate **CAPEX** ($2B) and performs essential function (LNG → gas conversion), but operates in **highly regulated** Japanese market with **regulated tariffs** (limited pricing power).</w:t>
      </w:r>
    </w:p>
    <w:p/>
    <w:p>
      <w:r>
        <w:t>**Step 2: Profit Allocation**</w:t>
      </w:r>
    </w:p>
    <w:p/>
    <w:p>
      <w:r>
        <w:t>**Combined profit**: $850 million</w:t>
      </w:r>
    </w:p>
    <w:p/>
    <w:p>
      <w:r>
        <w:t>**Allocation by relative contributions**:</w:t>
      </w:r>
    </w:p>
    <w:p/>
    <w:p>
      <w:r>
        <w:t>| **Entity** | **Contribution %** | **Allocated Profit** |</w:t>
      </w:r>
    </w:p>
    <w:p>
      <w:r>
        <w:t>|---|---|---|</w:t>
      </w:r>
    </w:p>
    <w:p>
      <w:r>
        <w:t>| **Production Co. (Qatar)** | 32.5% | $276.25 million |</w:t>
      </w:r>
    </w:p>
    <w:p>
      <w:r>
        <w:t>| **Liquefaction Co. (Qatar)** | 32.5% | $276.25 million |</w:t>
      </w:r>
    </w:p>
    <w:p>
      <w:r>
        <w:t>| **Trading Co. (Singapore)** | 22.5% | $191.25 million |</w:t>
      </w:r>
    </w:p>
    <w:p>
      <w:r>
        <w:t>| **Regasification Co. (Japan)** | 12.5% | $106.25 million |</w:t>
      </w:r>
    </w:p>
    <w:p>
      <w:r>
        <w:t>| **Total** | **100%** | **$850 million** |</w:t>
      </w:r>
    </w:p>
    <w:p/>
    <w:p>
      <w:r>
        <w:t>**Step 3: Derive Transfer Prices**</w:t>
      </w:r>
    </w:p>
    <w:p/>
    <w:p>
      <w:r>
        <w:t>**Working backward from allocated profits**:</w:t>
      </w:r>
    </w:p>
    <w:p/>
    <w:p>
      <w:r>
        <w:t>**A. Production Co. → Liquefaction Co.**</w:t>
      </w:r>
    </w:p>
    <w:p/>
    <w:p>
      <w:r>
        <w:t>```</w:t>
      </w:r>
    </w:p>
    <w:p>
      <w:r>
        <w:t>Production Co. allocated profit: $276.25M</w:t>
      </w:r>
    </w:p>
    <w:p>
      <w:r>
        <w:t>Production Co. costs: $200M</w:t>
      </w:r>
    </w:p>
    <w:p>
      <w:r>
        <w:t>Transfer price (gas to Liquefaction Co.): $200M + $276.25M = $476.25 million</w:t>
      </w:r>
    </w:p>
    <w:p/>
    <w:p>
      <w:r>
        <w:t>Effective gas price: $476.25M ÷ 20M MMBtu = $23.81/MMBtu</w:t>
      </w:r>
    </w:p>
    <w:p>
      <w:r>
        <w:t>```</w:t>
      </w:r>
    </w:p>
    <w:p/>
    <w:p>
      <w:r>
        <w:t>**B. Liquefaction Co. → Trading Co.**</w:t>
      </w:r>
    </w:p>
    <w:p/>
    <w:p>
      <w:r>
        <w:t>```</w:t>
      </w:r>
    </w:p>
    <w:p>
      <w:r>
        <w:t>Liquefaction Co. allocated profit: $276.25M</w:t>
      </w:r>
    </w:p>
    <w:p>
      <w:r>
        <w:t>Liquefaction Co. costs:</w:t>
      </w:r>
    </w:p>
    <w:p>
      <w:pPr>
        <w:pStyle w:val="ListBullet"/>
      </w:pPr>
      <w:r>
        <w:t>Gas purchase from Production Co.: $476.25M</w:t>
      </w:r>
    </w:p>
    <w:p>
      <w:pPr>
        <w:pStyle w:val="ListBullet"/>
      </w:pPr>
      <w:r>
        <w:t>Liquefaction operating costs: $600M</w:t>
      </w:r>
    </w:p>
    <w:p>
      <w:pPr>
        <w:pStyle w:val="ListBullet"/>
      </w:pPr>
      <w:r>
        <w:t>Total costs: $1,076.25M</w:t>
      </w:r>
    </w:p>
    <w:p/>
    <w:p>
      <w:r>
        <w:t>Transfer price (LNG to Trading Co.): $1,076.25M + $276.25M = $1,352.50 million</w:t>
      </w:r>
    </w:p>
    <w:p/>
    <w:p>
      <w:r>
        <w:t>Effective LNG price: $1,352.50M ÷ 20M MMBtu = $67.63/MMBtu FOB Qatar</w:t>
      </w:r>
    </w:p>
    <w:p>
      <w:r>
        <w:t>```</w:t>
      </w:r>
    </w:p>
    <w:p/>
    <w:p>
      <w:r>
        <w:t>**C. Trading Co. → Regasification Co.**</w:t>
      </w:r>
    </w:p>
    <w:p/>
    <w:p>
      <w:r>
        <w:t>```</w:t>
      </w:r>
    </w:p>
    <w:p>
      <w:r>
        <w:t>Trading Co. allocated profit: $191.25M</w:t>
      </w:r>
    </w:p>
    <w:p>
      <w:r>
        <w:t>Trading Co. costs:</w:t>
      </w:r>
    </w:p>
    <w:p>
      <w:pPr>
        <w:pStyle w:val="ListBullet"/>
      </w:pPr>
      <w:r>
        <w:t>LNG purchase from Liquefaction Co.: $1,352.50M</w:t>
      </w:r>
    </w:p>
    <w:p>
      <w:pPr>
        <w:pStyle w:val="ListBullet"/>
      </w:pPr>
      <w:r>
        <w:t>Trading operating costs: $50M</w:t>
      </w:r>
    </w:p>
    <w:p>
      <w:pPr>
        <w:pStyle w:val="ListBullet"/>
      </w:pPr>
      <w:r>
        <w:t>Total costs: $1,402.50M</w:t>
      </w:r>
    </w:p>
    <w:p/>
    <w:p>
      <w:r>
        <w:t>Transfer price (LNG to Regasification Co.): $1,402.50M + $191.25M = $1,593.75 million</w:t>
      </w:r>
    </w:p>
    <w:p/>
    <w:p>
      <w:r>
        <w:t>Effective LNG price: $1,593.75M ÷ 20M MMBtu = $79.69/MMBtu CIF Japan</w:t>
      </w:r>
    </w:p>
    <w:p>
      <w:r>
        <w:t>```</w:t>
      </w:r>
    </w:p>
    <w:p/>
    <w:p>
      <w:r>
        <w:t>**D. Regasification Co. → End Customers**</w:t>
      </w:r>
    </w:p>
    <w:p/>
    <w:p>
      <w:r>
        <w:t>```</w:t>
      </w:r>
    </w:p>
    <w:p>
      <w:r>
        <w:t>Regasification Co. allocated profit: $106.25M</w:t>
      </w:r>
    </w:p>
    <w:p>
      <w:r>
        <w:t>Regasification Co. costs:</w:t>
      </w:r>
    </w:p>
    <w:p>
      <w:pPr>
        <w:pStyle w:val="ListBullet"/>
      </w:pPr>
      <w:r>
        <w:t>LNG purchase from Trading Co.: $1,593.75M</w:t>
      </w:r>
    </w:p>
    <w:p>
      <w:pPr>
        <w:pStyle w:val="ListBullet"/>
      </w:pPr>
      <w:r>
        <w:t>Regasification operating costs: $300M</w:t>
      </w:r>
    </w:p>
    <w:p>
      <w:pPr>
        <w:pStyle w:val="ListBullet"/>
      </w:pPr>
      <w:r>
        <w:t>Total costs: $1,893.75M</w:t>
      </w:r>
    </w:p>
    <w:p/>
    <w:p>
      <w:r>
        <w:t>Sale price to end customers: $1,893.75M + $106.25M = $2.0 billion ✓</w:t>
      </w:r>
    </w:p>
    <w:p/>
    <w:p>
      <w:r>
        <w:t>Effective gas price: $2.0B ÷ 20M MMBtu = $100/MMBtu (matches actual end customer revenue)</w:t>
      </w:r>
    </w:p>
    <w:p>
      <w:r>
        <w:t>```</w:t>
      </w:r>
    </w:p>
    <w:p/>
    <w:p>
      <w:r>
        <w:t>**Step 4: Tax Calculation**</w:t>
      </w:r>
    </w:p>
    <w:p/>
    <w:p>
      <w:r>
        <w:t>| **Entity** | **Profit** | **Tax Rate** | **Tax** |</w:t>
      </w:r>
    </w:p>
    <w:p>
      <w:r>
        <w:t>|---|---|---|---|</w:t>
      </w:r>
    </w:p>
    <w:p>
      <w:r>
        <w:t>| **Production Co. (Qatar)** | $276.25M | 10% | $27.63M |</w:t>
      </w:r>
    </w:p>
    <w:p>
      <w:r>
        <w:t>| **Liquefaction Co. (Qatar)** | $276.25M | 10% | $27.63M |</w:t>
      </w:r>
    </w:p>
    <w:p>
      <w:r>
        <w:t>| **Trading Co. (Singapore)** | $191.25M | 17% | $32.51M |</w:t>
      </w:r>
    </w:p>
    <w:p>
      <w:r>
        <w:t>| **Regasification Co. (Japan)** | $106.25M | 30.62% | $32.53M |</w:t>
      </w:r>
    </w:p>
    <w:p>
      <w:r>
        <w:t>| **Total tax** | **$850M** | — | **$120.30M** |</w:t>
      </w:r>
    </w:p>
    <w:p/>
    <w:p>
      <w:r>
        <w:t>**Group effective tax rate**: $120.30M ÷ $850M = **14.15%**</w:t>
      </w:r>
    </w:p>
    <w:p/>
    <w:p>
      <w:r>
        <w:t>**Step 5: Alternative Structure Comparison**</w:t>
      </w:r>
    </w:p>
    <w:p/>
    <w:p>
      <w:r>
        <w:t>**Alternative: Route all profit through Trading Co. (Singapore)**</w:t>
      </w:r>
    </w:p>
    <w:p/>
    <w:p>
      <w:r>
        <w:t>If Trading Co. purchased gas directly from Production Co. (bypassing Liquefaction Co. allocation) and sold LNG to Regasification Co. (capturing all midstream profit):</w:t>
      </w:r>
    </w:p>
    <w:p/>
    <w:p>
      <w:r>
        <w:t>```</w:t>
      </w:r>
    </w:p>
    <w:p>
      <w:r>
        <w:t>Production Co. profit: $276.25M (Qatar 10% tax) = $27.63M tax</w:t>
      </w:r>
    </w:p>
    <w:p>
      <w:r>
        <w:t>Trading Co. profit: $276.25M (Liquefaction) + $191.25M (Trading) = $467.50M (Singapore 17% tax) = $79.48M tax</w:t>
      </w:r>
    </w:p>
    <w:p>
      <w:r>
        <w:t>Regasification Co. profit: $106.25M (Japan 30.62% tax) = $32.53M tax</w:t>
      </w:r>
    </w:p>
    <w:p/>
    <w:p>
      <w:r>
        <w:t>Total tax: $27.63M + $79.48M + $32.53M = $139.64M</w:t>
      </w:r>
    </w:p>
    <w:p>
      <w:r>
        <w:t>Group ETR: 16.43%</w:t>
      </w:r>
    </w:p>
    <w:p>
      <w:r>
        <w:t>```</w:t>
      </w:r>
    </w:p>
    <w:p/>
    <w:p>
      <w:r>
        <w:t>**Comparison**:</w:t>
      </w:r>
    </w:p>
    <w:p>
      <w:pPr>
        <w:pStyle w:val="ListBullet"/>
      </w:pPr>
      <w:r>
        <w:t>**Profit split allocation** (Liquefaction in Qatar): **14.15% ETR**, **$120.30M tax**</w:t>
      </w:r>
    </w:p>
    <w:p>
      <w:pPr>
        <w:pStyle w:val="ListBullet"/>
      </w:pPr>
      <w:r>
        <w:t>**Alternative** (Liquefaction profit in Singapore): **16.43% ETR**, **$139.64M tax**</w:t>
      </w:r>
    </w:p>
    <w:p>
      <w:pPr>
        <w:pStyle w:val="ListBullet"/>
      </w:pPr>
      <w:r>
        <w:t>**Tax savings from profit split**: $139.64M - $120.30M = **$19.34 million annually**</w:t>
      </w:r>
    </w:p>
    <w:p/>
    <w:p>
      <w:r>
        <w:t>**Conclusion**: **Profit split method** allocating profit to Liquefaction Co. (Qatar, 10% tax) is **more tax-efficient** than routing all midstream profit through Singapore (17% tax).</w:t>
      </w:r>
    </w:p>
    <w:p/>
    <w:p>
      <w:r>
        <w:t>**Step 6: Defense and Documentation**</w:t>
      </w:r>
    </w:p>
    <w:p/>
    <w:p>
      <w:r>
        <w:t>**Bilateral APA recommendation**:</w:t>
      </w:r>
    </w:p>
    <w:p/>
    <w:p>
      <w:r>
        <w:t>Given complexity (four entities, three jurisdictions) and magnitude ($850M profit, $120M tax), pursue **multilateral APA** with **Qatar, Singapore, and Japan competent authorities**.</w:t>
      </w:r>
    </w:p>
    <w:p/>
    <w:p>
      <w:r>
        <w:t>**APA terms**:</w:t>
      </w:r>
    </w:p>
    <w:p>
      <w:pPr>
        <w:pStyle w:val="ListBullet"/>
      </w:pPr>
      <w:r>
        <w:t>**Method**: Profit split based on functional analysis and relative contributions</w:t>
      </w:r>
    </w:p>
    <w:p>
      <w:pPr>
        <w:pStyle w:val="ListBullet"/>
      </w:pPr>
      <w:r>
        <w:t>**Allocation**: Production 32.5%, Liquefaction 32.5%, Trading 22.5%, Regasification 12.5%</w:t>
      </w:r>
    </w:p>
    <w:p>
      <w:pPr>
        <w:pStyle w:val="ListBullet"/>
      </w:pPr>
      <w:r>
        <w:t>**Critical assumptions**: LNG prices within $60-140/MMBtu range; production volumes within ±15% of baseline</w:t>
      </w:r>
    </w:p>
    <w:p>
      <w:pPr>
        <w:pStyle w:val="ListBullet"/>
      </w:pPr>
      <w:r>
        <w:t>**Term**: 5 years</w:t>
      </w:r>
    </w:p>
    <w:p>
      <w:pPr>
        <w:pStyle w:val="ListBullet"/>
      </w:pPr>
      <w:r>
        <w:t>**Cost**: $600,000-1,000,000 (application fees, advisors, 24-30 month negotiation)</w:t>
      </w:r>
    </w:p>
    <w:p/>
    <w:p>
      <w:r>
        <w:t>**Benefit**: Eliminates risk of conflicting adjustments (e.g., Qatar challenging low profit allocation to Liquefaction Co., Singapore challenging high profit allocation to Trading Co.); provides certainty for 5-year term.</w:t>
      </w:r>
    </w:p>
    <w:p/>
    <w:p>
      <w:r>
        <w:t>═══════════════════════════════════════════</w:t>
      </w:r>
    </w:p>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