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Group financing</w:t>
      </w:r>
    </w:p>
    <w:p>
      <w:pPr>
        <w:pStyle w:val="Heading1"/>
      </w:pPr>
      <w:r>
        <w:t>62. Group Financing</w:t>
      </w:r>
    </w:p>
    <w:p/>
    <w:p>
      <w:pPr>
        <w:pStyle w:val="Heading2"/>
      </w:pPr>
      <w:r>
        <w:t>1. Introduction</w:t>
      </w:r>
    </w:p>
    <w:p/>
    <w:p>
      <w:r>
        <w:t>**Group financing** arrangements are critical in capital-intensive oil and gas operations, involving **intercompany loans**, **cash pooling**, **guarantees**, **back-to-back financing**, and **centralized treasury operations**. Multinational groups establish **group treasury companies** in favorable jurisdictions to manage **liquidity**, **foreign exchange (FX) risk**, **interest rate risk**, and **optimize funding costs**.</w:t>
      </w:r>
    </w:p>
    <w:p/>
    <w:p>
      <w:r>
        <w:t>From a transfer pricing perspective, the key issues are: (1) What is the **arm's length interest rate** on intercompany loans? (2) Should subsidiaries pay **guarantee fees** to parent (see Chapter 57)? (3) How should **treasury services** be compensated? (4) Are financing arrangements subject to **thin capitalization rules** or **interest limitation rules**?</w:t>
      </w:r>
    </w:p>
    <w:p/>
    <w:p>
      <w:r>
        <w:t>This chapter examines **transfer pricing methods for intercompany loans** (credit rating adjustment, Comparable Uncontrolled Transaction (CUT) method), **arm's length interest rate determination**, **debt vs. equity characterization**, **thin capitalization rules**, **Organisation for Economic Co-operation and Development (OECD) Base Erosion and Profit Shifting (BEPS) Action 4** (interest limitations), **treasury company remuneration**, and **documentation requirements**.</w:t>
      </w:r>
    </w:p>
    <w:p/>
    <w:p>
      <w:r>
        <w:t>---</w:t>
      </w:r>
    </w:p>
    <w:p/>
    <w:p>
      <w:pPr>
        <w:pStyle w:val="Heading2"/>
      </w:pPr>
      <w:r>
        <w:t>2. Arm's Length Interest Rate Determination</w:t>
      </w:r>
    </w:p>
    <w:p/>
    <w:p>
      <w:pPr>
        <w:pStyle w:val="Heading3"/>
      </w:pPr>
      <w:r>
        <w:t>2.1 Credit Rating Adjustment Method</w:t>
      </w:r>
    </w:p>
    <w:p/>
    <w:p>
      <w:r>
        <w:t>**Principle**: Determine borrower's **standalone credit rating** (without parent support); apply market interest rate for that credit rating.</w:t>
      </w:r>
    </w:p>
    <w:p/>
    <w:p>
      <w:r>
        <w:t>**Steps**:</w:t>
      </w:r>
    </w:p>
    <w:p/>
    <w:p>
      <w:r>
        <w:t>1. **Determine borrower's standalone credit rating**: Use credit rating agency methodology (S&amp;P, Moody's, Fitch) or financial analysis</w:t>
      </w:r>
    </w:p>
    <w:p>
      <w:r>
        <w:t>2. **Identify market interest rate** for that credit rating (based on comparable bonds, bank loans)</w:t>
      </w:r>
    </w:p>
    <w:p>
      <w:r>
        <w:t>3. **Adjust for loan-specific factors**: Maturity, currency, collateral, covenants</w:t>
      </w:r>
    </w:p>
    <w:p/>
    <w:p>
      <w:r>
        <w:t>**Example**:</w:t>
      </w:r>
    </w:p>
    <w:p/>
    <w:p>
      <w:r>
        <w:t>```</w:t>
      </w:r>
    </w:p>
    <w:p>
      <w:r>
        <w:t>Borrower: OpCo (Nigeria subsidiary)</w:t>
      </w:r>
    </w:p>
    <w:p>
      <w:r>
        <w:t>Standalone credit rating: BB (based on financial ratios, country risk)</w:t>
      </w:r>
    </w:p>
    <w:p>
      <w:r>
        <w:t>Loan terms: $100M, 5-year term, United States Dollar (USD), unsecured</w:t>
      </w:r>
    </w:p>
    <w:p/>
    <w:p>
      <w:r>
        <w:t>Market interest rates (2024):</w:t>
      </w:r>
    </w:p>
    <w:p>
      <w:pPr>
        <w:pStyle w:val="ListBullet"/>
      </w:pPr>
      <w:r>
        <w:t>BB-rated corporate bonds (5-year, USD): 8.0-9.0%</w:t>
      </w:r>
    </w:p>
    <w:p>
      <w:pPr>
        <w:pStyle w:val="ListBullet"/>
      </w:pPr>
      <w:r>
        <w:t>Selected arm's length rate: 8.5%</w:t>
      </w:r>
    </w:p>
    <w:p/>
    <w:p>
      <w:r>
        <w:t>Intercompany loan interest rate: 8.5%</w:t>
      </w:r>
    </w:p>
    <w:p>
      <w:r>
        <w:t>Annual interest expense: $100M × 8.5% = $8.5 million</w:t>
      </w:r>
    </w:p>
    <w:p>
      <w:r>
        <w:t>```</w:t>
      </w:r>
    </w:p>
    <w:p/>
    <w:p>
      <w:r>
        <w:t>**Credit rating determination** (if no formal rating exists):</w:t>
      </w:r>
    </w:p>
    <w:p/>
    <w:p>
      <w:r>
        <w:t>**Financial ratio analysis**:</w:t>
      </w:r>
    </w:p>
    <w:p/>
    <w:p>
      <w:r>
        <w:t>| **Ratio** | **OpCo (Nigeria)** | **Rating Indication** |</w:t>
      </w:r>
    </w:p>
    <w:p>
      <w:r>
        <w:t>|---|---|---|</w:t>
      </w:r>
    </w:p>
    <w:p>
      <w:r>
        <w:t>| **Interest coverage** (Earnings Before Interest and Tax (EBIT) / Interest) | 3.5x | BB+ to BBB- |</w:t>
      </w:r>
    </w:p>
    <w:p>
      <w:r>
        <w:t>| **Debt / Earnings Before Interest, Tax, Depreciation, and Amortization (EBITDA)** | 3.0x | BB to BB+ |</w:t>
      </w:r>
    </w:p>
    <w:p>
      <w:r>
        <w:t>| **Debt / Equity** | 1.5:1 | BBB- to BBB |</w:t>
      </w:r>
    </w:p>
    <w:p>
      <w:r>
        <w:t>| **Country risk** (Nigeria) | High | Downgrade by 2-3 notches |</w:t>
      </w:r>
    </w:p>
    <w:p/>
    <w:p>
      <w:r>
        <w:t>**Conclusion**: Standalone credit rating = **BB** (after adjusting for Nigeria country risk)</w:t>
      </w:r>
    </w:p>
    <w:p/>
    <w:p>
      <w:pPr>
        <w:pStyle w:val="Heading3"/>
      </w:pPr>
      <w:r>
        <w:t>2.2 Comparable Uncontrolled Transaction (CUT) Method</w:t>
      </w:r>
    </w:p>
    <w:p/>
    <w:p>
      <w:r>
        <w:t>**Application**: Compare intercompany loan interest rate to interest rate on **comparable external loans**.</w:t>
      </w:r>
    </w:p>
    <w:p/>
    <w:p>
      <w:r>
        <w:t>**Example**:</w:t>
      </w:r>
    </w:p>
    <w:p/>
    <w:p>
      <w:r>
        <w:t>```</w:t>
      </w:r>
    </w:p>
    <w:p>
      <w:r>
        <w:t>OpCo (Brazil) borrows $200M from Parent (UK) at 7.0% interest.</w:t>
      </w:r>
    </w:p>
    <w:p/>
    <w:p>
      <w:r>
        <w:t>External comparable:</w:t>
      </w:r>
    </w:p>
    <w:p>
      <w:pPr>
        <w:pStyle w:val="ListBullet"/>
      </w:pPr>
      <w:r>
        <w:t>OpCo also borrowed $50M from HSBC (independent bank) at 7.5% interest (same year, similar terms)</w:t>
      </w:r>
    </w:p>
    <w:p/>
    <w:p>
      <w:r>
        <w:t>Transfer pricing analysis:</w:t>
      </w:r>
    </w:p>
    <w:p>
      <w:pPr>
        <w:pStyle w:val="ListBullet"/>
      </w:pPr>
      <w:r>
        <w:t>Internal CUT: OpCo borrows from independent bank at 7.5%</w:t>
      </w:r>
    </w:p>
    <w:p>
      <w:pPr>
        <w:pStyle w:val="ListBullet"/>
      </w:pPr>
      <w:r>
        <w:t>Intercompany rate (7.0%) is **below** external rate (7.5%)</w:t>
      </w:r>
    </w:p>
    <w:p>
      <w:pPr>
        <w:pStyle w:val="ListBullet"/>
      </w:pPr>
      <w:r>
        <w:t>Conclusion: 7.0% is arm's length (conservative; within range)</w:t>
      </w:r>
    </w:p>
    <w:p/>
    <w:p>
      <w:r>
        <w:t>Alternative analysis:</w:t>
      </w:r>
    </w:p>
    <w:p>
      <w:pPr>
        <w:pStyle w:val="ListBullet"/>
      </w:pPr>
      <w:r>
        <w:t>If HSBC loan has parent guarantee (reducing rate to 7.5%), but intercompany loan has no guarantee, then 7.0% may be too low</w:t>
      </w:r>
    </w:p>
    <w:p>
      <w:pPr>
        <w:pStyle w:val="ListBullet"/>
      </w:pPr>
      <w:r>
        <w:t>Adjustment: Intercompany loan should be at higher rate (e.g., 8.0-8.5%) reflecting absence of guarantee</w:t>
      </w:r>
    </w:p>
    <w:p>
      <w:r>
        <w:t>```</w:t>
      </w:r>
    </w:p>
    <w:p/>
    <w:p>
      <w:pPr>
        <w:pStyle w:val="Heading3"/>
      </w:pPr>
      <w:r>
        <w:t>2.3 London Interbank Offered Rate (LIBOR) / Secured Overnight Financing Rate (SOFR) Plus Spread</w:t>
      </w:r>
    </w:p>
    <w:p/>
    <w:p>
      <w:r>
        <w:t>**Market practice**: Intercompany loans priced as **LIBOR + spread** (historical) or **SOFR + spread** (post-LIBOR transition in 2023).</w:t>
      </w:r>
    </w:p>
    <w:p/>
    <w:p>
      <w:r>
        <w:t>**Formula**:</w:t>
      </w:r>
    </w:p>
    <w:p>
      <w:r>
        <w:t>```</w:t>
      </w:r>
    </w:p>
    <w:p>
      <w:r>
        <w:t>Interest Rate = Base Rate (LIBOR/SOFR) + Credit Spread</w:t>
      </w:r>
    </w:p>
    <w:p/>
    <w:p>
      <w:r>
        <w:t>Credit spread reflects:</w:t>
      </w:r>
    </w:p>
    <w:p>
      <w:pPr>
        <w:pStyle w:val="ListBullet"/>
      </w:pPr>
      <w:r>
        <w:t>Borrower's credit risk</w:t>
      </w:r>
    </w:p>
    <w:p>
      <w:pPr>
        <w:pStyle w:val="ListBullet"/>
      </w:pPr>
      <w:r>
        <w:t>Country risk</w:t>
      </w:r>
    </w:p>
    <w:p>
      <w:pPr>
        <w:pStyle w:val="ListBullet"/>
      </w:pPr>
      <w:r>
        <w:t>Loan-specific factors (maturity, collateral, covenants)</w:t>
      </w:r>
    </w:p>
    <w:p>
      <w:r>
        <w:t>```</w:t>
      </w:r>
    </w:p>
    <w:p/>
    <w:p>
      <w:r>
        <w:t>**Typical credit spreads** (over LIBOR/SOFR):</w:t>
      </w:r>
    </w:p>
    <w:p/>
    <w:p>
      <w:r>
        <w:t>| **Credit Rating** | **5-Year Spread** |</w:t>
      </w:r>
    </w:p>
    <w:p>
      <w:r>
        <w:t>|---|---|</w:t>
      </w:r>
    </w:p>
    <w:p>
      <w:r>
        <w:t>| **AAA** | +0.5% to 1.0% |</w:t>
      </w:r>
    </w:p>
    <w:p>
      <w:r>
        <w:t>| **AA** | +1.0% to 1.5% |</w:t>
      </w:r>
    </w:p>
    <w:p>
      <w:r>
        <w:t>| **A** | +1.5% to 2.5% |</w:t>
      </w:r>
    </w:p>
    <w:p>
      <w:r>
        <w:t>| **BBB** | +2.5% to 4.0% |</w:t>
      </w:r>
    </w:p>
    <w:p>
      <w:r>
        <w:t>| **BB** | +4.0% to 6.0% |</w:t>
      </w:r>
    </w:p>
    <w:p>
      <w:r>
        <w:t>| **B** | +6.0% to 10.0% |</w:t>
      </w:r>
    </w:p>
    <w:p/>
    <w:p>
      <w:r>
        <w:t>**Example**:</w:t>
      </w:r>
    </w:p>
    <w:p/>
    <w:p>
      <w:r>
        <w:t>```</w:t>
      </w:r>
    </w:p>
    <w:p>
      <w:r>
        <w:t>Borrower: OpCo (Kazakhstan, BB rating)</w:t>
      </w:r>
    </w:p>
    <w:p>
      <w:r>
        <w:t>Loan: $150M, 7-year term, USD</w:t>
      </w:r>
    </w:p>
    <w:p>
      <w:r>
        <w:t>Base rate: SOFR (currently 5.25%, as of 2024)</w:t>
      </w:r>
    </w:p>
    <w:p>
      <w:r>
        <w:t>Credit spread: 5.0% (BB rating, 7-year term)</w:t>
      </w:r>
    </w:p>
    <w:p/>
    <w:p>
      <w:r>
        <w:t>Arm's length interest rate: 5.25% + 5.0% = 10.25%</w:t>
      </w:r>
    </w:p>
    <w:p>
      <w:r>
        <w:t>Annual interest: $150M × 10.25% = $15.375 million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3. Thin Capitalization and Debt/Equity Characterization</w:t>
      </w:r>
    </w:p>
    <w:p/>
    <w:p>
      <w:pPr>
        <w:pStyle w:val="Heading3"/>
      </w:pPr>
      <w:r>
        <w:t>3.1 Thin Capitalization Rules</w:t>
      </w:r>
    </w:p>
    <w:p/>
    <w:p>
      <w:r>
        <w:t>**Purpose**: Limit **interest deductions** to prevent **excessive debt financing** and **profit shifting** (interest deductible in high-tax subsidiary, received as income in low-tax parent).</w:t>
      </w:r>
    </w:p>
    <w:p/>
    <w:p>
      <w:r>
        <w:t>**Common rules**:</w:t>
      </w:r>
    </w:p>
    <w:p/>
    <w:p>
      <w:r>
        <w:t>**A. Debt-to-Equity Safe Harbor**</w:t>
      </w:r>
    </w:p>
    <w:p/>
    <w:p>
      <w:r>
        <w:t>Specified **maximum debt-to-equity ratio**; interest deductible if within safe harbor.</w:t>
      </w:r>
    </w:p>
    <w:p/>
    <w:p>
      <w:r>
        <w:t>| **Jurisdiction** | **Safe Harbor Ratio** | **Excess Treatment** |</w:t>
      </w:r>
    </w:p>
    <w:p>
      <w:r>
        <w:t>|---|---|---|</w:t>
      </w:r>
    </w:p>
    <w:p>
      <w:r>
        <w:t>| **Germany** | 1.5:1 | Interest on excess debt non-deductible |</w:t>
      </w:r>
    </w:p>
    <w:p>
      <w:r>
        <w:t>| **India** | 2:1 | Interest on excess debt non-deductible |</w:t>
      </w:r>
    </w:p>
    <w:p>
      <w:r>
        <w:t>| **Indonesia** | 4:1 | Interest on excess debt non-deductible |</w:t>
      </w:r>
    </w:p>
    <w:p>
      <w:r>
        <w:t>| **Brazil** | 2:1 (foreign affiliates) | Interest on excess debt non-deductible; recharacterized as deemed dividend (subject to Withholding Tax (WHT)) |</w:t>
      </w:r>
    </w:p>
    <w:p/>
    <w:p>
      <w:r>
        <w:t>**Example (India)**:</w:t>
      </w:r>
    </w:p>
    <w:p/>
    <w:p>
      <w:r>
        <w:t>```</w:t>
      </w:r>
    </w:p>
    <w:p>
      <w:r>
        <w:t>OpCo (India):</w:t>
      </w:r>
    </w:p>
    <w:p>
      <w:pPr>
        <w:pStyle w:val="ListBullet"/>
      </w:pPr>
      <w:r>
        <w:t>Debt (from parent): $100M</w:t>
      </w:r>
    </w:p>
    <w:p>
      <w:pPr>
        <w:pStyle w:val="ListBullet"/>
      </w:pPr>
      <w:r>
        <w:t>Equity: $40M</w:t>
      </w:r>
    </w:p>
    <w:p>
      <w:pPr>
        <w:pStyle w:val="ListBullet"/>
      </w:pPr>
      <w:r>
        <w:t>Debt-to-equity ratio: 2.5:1</w:t>
      </w:r>
    </w:p>
    <w:p/>
    <w:p>
      <w:r>
        <w:t>India safe harbor: 2:1</w:t>
      </w:r>
    </w:p>
    <w:p/>
    <w:p>
      <w:r>
        <w:t>Excess debt: $100M - ($40M × 2) = $100M - $80M = $20M</w:t>
      </w:r>
    </w:p>
    <w:p/>
    <w:p>
      <w:r>
        <w:t>Interest expense (8% rate):</w:t>
      </w:r>
    </w:p>
    <w:p>
      <w:pPr>
        <w:pStyle w:val="ListBullet"/>
      </w:pPr>
      <w:r>
        <w:t>Total interest: $100M × 8% = $8M</w:t>
      </w:r>
    </w:p>
    <w:p>
      <w:pPr>
        <w:pStyle w:val="ListBullet"/>
      </w:pPr>
      <w:r>
        <w:t>Deductible interest (on $80M): $80M × 8% = $6.4M</w:t>
      </w:r>
    </w:p>
    <w:p>
      <w:pPr>
        <w:pStyle w:val="ListBullet"/>
      </w:pPr>
      <w:r>
        <w:t>Non-deductible interest (on $20M): $20M × 8% = $1.6M</w:t>
      </w:r>
    </w:p>
    <w:p/>
    <w:p>
      <w:r>
        <w:t>India tax impact:</w:t>
      </w:r>
    </w:p>
    <w:p>
      <w:pPr>
        <w:pStyle w:val="ListBullet"/>
      </w:pPr>
      <w:r>
        <w:t>Disallowed deduction: $1.6M</w:t>
      </w:r>
    </w:p>
    <w:p>
      <w:pPr>
        <w:pStyle w:val="ListBullet"/>
      </w:pPr>
      <w:r>
        <w:t>Additional tax: $1.6M × 30% (India Corporate Income Tax (CIT)) = $480,000</w:t>
      </w:r>
    </w:p>
    <w:p>
      <w:r>
        <w:t>```</w:t>
      </w:r>
    </w:p>
    <w:p/>
    <w:p>
      <w:r>
        <w:t>**B. Arm's Length Debt Test**</w:t>
      </w:r>
    </w:p>
    <w:p/>
    <w:p>
      <w:r>
        <w:t>Some jurisdictions apply **arm's length test**: Would independent lender provide same debt level?</w:t>
      </w:r>
    </w:p>
    <w:p/>
    <w:p>
      <w:r>
        <w:t>**Factors**:</w:t>
      </w:r>
    </w:p>
    <w:p>
      <w:pPr>
        <w:pStyle w:val="ListBullet"/>
      </w:pPr>
      <w:r>
        <w:t>Borrower's creditworthiness (standalone, without parent support)</w:t>
      </w:r>
    </w:p>
    <w:p>
      <w:pPr>
        <w:pStyle w:val="ListBullet"/>
      </w:pPr>
      <w:r>
        <w:t>Industry norms (oil &amp; gas companies typically carry higher debt due to capital intensity)</w:t>
      </w:r>
    </w:p>
    <w:p>
      <w:pPr>
        <w:pStyle w:val="ListBullet"/>
      </w:pPr>
      <w:r>
        <w:t>Purpose of loan (project financing vs. working capital)</w:t>
      </w:r>
    </w:p>
    <w:p>
      <w:pPr>
        <w:pStyle w:val="ListBullet"/>
      </w:pPr>
      <w:r>
        <w:t>Collateral and covenants</w:t>
      </w:r>
    </w:p>
    <w:p/>
    <w:p>
      <w:pPr>
        <w:pStyle w:val="Heading3"/>
      </w:pPr>
      <w:r>
        <w:t>3.2 Debt vs. Equity Characterization</w:t>
      </w:r>
    </w:p>
    <w:p/>
    <w:p>
      <w:r>
        <w:t>**Issue**: If intercompany loan has **equity-like features**, tax authorities may **recharacterize** as equity; interest non-deductible.</w:t>
      </w:r>
    </w:p>
    <w:p/>
    <w:p>
      <w:r>
        <w:t>**Equity-like features**:</w:t>
      </w:r>
    </w:p>
    <w:p/>
    <w:p>
      <w:r>
        <w:t>| **Feature** | **Debt** | **Equity** | **Risk of Recharacterization** |</w:t>
      </w:r>
    </w:p>
    <w:p>
      <w:r>
        <w:t>|---|---|---|---|</w:t>
      </w:r>
    </w:p>
    <w:p>
      <w:r>
        <w:t>| **Fixed maturity** | Yes (5-10 years) | No (perpetual) | High if no maturity |</w:t>
      </w:r>
    </w:p>
    <w:p>
      <w:r>
        <w:t>| **Fixed interest rate** | Yes (8% annually) | No (dividend subject to profits) | High if interest contingent on profits |</w:t>
      </w:r>
    </w:p>
    <w:p>
      <w:r>
        <w:t>| **Security/collateral** | Often secured | Unsecured | High if unsecured and subordinated |</w:t>
      </w:r>
    </w:p>
    <w:p>
      <w:r>
        <w:t>| **Subordination** | Senior or pari passu | Subordinated to all creditors | High if subordinated |</w:t>
      </w:r>
    </w:p>
    <w:p>
      <w:r>
        <w:t>| **Convertibility** | Not convertible | N/A | High if convertible to equity |</w:t>
      </w:r>
    </w:p>
    <w:p>
      <w:r>
        <w:t>| **Participation in profits** | No (fixed interest only) | Yes (dividends from profits) | High if interest varies with profits |</w:t>
      </w:r>
    </w:p>
    <w:p/>
    <w:p>
      <w:r>
        <w:t>**Example of recharacterization**:</w:t>
      </w:r>
    </w:p>
    <w:p/>
    <w:p>
      <w:r>
        <w:t>```</w:t>
      </w:r>
    </w:p>
    <w:p>
      <w:r>
        <w:t>Intercompany loan terms:</w:t>
      </w:r>
    </w:p>
    <w:p>
      <w:pPr>
        <w:pStyle w:val="ListBullet"/>
      </w:pPr>
      <w:r>
        <w:t>Amount: $200M</w:t>
      </w:r>
    </w:p>
    <w:p>
      <w:pPr>
        <w:pStyle w:val="ListBullet"/>
      </w:pPr>
      <w:r>
        <w:t>Interest: 12% annually **if OpCo is profitable**; 0% if loss</w:t>
      </w:r>
    </w:p>
    <w:p>
      <w:pPr>
        <w:pStyle w:val="ListBullet"/>
      </w:pPr>
      <w:r>
        <w:t>Maturity: **None** (perpetual loan)</w:t>
      </w:r>
    </w:p>
    <w:p>
      <w:pPr>
        <w:pStyle w:val="ListBullet"/>
      </w:pPr>
      <w:r>
        <w:t>Security: **Unsecured, subordinated** to all external debt</w:t>
      </w:r>
    </w:p>
    <w:p>
      <w:pPr>
        <w:pStyle w:val="ListBullet"/>
      </w:pPr>
      <w:r>
        <w:t>Convertible: At lender's option, **convertible to 40% equity** in OpCo</w:t>
      </w:r>
    </w:p>
    <w:p/>
    <w:p>
      <w:r>
        <w:t>Tax authority analysis:</w:t>
      </w:r>
    </w:p>
    <w:p>
      <w:pPr>
        <w:pStyle w:val="ListBullet"/>
      </w:pPr>
      <w:r>
        <w:t>**Equity-like features**: Contingent interest, perpetual, subordinated, convertible</w:t>
      </w:r>
    </w:p>
    <w:p>
      <w:pPr>
        <w:pStyle w:val="ListBullet"/>
      </w:pPr>
      <w:r>
        <w:t>**Conclusion**: Loan is **equity in substance**; recharacterize as equity contribution</w:t>
      </w:r>
    </w:p>
    <w:p/>
    <w:p>
      <w:r>
        <w:t>Result:</w:t>
      </w:r>
    </w:p>
    <w:p>
      <w:pPr>
        <w:pStyle w:val="ListBullet"/>
      </w:pPr>
      <w:r>
        <w:t>$24M annual interest ($200M × 12%) **non-deductible**</w:t>
      </w:r>
    </w:p>
    <w:p>
      <w:pPr>
        <w:pStyle w:val="ListBullet"/>
      </w:pPr>
      <w:r>
        <w:t>Additional tax: $24M × 30% = $7.2M</w:t>
      </w:r>
    </w:p>
    <w:p>
      <w:pPr>
        <w:pStyle w:val="ListBullet"/>
      </w:pPr>
      <w:r>
        <w:t>Penalties for aggressive transfer pricing</w:t>
      </w:r>
    </w:p>
    <w:p>
      <w:r>
        <w:t>```</w:t>
      </w:r>
    </w:p>
    <w:p/>
    <w:p>
      <w:r>
        <w:t>**Best practice**: Ensure intercompany loans have **debt characteristics** (fixed maturity, fixed interest, senior or pari passu, non-convertible).</w:t>
      </w:r>
    </w:p>
    <w:p/>
    <w:p>
      <w:r>
        <w:t>---</w:t>
      </w:r>
    </w:p>
    <w:p/>
    <w:p>
      <w:pPr>
        <w:pStyle w:val="Heading2"/>
      </w:pPr>
      <w:r>
        <w:t>4. OECD BEPS Action 4: Interest Limitation Rules</w:t>
      </w:r>
    </w:p>
    <w:p/>
    <w:p>
      <w:pPr>
        <w:pStyle w:val="Heading3"/>
      </w:pPr>
      <w:r>
        <w:t>4.1 Overview</w:t>
      </w:r>
    </w:p>
    <w:p/>
    <w:p>
      <w:r>
        <w:t>**OECD BEPS Action 4** recommends limiting interest deductions to **10-30% of EBITDA** (earnings before interest, tax, depreciation, amortization).</w:t>
      </w:r>
    </w:p>
    <w:p/>
    <w:p>
      <w:r>
        <w:t>**Purpose**: Prevent **base erosion** through excessive interest deductions.</w:t>
      </w:r>
    </w:p>
    <w:p/>
    <w:p>
      <w:r>
        <w:t>**Adoption**: 40+ countries have implemented interest limitation rules (Germany, UK, France, Australia, India, Japan).</w:t>
      </w:r>
    </w:p>
    <w:p/>
    <w:p>
      <w:pPr>
        <w:pStyle w:val="Heading3"/>
      </w:pPr>
      <w:r>
        <w:t>4.2 Common Rules</w:t>
      </w:r>
    </w:p>
    <w:p/>
    <w:p>
      <w:r>
        <w:t>**A. Germany Interest Barrier Rule (Section 4h Einkommensteuergesetz (EStG))**</w:t>
      </w:r>
    </w:p>
    <w:p/>
    <w:p>
      <w:r>
        <w:t>**Limit**: Interest deductions capped at **30% of tax EBITDA**</w:t>
      </w:r>
    </w:p>
    <w:p/>
    <w:p>
      <w:r>
        <w:t>**Exceptions**:</w:t>
      </w:r>
    </w:p>
    <w:p>
      <w:pPr>
        <w:pStyle w:val="ListBullet"/>
      </w:pPr>
      <w:r>
        <w:t>Net interest expense &lt;€3M (de minimis)</w:t>
      </w:r>
    </w:p>
    <w:p>
      <w:pPr>
        <w:pStyle w:val="ListBullet"/>
      </w:pPr>
      <w:r>
        <w:t>Standalone entity (not part of group)</w:t>
      </w:r>
    </w:p>
    <w:p>
      <w:pPr>
        <w:pStyle w:val="ListBullet"/>
      </w:pPr>
      <w:r>
        <w:t>Group equity escape clause (entity's equity ratio ≥ group's equity ratio)</w:t>
      </w:r>
    </w:p>
    <w:p/>
    <w:p>
      <w:r>
        <w:t>**Example**:</w:t>
      </w:r>
    </w:p>
    <w:p/>
    <w:p>
      <w:r>
        <w:t>```</w:t>
      </w:r>
    </w:p>
    <w:p>
      <w:r>
        <w:t>OpCo (Germany):</w:t>
      </w:r>
    </w:p>
    <w:p>
      <w:pPr>
        <w:pStyle w:val="ListBullet"/>
      </w:pPr>
      <w:r>
        <w:t>EBITDA: €50M</w:t>
      </w:r>
    </w:p>
    <w:p>
      <w:pPr>
        <w:pStyle w:val="ListBullet"/>
      </w:pPr>
      <w:r>
        <w:t>Interest expense (intercompany loan from parent): €20M</w:t>
      </w:r>
    </w:p>
    <w:p/>
    <w:p>
      <w:r>
        <w:t>Interest limitation:</w:t>
      </w:r>
    </w:p>
    <w:p>
      <w:pPr>
        <w:pStyle w:val="ListBullet"/>
      </w:pPr>
      <w:r>
        <w:t>Maximum deductible interest: €50M × 30% = €15M</w:t>
      </w:r>
    </w:p>
    <w:p>
      <w:pPr>
        <w:pStyle w:val="ListBullet"/>
      </w:pPr>
      <w:r>
        <w:t>Actual interest: €20M</w:t>
      </w:r>
    </w:p>
    <w:p>
      <w:pPr>
        <w:pStyle w:val="ListBullet"/>
      </w:pPr>
      <w:r>
        <w:t>Disallowed interest: €20M - €15M = €5M</w:t>
      </w:r>
    </w:p>
    <w:p/>
    <w:p>
      <w:r>
        <w:t>Germany tax impact:</w:t>
      </w:r>
    </w:p>
    <w:p>
      <w:pPr>
        <w:pStyle w:val="ListBullet"/>
      </w:pPr>
      <w:r>
        <w:t>Disallowed deduction: €5M</w:t>
      </w:r>
    </w:p>
    <w:p>
      <w:pPr>
        <w:pStyle w:val="ListBullet"/>
      </w:pPr>
      <w:r>
        <w:t>Additional tax: €5M × 30% (Germany CIT 15.825% + trade tax ~14% average) = €1.5M</w:t>
      </w:r>
    </w:p>
    <w:p/>
    <w:p>
      <w:r>
        <w:t>Carryforward: €5M disallowed interest can be carried forward indefinitely (deducted in future years if EBITDA sufficient)</w:t>
      </w:r>
    </w:p>
    <w:p>
      <w:r>
        <w:t>```</w:t>
      </w:r>
    </w:p>
    <w:p/>
    <w:p>
      <w:r>
        <w:t>**B. UK Corporate Interest Restriction (CIR)**</w:t>
      </w:r>
    </w:p>
    <w:p/>
    <w:p>
      <w:r>
        <w:t>**Limit**: Interest deductions capped at **30% of tax EBITDA**</w:t>
      </w:r>
    </w:p>
    <w:p/>
    <w:p>
      <w:r>
        <w:t>**Exceptions**:</w:t>
      </w:r>
    </w:p>
    <w:p>
      <w:pPr>
        <w:pStyle w:val="ListBullet"/>
      </w:pPr>
      <w:r>
        <w:t>Group net interest expense &lt;£2M (de minimis)</w:t>
      </w:r>
    </w:p>
    <w:p>
      <w:pPr>
        <w:pStyle w:val="ListBullet"/>
      </w:pPr>
      <w:r>
        <w:t>Public benefit infrastructure exemption</w:t>
      </w:r>
    </w:p>
    <w:p>
      <w:pPr>
        <w:pStyle w:val="ListBullet"/>
      </w:pPr>
      <w:r>
        <w:t>Group ratio method (entity can deduct interest up to group's net interest/EBITDA ratio)</w:t>
      </w:r>
    </w:p>
    <w:p/>
    <w:p>
      <w:r>
        <w:t>**Example**:</w:t>
      </w:r>
    </w:p>
    <w:p/>
    <w:p>
      <w:r>
        <w:t>```</w:t>
      </w:r>
    </w:p>
    <w:p>
      <w:r>
        <w:t>OpCo (UK):</w:t>
      </w:r>
    </w:p>
    <w:p>
      <w:pPr>
        <w:pStyle w:val="ListBullet"/>
      </w:pPr>
      <w:r>
        <w:t>EBITDA: £100M</w:t>
      </w:r>
    </w:p>
    <w:p>
      <w:pPr>
        <w:pStyle w:val="ListBullet"/>
      </w:pPr>
      <w:r>
        <w:t>Interest expense: £40M (intercompany loan from Singapore parent)</w:t>
      </w:r>
    </w:p>
    <w:p/>
    <w:p>
      <w:r>
        <w:t>Interest limitation (30% EBITDA):</w:t>
      </w:r>
    </w:p>
    <w:p>
      <w:pPr>
        <w:pStyle w:val="ListBullet"/>
      </w:pPr>
      <w:r>
        <w:t>Maximum deductible: £100M × 30% = £30M</w:t>
      </w:r>
    </w:p>
    <w:p>
      <w:pPr>
        <w:pStyle w:val="ListBullet"/>
      </w:pPr>
      <w:r>
        <w:t>Disallowed: £40M - £30M = £10M</w:t>
      </w:r>
    </w:p>
    <w:p/>
    <w:p>
      <w:r>
        <w:t>UK tax impact:</w:t>
      </w:r>
    </w:p>
    <w:p>
      <w:pPr>
        <w:pStyle w:val="ListBullet"/>
      </w:pPr>
      <w:r>
        <w:t>Additional tax: £10M × 25% (UK CIT rate for large companies) = £2.5M</w:t>
      </w:r>
    </w:p>
    <w:p>
      <w:r>
        <w:t>```</w:t>
      </w:r>
    </w:p>
    <w:p/>
    <w:p>
      <w:pPr>
        <w:pStyle w:val="Heading3"/>
      </w:pPr>
      <w:r>
        <w:t>4.3 Group Ratio Method (Alternative)</w:t>
      </w:r>
    </w:p>
    <w:p/>
    <w:p>
      <w:r>
        <w:t>**OECD Action 4**: Allows entity to deduct interest up to **group's external net interest/EBITDA ratio**.</w:t>
      </w:r>
    </w:p>
    <w:p/>
    <w:p>
      <w:r>
        <w:t>**Rationale**: If group has high external debt (due to business model, not profit shifting), entities should be allowed same ratio.</w:t>
      </w:r>
    </w:p>
    <w:p/>
    <w:p>
      <w:r>
        <w:t>**Example**:</w:t>
      </w:r>
    </w:p>
    <w:p/>
    <w:p>
      <w:r>
        <w:t>```</w:t>
      </w:r>
    </w:p>
    <w:p>
      <w:r>
        <w:t>Group consolidated:</w:t>
      </w:r>
    </w:p>
    <w:p>
      <w:pPr>
        <w:pStyle w:val="ListBullet"/>
      </w:pPr>
      <w:r>
        <w:t>External interest expense: $100M (to independent banks)</w:t>
      </w:r>
    </w:p>
    <w:p>
      <w:pPr>
        <w:pStyle w:val="ListBullet"/>
      </w:pPr>
      <w:r>
        <w:t>EBITDA: $500M</w:t>
      </w:r>
    </w:p>
    <w:p>
      <w:pPr>
        <w:pStyle w:val="ListBullet"/>
      </w:pPr>
      <w:r>
        <w:t>Group ratio: $100M ÷ $500M = 20%</w:t>
      </w:r>
    </w:p>
    <w:p/>
    <w:p>
      <w:r>
        <w:t>OpCo (UK):</w:t>
      </w:r>
    </w:p>
    <w:p>
      <w:pPr>
        <w:pStyle w:val="ListBullet"/>
      </w:pPr>
      <w:r>
        <w:t>EBITDA: £100M</w:t>
      </w:r>
    </w:p>
    <w:p>
      <w:pPr>
        <w:pStyle w:val="ListBullet"/>
      </w:pPr>
      <w:r>
        <w:t>Interest expense: £40M (intercompany)</w:t>
      </w:r>
    </w:p>
    <w:p/>
    <w:p>
      <w:r>
        <w:t>Standard limitation (30% EBITDA): £30M deductible</w:t>
      </w:r>
    </w:p>
    <w:p>
      <w:r>
        <w:t>Group ratio method (20% EBITDA): £100M × 20% = £20M deductible</w:t>
      </w:r>
    </w:p>
    <w:p/>
    <w:p>
      <w:r>
        <w:t>Comparison:</w:t>
      </w:r>
    </w:p>
    <w:p>
      <w:pPr>
        <w:pStyle w:val="ListBullet"/>
      </w:pPr>
      <w:r>
        <w:t>Standard: £30M deductible (£10M disallowed)</w:t>
      </w:r>
    </w:p>
    <w:p>
      <w:pPr>
        <w:pStyle w:val="ListBullet"/>
      </w:pPr>
      <w:r>
        <w:t>Group ratio: £20M deductible (£20M disallowed)</w:t>
      </w:r>
    </w:p>
    <w:p/>
    <w:p>
      <w:r>
        <w:t>Result: Standard method (30%) is more favorable; OpCo uses standard method</w:t>
      </w:r>
    </w:p>
    <w:p>
      <w:r>
        <w:t>```</w:t>
      </w:r>
    </w:p>
    <w:p/>
    <w:p>
      <w:r>
        <w:t>**When group ratio method helps**:</w:t>
      </w:r>
    </w:p>
    <w:p/>
    <w:p>
      <w:r>
        <w:t>If group external debt ratio is **&gt;30%**, group ratio method allows **higher deduction** than standard 30% limit.</w:t>
      </w:r>
    </w:p>
    <w:p/>
    <w:p>
      <w:r>
        <w:t>---</w:t>
      </w:r>
    </w:p>
    <w:p/>
    <w:p>
      <w:pPr>
        <w:pStyle w:val="Heading2"/>
      </w:pPr>
      <w:r>
        <w:t>5. Treasury Company Remuneration</w:t>
      </w:r>
    </w:p>
    <w:p/>
    <w:p>
      <w:pPr>
        <w:pStyle w:val="Heading3"/>
      </w:pPr>
      <w:r>
        <w:t>5.1 Functions of Treasury Company</w:t>
      </w:r>
    </w:p>
    <w:p/>
    <w:p>
      <w:r>
        <w:t>**Typical functions**:</w:t>
      </w:r>
    </w:p>
    <w:p>
      <w:r>
        <w:t>1. **Centralized borrowing**: Raise external financing (bank loans, bonds); on-lend to operating affiliates</w:t>
      </w:r>
    </w:p>
    <w:p>
      <w:r>
        <w:t>2. **Cash pooling**: Consolidate cash from operating affiliates; reduce external borrowing</w:t>
      </w:r>
    </w:p>
    <w:p>
      <w:r>
        <w:t>3. **Foreign exchange management**: Hedge FX risk; provide FX forward contracts to affiliates</w:t>
      </w:r>
    </w:p>
    <w:p>
      <w:r>
        <w:t>4. **Interest rate risk management**: Hedge interest rate risk through swaps</w:t>
      </w:r>
    </w:p>
    <w:p>
      <w:r>
        <w:t>5. **Guarantee provision**: Provide guarantees for affiliates' bank loans (see Chapter 57)</w:t>
      </w:r>
    </w:p>
    <w:p/>
    <w:p>
      <w:pPr>
        <w:pStyle w:val="Heading3"/>
      </w:pPr>
      <w:r>
        <w:t>5.2 Transfer Pricing Methods</w:t>
      </w:r>
    </w:p>
    <w:p/>
    <w:p>
      <w:r>
        <w:t>**A. Interest Margin (Spread)**</w:t>
      </w:r>
    </w:p>
    <w:p/>
    <w:p>
      <w:r>
        <w:t>Treasury company earns **interest spread** between:</w:t>
      </w:r>
    </w:p>
    <w:p>
      <w:pPr>
        <w:pStyle w:val="ListBullet"/>
      </w:pPr>
      <w:r>
        <w:t>**Borrowing rate** (from external banks)</w:t>
      </w:r>
    </w:p>
    <w:p>
      <w:pPr>
        <w:pStyle w:val="ListBullet"/>
      </w:pPr>
      <w:r>
        <w:t>**On-lending rate** (to operating affiliates)</w:t>
      </w:r>
    </w:p>
    <w:p/>
    <w:p>
      <w:r>
        <w:t>**Typical spread**: **0.5-2.0%** depending on functions, risks, and capital employed.</w:t>
      </w:r>
    </w:p>
    <w:p/>
    <w:p>
      <w:r>
        <w:t>**Example**:</w:t>
      </w:r>
    </w:p>
    <w:p/>
    <w:p>
      <w:r>
        <w:t>```</w:t>
      </w:r>
    </w:p>
    <w:p>
      <w:r>
        <w:t>Treasury Co. (Netherlands):</w:t>
      </w:r>
    </w:p>
    <w:p>
      <w:pPr>
        <w:pStyle w:val="ListBullet"/>
      </w:pPr>
      <w:r>
        <w:t>Borrows $500M from banks at 6.0%</w:t>
      </w:r>
    </w:p>
    <w:p>
      <w:pPr>
        <w:pStyle w:val="ListBullet"/>
      </w:pPr>
      <w:r>
        <w:t>On-lends to operating affiliates at 7.5%</w:t>
      </w:r>
    </w:p>
    <w:p>
      <w:pPr>
        <w:pStyle w:val="ListBullet"/>
      </w:pPr>
      <w:r>
        <w:t>Interest spread: 1.5%</w:t>
      </w:r>
    </w:p>
    <w:p/>
    <w:p>
      <w:r>
        <w:t>Annual revenue (interest margin):</w:t>
      </w:r>
    </w:p>
    <w:p>
      <w:pPr>
        <w:pStyle w:val="ListBullet"/>
      </w:pPr>
      <w:r>
        <w:t>Interest received from affiliates: $500M × 7.5% = $37.5M</w:t>
      </w:r>
    </w:p>
    <w:p>
      <w:pPr>
        <w:pStyle w:val="ListBullet"/>
      </w:pPr>
      <w:r>
        <w:t>Interest paid to banks: $500M × 6.0% = $30.0M</w:t>
      </w:r>
    </w:p>
    <w:p>
      <w:pPr>
        <w:pStyle w:val="ListBullet"/>
      </w:pPr>
      <w:r>
        <w:t>Net interest income (spread): $37.5M - $30.0M = $7.5M</w:t>
      </w:r>
    </w:p>
    <w:p/>
    <w:p>
      <w:r>
        <w:t>Treasury Co. costs:</w:t>
      </w:r>
    </w:p>
    <w:p>
      <w:pPr>
        <w:pStyle w:val="ListBullet"/>
      </w:pPr>
      <w:r>
        <w:t>Treasury personnel (10 professionals): $2.0M</w:t>
      </w:r>
    </w:p>
    <w:p>
      <w:pPr>
        <w:pStyle w:val="ListBullet"/>
      </w:pPr>
      <w:r>
        <w:t>IT systems (treasury management): $500K</w:t>
      </w:r>
    </w:p>
    <w:p>
      <w:pPr>
        <w:pStyle w:val="ListBullet"/>
      </w:pPr>
      <w:r>
        <w:t>Overhead: $500K</w:t>
      </w:r>
    </w:p>
    <w:p>
      <w:r>
        <w:t>Total costs: $3.0M</w:t>
      </w:r>
    </w:p>
    <w:p/>
    <w:p>
      <w:r>
        <w:t>Treasury Co. profit: $7.5M - $3.0M = $4.5M</w:t>
      </w:r>
    </w:p>
    <w:p>
      <w:r>
        <w:t>Operating margin: $4.5M ÷ $7.5M = 60% (high profit for limited-risk treasury function)</w:t>
      </w:r>
    </w:p>
    <w:p>
      <w:r>
        <w:t>```</w:t>
      </w:r>
    </w:p>
    <w:p/>
    <w:p>
      <w:r>
        <w:t>**Benchmarking**: Compare spread (1.5%) and operating margin (60%) to independent treasury service providers and captive finance companies.</w:t>
      </w:r>
    </w:p>
    <w:p/>
    <w:p>
      <w:r>
        <w:t>**Typical arm's length ranges**:</w:t>
      </w:r>
    </w:p>
    <w:p>
      <w:pPr>
        <w:pStyle w:val="ListBullet"/>
      </w:pPr>
      <w:r>
        <w:t>**Interest spread**: 0.5-2.0%</w:t>
      </w:r>
    </w:p>
    <w:p>
      <w:pPr>
        <w:pStyle w:val="ListBullet"/>
      </w:pPr>
      <w:r>
        <w:t>**Operating margin**: 15-30%</w:t>
      </w:r>
    </w:p>
    <w:p/>
    <w:p>
      <w:r>
        <w:t>**Analysis**: 1.5% spread is arm's length; but 60% operating margin is excessive (suggests Treasury Co. is overcapitalized or underperforms functions).</w:t>
      </w:r>
    </w:p>
    <w:p/>
    <w:p>
      <w:r>
        <w:t>**B. Service Fee (Cost Plus)**</w:t>
      </w:r>
    </w:p>
    <w:p/>
    <w:p>
      <w:r>
        <w:t>Alternative: Treasury company charges **service fees** (cost plus markup) instead of earning interest spread.</w:t>
      </w:r>
    </w:p>
    <w:p/>
    <w:p>
      <w:r>
        <w:t>**Application**: When treasury provides **cash pooling**, **hedging**, and **advisory services** without on-lending.</w:t>
      </w:r>
    </w:p>
    <w:p/>
    <w:p>
      <w:r>
        <w:t>**Example**:</w:t>
      </w:r>
    </w:p>
    <w:p/>
    <w:p>
      <w:r>
        <w:t>```</w:t>
      </w:r>
    </w:p>
    <w:p>
      <w:r>
        <w:t>Treasury Co. (Singapore) provides:</w:t>
      </w:r>
    </w:p>
    <w:p>
      <w:pPr>
        <w:pStyle w:val="ListBullet"/>
      </w:pPr>
      <w:r>
        <w:t>Cash pooling administration</w:t>
      </w:r>
    </w:p>
    <w:p>
      <w:pPr>
        <w:pStyle w:val="ListBullet"/>
      </w:pPr>
      <w:r>
        <w:t>FX hedging (forward contracts)</w:t>
      </w:r>
    </w:p>
    <w:p>
      <w:pPr>
        <w:pStyle w:val="ListBullet"/>
      </w:pPr>
      <w:r>
        <w:t>Interest rate hedging (swaps)</w:t>
      </w:r>
    </w:p>
    <w:p>
      <w:pPr>
        <w:pStyle w:val="ListBullet"/>
      </w:pPr>
      <w:r>
        <w:t>Treasury advisory</w:t>
      </w:r>
    </w:p>
    <w:p/>
    <w:p>
      <w:r>
        <w:t>Annual costs: $5M (personnel, systems, overhead)</w:t>
      </w:r>
    </w:p>
    <w:p>
      <w:r>
        <w:t>Markup: 10%</w:t>
      </w:r>
    </w:p>
    <w:p>
      <w:r>
        <w:t>Service fee: $5M × 1.10 = $5.5M</w:t>
      </w:r>
    </w:p>
    <w:p/>
    <w:p>
      <w:r>
        <w:t>Allocation to affiliates: Based on size of operations (assets, revenue, or headcount)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6. Documentation Requirements</w:t>
      </w:r>
    </w:p>
    <w:p/>
    <w:p>
      <w:pPr>
        <w:pStyle w:val="Heading3"/>
      </w:pPr>
      <w:r>
        <w:t>6.1 Loan Agreement</w:t>
      </w:r>
    </w:p>
    <w:p/>
    <w:p>
      <w:r>
        <w:t>**Key terms**:</w:t>
      </w:r>
    </w:p>
    <w:p>
      <w:pPr>
        <w:pStyle w:val="ListBullet"/>
      </w:pPr>
      <w:r>
        <w:t>**Principal amount**: $100M</w:t>
      </w:r>
    </w:p>
    <w:p>
      <w:pPr>
        <w:pStyle w:val="ListBullet"/>
      </w:pPr>
      <w:r>
        <w:t>**Interest rate**: 8.5% per annum (fixed or floating)</w:t>
      </w:r>
    </w:p>
    <w:p>
      <w:pPr>
        <w:pStyle w:val="ListBullet"/>
      </w:pPr>
      <w:r>
        <w:t>**Maturity**: 7 years</w:t>
      </w:r>
    </w:p>
    <w:p>
      <w:pPr>
        <w:pStyle w:val="ListBullet"/>
      </w:pPr>
      <w:r>
        <w:t>**Security**: Unsecured (or specify collateral)</w:t>
      </w:r>
    </w:p>
    <w:p>
      <w:pPr>
        <w:pStyle w:val="ListBullet"/>
      </w:pPr>
      <w:r>
        <w:t>**Covenants**: Financial ratios (e.g., debt/EBITDA &lt;3x, interest coverage &gt;2x)</w:t>
      </w:r>
    </w:p>
    <w:p>
      <w:pPr>
        <w:pStyle w:val="ListBullet"/>
      </w:pPr>
      <w:r>
        <w:t>**Events of default**: Non-payment, breach of covenants, insolvency</w:t>
      </w:r>
    </w:p>
    <w:p>
      <w:pPr>
        <w:pStyle w:val="ListBullet"/>
      </w:pPr>
      <w:r>
        <w:t>**Governing law**: English law, New York law, etc.</w:t>
      </w:r>
    </w:p>
    <w:p/>
    <w:p>
      <w:pPr>
        <w:pStyle w:val="Heading3"/>
      </w:pPr>
      <w:r>
        <w:t>6.2 Transfer Pricing Documentation</w:t>
      </w:r>
    </w:p>
    <w:p/>
    <w:p>
      <w:r>
        <w:t>**Required components**:</w:t>
      </w:r>
    </w:p>
    <w:p/>
    <w:p>
      <w:r>
        <w:t>1. **Credit rating analysis**: Borrower's standalone credit rating (financial ratios, country risk, industry analysis)</w:t>
      </w:r>
    </w:p>
    <w:p>
      <w:r>
        <w:t>2. **Interest rate benchmarking**: Comparable bonds, bank loans, credit spreads for borrower's credit rating</w:t>
      </w:r>
    </w:p>
    <w:p>
      <w:r>
        <w:t>3. **Comparables analysis** (if using CUT): External loans by borrower or comparable companies</w:t>
      </w:r>
    </w:p>
    <w:p>
      <w:r>
        <w:t>4. **Thin capitalization analysis**: Demonstrate compliance with debt-to-equity safe harbors</w:t>
      </w:r>
    </w:p>
    <w:p>
      <w:r>
        <w:t>5. **Arm's length debt capacity**: Analysis of maximum debt independent lender would provide</w:t>
      </w:r>
    </w:p>
    <w:p/>
    <w:p>
      <w:r>
        <w:t>---</w:t>
      </w:r>
    </w:p>
    <w:p/>
    <w:p>
      <w:pPr>
        <w:pStyle w:val="Heading2"/>
      </w:pPr>
      <w:r>
        <w:t>7. Worked Example</w:t>
      </w:r>
    </w:p>
    <w:p/>
    <w:p>
      <w:r>
        <w:t>═══════════════════════════════════════════</w:t>
      </w:r>
    </w:p>
    <w:p>
      <w:r>
        <w:t>**WORKED EXAMPLE: Intercompany Loan and Thin Capitalization**</w:t>
      </w:r>
    </w:p>
    <w:p>
      <w:r>
        <w:t>═══════════════════════════════════════════</w:t>
      </w:r>
    </w:p>
    <w:p/>
    <w:p>
      <w:r>
        <w:t>**Facts:**</w:t>
      </w:r>
    </w:p>
    <w:p/>
    <w:p>
      <w:r>
        <w:t>NigeriaOil Ltd. (Nigeria subsidiary) requires $200M financing for offshore field development.</w:t>
      </w:r>
    </w:p>
    <w:p/>
    <w:p>
      <w:r>
        <w:t>**Financing options**:</w:t>
      </w:r>
    </w:p>
    <w:p/>
    <w:p>
      <w:r>
        <w:t>**Option 1: External bank loan**</w:t>
      </w:r>
    </w:p>
    <w:p>
      <w:pPr>
        <w:pStyle w:val="ListBullet"/>
      </w:pPr>
      <w:r>
        <w:t>Lender: HSBC</w:t>
      </w:r>
    </w:p>
    <w:p>
      <w:pPr>
        <w:pStyle w:val="ListBullet"/>
      </w:pPr>
      <w:r>
        <w:t>Amount: $200M</w:t>
      </w:r>
    </w:p>
    <w:p>
      <w:pPr>
        <w:pStyle w:val="ListBullet"/>
      </w:pPr>
      <w:r>
        <w:t>Interest rate: 10.0% (reflecting Nigeria country risk, OpCo's BB credit rating)</w:t>
      </w:r>
    </w:p>
    <w:p>
      <w:pPr>
        <w:pStyle w:val="ListBullet"/>
      </w:pPr>
      <w:r>
        <w:t>Term: 10 years</w:t>
      </w:r>
    </w:p>
    <w:p>
      <w:pPr>
        <w:pStyle w:val="ListBullet"/>
      </w:pPr>
      <w:r>
        <w:t>**Requires parent guarantee** (reduces rate to 10.0%; without guarantee, rate would be 12.0%)</w:t>
      </w:r>
    </w:p>
    <w:p/>
    <w:p>
      <w:r>
        <w:t>**Option 2: Intercompany loan from parent**</w:t>
      </w:r>
    </w:p>
    <w:p>
      <w:pPr>
        <w:pStyle w:val="ListBullet"/>
      </w:pPr>
      <w:r>
        <w:t>Lender: GlobalPetro plc (UK parent, A credit rating)</w:t>
      </w:r>
    </w:p>
    <w:p>
      <w:pPr>
        <w:pStyle w:val="ListBullet"/>
      </w:pPr>
      <w:r>
        <w:t>Amount: $200M</w:t>
      </w:r>
    </w:p>
    <w:p>
      <w:pPr>
        <w:pStyle w:val="ListBullet"/>
      </w:pPr>
      <w:r>
        <w:t>Proposed interest rate: 7.0%</w:t>
      </w:r>
    </w:p>
    <w:p>
      <w:pPr>
        <w:pStyle w:val="ListBullet"/>
      </w:pPr>
      <w:r>
        <w:t>Term: 10 years</w:t>
      </w:r>
    </w:p>
    <w:p>
      <w:pPr>
        <w:pStyle w:val="ListBullet"/>
      </w:pPr>
      <w:r>
        <w:t>No guarantee (parent is lender)</w:t>
      </w:r>
    </w:p>
    <w:p/>
    <w:p>
      <w:r>
        <w:t>**NigeriaOil financial data**:</w:t>
      </w:r>
    </w:p>
    <w:p>
      <w:pPr>
        <w:pStyle w:val="ListBullet"/>
      </w:pPr>
      <w:r>
        <w:t>Equity: $100M</w:t>
      </w:r>
    </w:p>
    <w:p>
      <w:pPr>
        <w:pStyle w:val="ListBullet"/>
      </w:pPr>
      <w:r>
        <w:t>Existing debt: $50M (external)</w:t>
      </w:r>
    </w:p>
    <w:p>
      <w:pPr>
        <w:pStyle w:val="ListBullet"/>
      </w:pPr>
      <w:r>
        <w:t>New debt (proposed): $200M</w:t>
      </w:r>
    </w:p>
    <w:p>
      <w:pPr>
        <w:pStyle w:val="ListBullet"/>
      </w:pPr>
      <w:r>
        <w:t>Total debt (post-financing): $250M</w:t>
      </w:r>
    </w:p>
    <w:p>
      <w:pPr>
        <w:pStyle w:val="ListBullet"/>
      </w:pPr>
      <w:r>
        <w:t>Debt-to-equity ratio: 2.5:1</w:t>
      </w:r>
    </w:p>
    <w:p/>
    <w:p>
      <w:r>
        <w:t>**Nigeria thin capitalization rule**: 2:1 safe harbor (excess debt interest non-deductible)</w:t>
      </w:r>
    </w:p>
    <w:p/>
    <w:p>
      <w:r>
        <w:t>**Requirements**:</w:t>
      </w:r>
    </w:p>
    <w:p/>
    <w:p>
      <w:r>
        <w:t>1. Determine arm's length interest rate for intercompany loan</w:t>
      </w:r>
    </w:p>
    <w:p>
      <w:r>
        <w:t>2. Calculate thin capitalization impact</w:t>
      </w:r>
    </w:p>
    <w:p>
      <w:r>
        <w:t>3. Compare Option 1 (external) vs. Option 2 (intercompany)</w:t>
      </w:r>
    </w:p>
    <w:p>
      <w:r>
        <w:t>4. Recommend optimal structure</w:t>
      </w:r>
    </w:p>
    <w:p/>
    <w:p>
      <w:r>
        <w:t>**Analysis:**</w:t>
      </w:r>
    </w:p>
    <w:p/>
    <w:p>
      <w:r>
        <w:t>**Step 1: Arm's Length Interest Rate Determination**</w:t>
      </w:r>
    </w:p>
    <w:p/>
    <w:p>
      <w:r>
        <w:t>**Method: Credit Rating Adjustment**</w:t>
      </w:r>
    </w:p>
    <w:p/>
    <w:p>
      <w:r>
        <w:t>**NigeriaOil standalone credit rating**: BB (based on financial analysis)</w:t>
      </w:r>
    </w:p>
    <w:p/>
    <w:p>
      <w:r>
        <w:t>**Market interest rates for BB credit (10-year, USD, 2024)**:</w:t>
      </w:r>
    </w:p>
    <w:p>
      <w:pPr>
        <w:pStyle w:val="ListBullet"/>
      </w:pPr>
      <w:r>
        <w:t>BB-rated oil &amp; gas bonds: 9.5-11.0%</w:t>
      </w:r>
    </w:p>
    <w:p>
      <w:pPr>
        <w:pStyle w:val="ListBullet"/>
      </w:pPr>
      <w:r>
        <w:t>Median: 10.25%</w:t>
      </w:r>
    </w:p>
    <w:p/>
    <w:p>
      <w:r>
        <w:t>**Adjustments**:</w:t>
      </w:r>
    </w:p>
    <w:p>
      <w:pPr>
        <w:pStyle w:val="ListBullet"/>
      </w:pPr>
      <w:r>
        <w:t>**Country risk (Nigeria)**: +1.0% (political risk, currency risk, regulatory risk)</w:t>
      </w:r>
    </w:p>
    <w:p>
      <w:pPr>
        <w:pStyle w:val="ListBullet"/>
      </w:pPr>
      <w:r>
        <w:t>**Unsecured**: +0.5% (no collateral)</w:t>
      </w:r>
    </w:p>
    <w:p>
      <w:pPr>
        <w:pStyle w:val="ListBullet"/>
      </w:pPr>
      <w:r>
        <w:t>**Adjusted rate**: 10.25% + 1.0% + 0.5% = **11.75%**</w:t>
      </w:r>
    </w:p>
    <w:p/>
    <w:p>
      <w:r>
        <w:t>**Comparison to external loan**:</w:t>
      </w:r>
    </w:p>
    <w:p>
      <w:pPr>
        <w:pStyle w:val="ListBullet"/>
      </w:pPr>
      <w:r>
        <w:t>External bank (with parent guarantee): 10.0%</w:t>
      </w:r>
    </w:p>
    <w:p>
      <w:pPr>
        <w:pStyle w:val="ListBullet"/>
      </w:pPr>
      <w:r>
        <w:t>External bank (without guarantee): 12.0%</w:t>
      </w:r>
    </w:p>
    <w:p>
      <w:pPr>
        <w:pStyle w:val="ListBullet"/>
      </w:pPr>
      <w:r>
        <w:t>Arm's length rate (standalone): 11.75%</w:t>
      </w:r>
    </w:p>
    <w:p/>
    <w:p>
      <w:r>
        <w:t>**Conclusion**: Arm's length rate for intercompany loan is **11.5-12.0%** (within range of standalone rate and external bank rate without guarantee).</w:t>
      </w:r>
    </w:p>
    <w:p/>
    <w:p>
      <w:r>
        <w:t>**Proposed intercompany rate (7.0%)** is **significantly below** arm's length (11.5-12.0%).</w:t>
      </w:r>
    </w:p>
    <w:p/>
    <w:p>
      <w:r>
        <w:t>**Tax authority risk**: Nigeria may challenge 7.0% as too low; adjust to 11.75%, disallowing $200M × (11.75% - 7.0%) = **$9.5M annually**.</w:t>
      </w:r>
    </w:p>
    <w:p/>
    <w:p>
      <w:r>
        <w:t>**Step 2: Thin Capitalization Analysis**</w:t>
      </w:r>
    </w:p>
    <w:p/>
    <w:p>
      <w:r>
        <w:t>**Nigeria safe harbor**: 2:1 debt-to-equity ratio</w:t>
      </w:r>
    </w:p>
    <w:p/>
    <w:p>
      <w:r>
        <w:t>**NigeriaOil capital structure** (post-intercompany loan):</w:t>
      </w:r>
    </w:p>
    <w:p>
      <w:r>
        <w:t>```</w:t>
      </w:r>
    </w:p>
    <w:p>
      <w:r>
        <w:t>Equity: $100M</w:t>
      </w:r>
    </w:p>
    <w:p>
      <w:r>
        <w:t>Total debt: $250M ($50M existing + $200M new)</w:t>
      </w:r>
    </w:p>
    <w:p>
      <w:r>
        <w:t>Debt-to-equity ratio: 2.5:1</w:t>
      </w:r>
    </w:p>
    <w:p>
      <w:r>
        <w:t>```</w:t>
      </w:r>
    </w:p>
    <w:p/>
    <w:p>
      <w:r>
        <w:t>**Excess debt calculation**:</w:t>
      </w:r>
    </w:p>
    <w:p>
      <w:r>
        <w:t>```</w:t>
      </w:r>
    </w:p>
    <w:p>
      <w:r>
        <w:t>Safe harbor debt: $100M equity × 2 = $200M</w:t>
      </w:r>
    </w:p>
    <w:p>
      <w:r>
        <w:t>Actual debt: $250M</w:t>
      </w:r>
    </w:p>
    <w:p>
      <w:r>
        <w:t>Excess debt: $250M - $200M = $50M</w:t>
      </w:r>
    </w:p>
    <w:p>
      <w:r>
        <w:t>```</w:t>
      </w:r>
    </w:p>
    <w:p/>
    <w:p>
      <w:r>
        <w:t>**Interest deductibility** (assuming 11.75% arm's length rate):</w:t>
      </w:r>
    </w:p>
    <w:p/>
    <w:p>
      <w:r>
        <w:t>```</w:t>
      </w:r>
    </w:p>
    <w:p>
      <w:r>
        <w:t>Interest on allowable debt ($200M): $200M × 11.75% = $23.5M (deductible)</w:t>
      </w:r>
    </w:p>
    <w:p>
      <w:r>
        <w:t>Interest on excess debt ($50M): $50M × 11.75% = $5.875M (non-deductible)</w:t>
      </w:r>
    </w:p>
    <w:p/>
    <w:p>
      <w:r>
        <w:t>Nigeria tax impact:</w:t>
      </w:r>
    </w:p>
    <w:p>
      <w:pPr>
        <w:pStyle w:val="ListBullet"/>
      </w:pPr>
      <w:r>
        <w:t>Disallowed deduction: $5.875M</w:t>
      </w:r>
    </w:p>
    <w:p>
      <w:pPr>
        <w:pStyle w:val="ListBullet"/>
      </w:pPr>
      <w:r>
        <w:t>Additional tax: $5.875M × 30% (Nigeria Companies Income Tax rate) = $1.7625M</w:t>
      </w:r>
    </w:p>
    <w:p>
      <w:r>
        <w:t>```</w:t>
      </w:r>
    </w:p>
    <w:p/>
    <w:p>
      <w:r>
        <w:t>**Step 3: Option Comparison**</w:t>
      </w:r>
    </w:p>
    <w:p/>
    <w:p>
      <w:r>
        <w:t>**Option 1: External Bank Loan ($200M at 10.0% with parent guarantee)**</w:t>
      </w:r>
    </w:p>
    <w:p/>
    <w:p>
      <w:r>
        <w:t>```</w:t>
      </w:r>
    </w:p>
    <w:p>
      <w:r>
        <w:t>Annual interest: $200M × 10.0% = $20.0M</w:t>
      </w:r>
    </w:p>
    <w:p>
      <w:r>
        <w:t>Guarantee fee (to parent): $200M × 1.5% = $3.0M (see Chapter 57)</w:t>
      </w:r>
    </w:p>
    <w:p>
      <w:r>
        <w:t>Total annual cost: $20.0M + $3.0M = $23.0M</w:t>
      </w:r>
    </w:p>
    <w:p/>
    <w:p>
      <w:r>
        <w:t>Thin capitalization:</w:t>
      </w:r>
    </w:p>
    <w:p>
      <w:pPr>
        <w:pStyle w:val="ListBullet"/>
      </w:pPr>
      <w:r>
        <w:t>Total debt: $250M (2.5:1 ratio; excess $50M)</w:t>
      </w:r>
    </w:p>
    <w:p>
      <w:pPr>
        <w:pStyle w:val="ListBullet"/>
      </w:pPr>
      <w:r>
        <w:t>Interest on allowable debt: $200M × 10.0% = $20.0M (deductible)</w:t>
      </w:r>
    </w:p>
    <w:p>
      <w:pPr>
        <w:pStyle w:val="ListBullet"/>
      </w:pPr>
      <w:r>
        <w:t>Interest on excess debt: $50M × 10.0% = $5.0M (non-deductible)</w:t>
      </w:r>
    </w:p>
    <w:p>
      <w:pPr>
        <w:pStyle w:val="ListBullet"/>
      </w:pPr>
      <w:r>
        <w:t>Guarantee fee on allowable debt: $200M × 1.5% = $3.0M (deductible)</w:t>
      </w:r>
    </w:p>
    <w:p>
      <w:pPr>
        <w:pStyle w:val="ListBullet"/>
      </w:pPr>
      <w:r>
        <w:t>Guarantee fee on excess debt: $50M × 1.5% = $750K (non-deductible)</w:t>
      </w:r>
    </w:p>
    <w:p/>
    <w:p>
      <w:r>
        <w:t>Tax calculation:</w:t>
      </w:r>
    </w:p>
    <w:p>
      <w:pPr>
        <w:pStyle w:val="ListBullet"/>
      </w:pPr>
      <w:r>
        <w:t>Deductible: $20.0M (interest) + $3.0M (guarantee) = $23.0M</w:t>
      </w:r>
    </w:p>
    <w:p>
      <w:pPr>
        <w:pStyle w:val="ListBullet"/>
      </w:pPr>
      <w:r>
        <w:t>Non-deductible: $5.0M (interest) + $750K (guarantee) = $5.75M</w:t>
      </w:r>
    </w:p>
    <w:p>
      <w:pPr>
        <w:pStyle w:val="ListBullet"/>
      </w:pPr>
      <w:r>
        <w:t>Additional tax: $5.75M × 30% = $1.725M</w:t>
      </w:r>
    </w:p>
    <w:p/>
    <w:p>
      <w:r>
        <w:t>After-tax cost:</w:t>
      </w:r>
    </w:p>
    <w:p>
      <w:pPr>
        <w:pStyle w:val="ListBullet"/>
      </w:pPr>
      <w:r>
        <w:t>Cash cost: $23.0M</w:t>
      </w:r>
    </w:p>
    <w:p>
      <w:pPr>
        <w:pStyle w:val="ListBullet"/>
      </w:pPr>
      <w:r>
        <w:t>Tax on non-deductible: $1.725M</w:t>
      </w:r>
    </w:p>
    <w:p>
      <w:pPr>
        <w:pStyle w:val="ListBullet"/>
      </w:pPr>
      <w:r>
        <w:t>Less: Tax saving on deductible: $23.0M × 30% = $6.9M</w:t>
      </w:r>
    </w:p>
    <w:p>
      <w:pPr>
        <w:pStyle w:val="ListBullet"/>
      </w:pPr>
      <w:r>
        <w:t>Net after-tax cost: $23.0M + $1.725M - $6.9M = $17.825M</w:t>
      </w:r>
    </w:p>
    <w:p>
      <w:r>
        <w:t>```</w:t>
      </w:r>
    </w:p>
    <w:p/>
    <w:p>
      <w:r>
        <w:t>**Option 2: Intercompany Loan ($200M at 11.75% arm's length rate)**</w:t>
      </w:r>
    </w:p>
    <w:p/>
    <w:p>
      <w:r>
        <w:t>```</w:t>
      </w:r>
    </w:p>
    <w:p>
      <w:r>
        <w:t>Annual interest (at arm's length 11.75%): $200M × 11.75% = $23.5M</w:t>
      </w:r>
    </w:p>
    <w:p/>
    <w:p>
      <w:r>
        <w:t>Thin capitalization:</w:t>
      </w:r>
    </w:p>
    <w:p>
      <w:pPr>
        <w:pStyle w:val="ListBullet"/>
      </w:pPr>
      <w:r>
        <w:t>Interest on allowable debt ($200M): $23.5M (deductible)</w:t>
      </w:r>
    </w:p>
    <w:p>
      <w:pPr>
        <w:pStyle w:val="ListBullet"/>
      </w:pPr>
      <w:r>
        <w:t>Interest on excess debt ($50M): $5.875M (non-deductible)</w:t>
      </w:r>
    </w:p>
    <w:p/>
    <w:p>
      <w:r>
        <w:t>Tax calculation:</w:t>
      </w:r>
    </w:p>
    <w:p>
      <w:pPr>
        <w:pStyle w:val="ListBullet"/>
      </w:pPr>
      <w:r>
        <w:t>Deductible interest: $23.5M</w:t>
      </w:r>
    </w:p>
    <w:p>
      <w:pPr>
        <w:pStyle w:val="ListBullet"/>
      </w:pPr>
      <w:r>
        <w:t>Additional tax (thin cap): $5.875M × 30% = $1.7625M</w:t>
      </w:r>
    </w:p>
    <w:p/>
    <w:p>
      <w:r>
        <w:t>After-tax cost:</w:t>
      </w:r>
    </w:p>
    <w:p>
      <w:pPr>
        <w:pStyle w:val="ListBullet"/>
      </w:pPr>
      <w:r>
        <w:t>Cash cost: $23.5M</w:t>
      </w:r>
    </w:p>
    <w:p>
      <w:pPr>
        <w:pStyle w:val="ListBullet"/>
      </w:pPr>
      <w:r>
        <w:t>Tax on non-deductible: $1.7625M</w:t>
      </w:r>
    </w:p>
    <w:p>
      <w:pPr>
        <w:pStyle w:val="ListBullet"/>
      </w:pPr>
      <w:r>
        <w:t>Less: Tax saving on deductible: $23.5M × 30% = $7.05M</w:t>
      </w:r>
    </w:p>
    <w:p>
      <w:pPr>
        <w:pStyle w:val="ListBullet"/>
      </w:pPr>
      <w:r>
        <w:t>Net after-tax cost: $23.5M + $1.7625M - $7.05M = $18.2125M</w:t>
      </w:r>
    </w:p>
    <w:p>
      <w:r>
        <w:t>```</w:t>
      </w:r>
    </w:p>
    <w:p/>
    <w:p>
      <w:r>
        <w:t>**Comparison**:</w:t>
      </w:r>
    </w:p>
    <w:p/>
    <w:p>
      <w:r>
        <w:t>| **Metric** | **Option 1 (External + Guarantee)** | **Option 2 (Intercompany)** | **Difference** |</w:t>
      </w:r>
    </w:p>
    <w:p>
      <w:r>
        <w:t>|---|---|---|---|</w:t>
      </w:r>
    </w:p>
    <w:p>
      <w:r>
        <w:t>| **Gross interest** | $20.0M | $23.5M | +$3.5M |</w:t>
      </w:r>
    </w:p>
    <w:p>
      <w:r>
        <w:t>| **Guarantee fee** | $3.0M | $0 | -$3.0M |</w:t>
      </w:r>
    </w:p>
    <w:p>
      <w:r>
        <w:t>| **Total cash cost** | $23.0M | $23.5M | +$0.5M |</w:t>
      </w:r>
    </w:p>
    <w:p>
      <w:r>
        <w:t>| **Thin cap disallowance** | $5.75M | $5.875M | +$0.125M |</w:t>
      </w:r>
    </w:p>
    <w:p>
      <w:r>
        <w:t>| **Additional tax** | $1.725M | $1.7625M | +$0.0375M |</w:t>
      </w:r>
    </w:p>
    <w:p>
      <w:r>
        <w:t>| **Net after-tax cost** | **$17.825M** | **$18.2125M** | **+$0.3875M** |</w:t>
      </w:r>
    </w:p>
    <w:p/>
    <w:p>
      <w:r>
        <w:t>**Conclusion**: **Option 1 (external bank loan with parent guarantee)** is **slightly more cost-effective** ($387,500 annual savings vs. intercompany loan).</w:t>
      </w:r>
    </w:p>
    <w:p/>
    <w:p>
      <w:r>
        <w:t>**However**, intercompany loan has **non-tax advantages**:</w:t>
      </w:r>
    </w:p>
    <w:p>
      <w:pPr>
        <w:pStyle w:val="ListBullet"/>
      </w:pPr>
      <w:r>
        <w:t>**Flexibility**: Parent can waive interest or extend maturity if cash flow issues arise</w:t>
      </w:r>
    </w:p>
    <w:p>
      <w:pPr>
        <w:pStyle w:val="ListBullet"/>
      </w:pPr>
      <w:r>
        <w:t>**No external covenants**: Bank loan has restrictive covenants (debt/EBITDA, interest coverage); intercompany loan can be more flexible</w:t>
      </w:r>
    </w:p>
    <w:p>
      <w:pPr>
        <w:pStyle w:val="ListBullet"/>
      </w:pPr>
      <w:r>
        <w:t>**Group cash management**: Interest paid to parent stays within group (can be redeployed); interest to bank leaves group</w:t>
      </w:r>
    </w:p>
    <w:p/>
    <w:p>
      <w:r>
        <w:t>**Step 4: Optimal Structure Recommendation**</w:t>
      </w:r>
    </w:p>
    <w:p/>
    <w:p>
      <w:r>
        <w:t>**Recommended**: **Hybrid structure**</w:t>
      </w:r>
    </w:p>
    <w:p/>
    <w:p>
      <w:r>
        <w:t>```</w:t>
      </w:r>
    </w:p>
    <w:p>
      <w:r>
        <w:t>Structure:</w:t>
      </w:r>
    </w:p>
    <w:p>
      <w:pPr>
        <w:pStyle w:val="ListBullet"/>
      </w:pPr>
      <w:r>
        <w:t>External bank loan: $100M at 10.0% (with parent guarantee)</w:t>
      </w:r>
    </w:p>
    <w:p>
      <w:pPr>
        <w:pStyle w:val="ListBullet"/>
      </w:pPr>
      <w:r>
        <w:t>Intercompany loan: $100M at 11.75%</w:t>
      </w:r>
    </w:p>
    <w:p>
      <w:pPr>
        <w:pStyle w:val="ListBullet"/>
      </w:pPr>
      <w:r>
        <w:t>Total: $200M</w:t>
      </w:r>
    </w:p>
    <w:p>
      <w:pPr>
        <w:pStyle w:val="ListBullet"/>
      </w:pPr>
      <w:r>
        <w:t>Equity: $100M</w:t>
      </w:r>
    </w:p>
    <w:p>
      <w:pPr>
        <w:pStyle w:val="ListBullet"/>
      </w:pPr>
      <w:r>
        <w:t>Debt-to-equity ratio: 2.0:1 (within safe harbor!)</w:t>
      </w:r>
    </w:p>
    <w:p/>
    <w:p>
      <w:r>
        <w:t>Benefits:</w:t>
      </w:r>
    </w:p>
    <w:p>
      <w:r>
        <w:t>1. **Thin capitalization compliance**: 2.0:1 ratio (no disallowance)</w:t>
      </w:r>
    </w:p>
    <w:p>
      <w:r>
        <w:t>2. **Lower average rate**: ($100M × 10.0% + $100M × 11.75%) ÷ $200M = 10.875%</w:t>
      </w:r>
    </w:p>
    <w:p>
      <w:r>
        <w:t>3. **Flexibility**: Intercompany portion provides flexibility; external portion provides market discipline</w:t>
      </w:r>
    </w:p>
    <w:p>
      <w:r>
        <w:t>4. **Tax efficiency**: Full deductibility (no thin cap disallowance)</w:t>
      </w:r>
    </w:p>
    <w:p/>
    <w:p>
      <w:r>
        <w:t>Annual cost:</w:t>
      </w:r>
    </w:p>
    <w:p>
      <w:pPr>
        <w:pStyle w:val="ListBullet"/>
      </w:pPr>
      <w:r>
        <w:t>External interest: $100M × 10.0% = $10.0M</w:t>
      </w:r>
    </w:p>
    <w:p>
      <w:pPr>
        <w:pStyle w:val="ListBullet"/>
      </w:pPr>
      <w:r>
        <w:t>Intercompany interest: $100M × 11.75% = $11.75M</w:t>
      </w:r>
    </w:p>
    <w:p>
      <w:pPr>
        <w:pStyle w:val="ListBullet"/>
      </w:pPr>
      <w:r>
        <w:t>Guarantee fee: $100M × 1.5% = $1.5M</w:t>
      </w:r>
    </w:p>
    <w:p>
      <w:pPr>
        <w:pStyle w:val="ListBullet"/>
      </w:pPr>
      <w:r>
        <w:t>Total: $23.25M</w:t>
      </w:r>
    </w:p>
    <w:p/>
    <w:p>
      <w:r>
        <w:t>Tax savings: $23.25M × 30% = $6.975M</w:t>
      </w:r>
    </w:p>
    <w:p>
      <w:r>
        <w:t>Net after-tax cost: $23.25M - $6.975M = $16.275M</w:t>
      </w:r>
    </w:p>
    <w:p/>
    <w:p>
      <w:r>
        <w:t>Savings vs. Option 1: $17.825M - $16.275M = $1.55M annually</w:t>
      </w:r>
    </w:p>
    <w:p>
      <w:r>
        <w:t>```</w:t>
      </w:r>
    </w:p>
    <w:p/>
    <w:p>
      <w:r>
        <w:t>**Documentation**:</w:t>
      </w:r>
    </w:p>
    <w:p>
      <w:r>
        <w:t>1. **Loan agreements**: External bank facility agreement; intercompany loan agreement</w:t>
      </w:r>
    </w:p>
    <w:p>
      <w:r>
        <w:t>2. **Parent guarantee**: Guarantee for external loan</w:t>
      </w:r>
    </w:p>
    <w:p>
      <w:r>
        <w:t>3. **Transfer pricing analysis**: Credit rating analysis (BB), interest rate benchmarking (11.75%), thin capitalization analysis (2.0:1 ratio)</w:t>
      </w:r>
    </w:p>
    <w:p>
      <w:r>
        <w:t>4. **Guarantee fee benchmarking**: Credit rating improvement method (see Chapter 57)</w:t>
      </w:r>
    </w:p>
    <w:p/>
    <w:p>
      <w:r>
        <w:t>═══════════════════════════════════════════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