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Country tax examples Angola</w:t>
      </w:r>
    </w:p>
    <w:p>
      <w:pPr>
        <w:pStyle w:val="Heading1"/>
      </w:pPr>
      <w:r>
        <w:t>Angola - Country Tax Example</w:t>
      </w:r>
    </w:p>
    <w:p>
      <w:pPr>
        <w:pStyle w:val="Heading2"/>
      </w:pPr>
      <w:r>
        <w:t>ADIT Energy Resources Module 3.04 - Study Note</w:t>
      </w:r>
    </w:p>
    <w:p>
      <w:r>
        <w:rPr>
          <w:b/>
        </w:rPr>
        <w:t>Knowledge Level:</w:t>
      </w:r>
      <w:r>
        <w:t xml:space="preserve"> Broad (Level 1)</w:t>
      </w:r>
    </w:p>
    <w:p>
      <w:pPr>
        <w:spacing w:before="120" w:after="120"/>
        <w:pBdr>
          <w:bottom w:val="single" w:sz="6" w:space="1" w:color="auto"/>
        </w:pBdr>
      </w:pPr>
    </w:p>
    <w:p>
      <w:pPr>
        <w:pStyle w:val="Heading2"/>
      </w:pPr>
      <w:r>
        <w:t>1. Core Framework: Angola Petroleum Fiscal Regime</w:t>
      </w:r>
    </w:p>
    <w:p>
      <w:pPr>
        <w:pStyle w:val="Heading3"/>
      </w:pPr>
      <w:r>
        <w:t>1.1 Overview and Statutory Basis</w:t>
      </w:r>
    </w:p>
    <w:p>
      <w:r>
        <w:t xml:space="preserve">Angola operates a </w:t>
      </w:r>
      <w:r>
        <w:rPr>
          <w:b/>
        </w:rPr>
        <w:t>hybrid Production Sharing Contract (PSC) regime</w:t>
      </w:r>
      <w:r>
        <w:t xml:space="preserve"> combining elements of traditional PSCs with tax-based fiscal mechanisms. This hybrid structure reflects Angola's objective to maintain substantial state participation in petroleum revenues while providing a framework that shares exploration and development risks with international oil companies. The fiscal framework is governed by:</w:t>
      </w:r>
    </w:p>
    <w:p>
      <w:r>
        <w:rPr>
          <w:b/>
        </w:rPr>
        <w:t>Primary Legislation:</w:t>
      </w:r>
    </w:p>
    <w:p>
      <w:pPr>
        <w:pStyle w:val="ListBullet"/>
      </w:pPr>
      <w:r>
        <w:rPr>
          <w:b/>
        </w:rPr>
        <w:t>Law No. 10/04 of 12 November 2004 (Petroleum Activities Law)</w:t>
      </w:r>
      <w:r>
        <w:t>: Establishes the legal framework for petroleum operations, licensing, and fiscal terms</w:t>
      </w:r>
    </w:p>
    <w:p>
      <w:pPr>
        <w:pStyle w:val="ListBullet"/>
      </w:pPr>
      <w:r>
        <w:rPr>
          <w:b/>
        </w:rPr>
        <w:t>Law No. 13/04 of 24 December 2004 (Petroleum Tax Law)</w:t>
      </w:r>
      <w:r>
        <w:t>: Codifies petroleum income tax (PIT), production bonuses, and surface fees</w:t>
      </w:r>
    </w:p>
    <w:p>
      <w:pPr>
        <w:pStyle w:val="ListBullet"/>
      </w:pPr>
      <w:r>
        <w:rPr>
          <w:b/>
        </w:rPr>
        <w:t>Presidential Decree No. 49/19 of 6 February 2019</w:t>
      </w:r>
      <w:r>
        <w:t>: Creates the National Agency for Petroleum, Gas and Biofuels (ANPG) and transfers concessionaire rights from Sonangol</w:t>
      </w:r>
    </w:p>
    <w:p>
      <w:pPr>
        <w:pStyle w:val="ListBullet"/>
      </w:pPr>
      <w:r>
        <w:rPr>
          <w:b/>
        </w:rPr>
        <w:t>Presidential Decree No. 271/20 of 20 October 2020</w:t>
      </w:r>
      <w:r>
        <w:t>: Establishes the current local content regime for the petroleum sector</w:t>
      </w:r>
    </w:p>
    <w:p>
      <w:pPr>
        <w:pStyle w:val="ListBullet"/>
      </w:pPr>
      <w:r>
        <w:rPr>
          <w:b/>
        </w:rPr>
        <w:t>Presidential Decree No. 8/24 of 20 November 2024</w:t>
      </w:r>
      <w:r>
        <w:t>: Introduces reduced tax rates for incremental production from mature blocks and undeveloped fields</w:t>
      </w:r>
    </w:p>
    <w:p>
      <w:r>
        <w:t>Angola's petroleum sector has historically been one of Africa's most significant, with production concentrated in deep-water Atlantic blocks operated under PSC arrangements.</w:t>
      </w:r>
    </w:p>
    <w:p>
      <w:pPr>
        <w:pStyle w:val="Heading3"/>
      </w:pPr>
      <w:r>
        <w:t>1.2 Key Government Entities</w:t>
      </w:r>
    </w:p>
    <w:p>
      <w:r>
        <w:rPr>
          <w:b/>
        </w:rPr>
        <w:t>Agência Nacional de Petróleo, Gás e Biocombustíveis (ANPG):</w:t>
      </w:r>
    </w:p>
    <w:p>
      <w:pPr>
        <w:pStyle w:val="ListBullet"/>
      </w:pPr>
      <w:r>
        <w:t>Created via Presidential Decree No. 49/19 of 6 February 2019 to replace Sonangol as the national concessionaire</w:t>
      </w:r>
    </w:p>
    <w:p>
      <w:pPr>
        <w:pStyle w:val="ListBullet"/>
      </w:pPr>
      <w:r>
        <w:t>Awards petroleum rights and manages PSC administration</w:t>
      </w:r>
    </w:p>
    <w:p>
      <w:pPr>
        <w:pStyle w:val="ListBullet"/>
      </w:pPr>
      <w:r>
        <w:t>Represents government interests in production sharing arrangements</w:t>
      </w:r>
    </w:p>
    <w:p>
      <w:r>
        <w:rPr>
          <w:b/>
        </w:rPr>
        <w:t>Sonangol (Sociedade Nacional de Combustíveis de Angola):</w:t>
      </w:r>
    </w:p>
    <w:p>
      <w:pPr>
        <w:pStyle w:val="ListBullet"/>
      </w:pPr>
      <w:r>
        <w:t>National oil company, historically both regulator and commercial participant prior to 2019</w:t>
      </w:r>
    </w:p>
    <w:p>
      <w:pPr>
        <w:pStyle w:val="ListBullet"/>
      </w:pPr>
      <w:r>
        <w:t>Post-2019 reform: Functions solely as commercial operator in joint ventures</w:t>
      </w:r>
    </w:p>
    <w:p>
      <w:pPr>
        <w:pStyle w:val="ListBullet"/>
      </w:pPr>
      <w:r>
        <w:t>Holds carried interests in most PSCs (typically 10-20%)</w:t>
      </w:r>
    </w:p>
    <w:p>
      <w:r>
        <w:rPr>
          <w:b/>
        </w:rPr>
        <w:t>Ministry of Mineral Resources, Petroleum and Gas:</w:t>
      </w:r>
    </w:p>
    <w:p>
      <w:pPr>
        <w:pStyle w:val="ListBullet"/>
      </w:pPr>
      <w:r>
        <w:t>Policy formulation and sector oversight</w:t>
      </w:r>
    </w:p>
    <w:p>
      <w:pPr>
        <w:pStyle w:val="ListBullet"/>
      </w:pPr>
      <w:r>
        <w:t>Issues licenses and approves field development plans</w:t>
      </w:r>
    </w:p>
    <w:p>
      <w:pPr>
        <w:pStyle w:val="Heading2"/>
      </w:pPr>
      <w:r>
        <w:t>2. Technical Rules: Angola Fiscal System</w:t>
      </w:r>
    </w:p>
    <w:p>
      <w:pPr>
        <w:pStyle w:val="Heading3"/>
      </w:pPr>
      <w:r>
        <w:t>2.1 Tax Rate Structure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Tax Type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Rate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Basis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Legal Reference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Petroleum Income Tax (PIT) - Standard</w:t>
            </w:r>
          </w:p>
        </w:tc>
        <w:tc>
          <w:tcPr>
            <w:tcW w:type="dxa" w:w="2160"/>
          </w:tcPr>
          <w:p>
            <w:r/>
            <w:r>
              <w:t>65.75%</w:t>
            </w:r>
          </w:p>
        </w:tc>
        <w:tc>
          <w:tcPr>
            <w:tcW w:type="dxa" w:w="2160"/>
          </w:tcPr>
          <w:p>
            <w:r/>
            <w:r>
              <w:t>Taxable petroleum profits (association agreements)</w:t>
            </w:r>
          </w:p>
        </w:tc>
        <w:tc>
          <w:tcPr>
            <w:tcW w:type="dxa" w:w="2160"/>
          </w:tcPr>
          <w:p>
            <w:r/>
            <w:r>
              <w:t>Law No. 13/04, Art. 3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Petroleum Income Tax (PIT) - PSAs</w:t>
            </w:r>
          </w:p>
        </w:tc>
        <w:tc>
          <w:tcPr>
            <w:tcW w:type="dxa" w:w="2160"/>
          </w:tcPr>
          <w:p>
            <w:r/>
            <w:r>
              <w:t>50%</w:t>
            </w:r>
          </w:p>
        </w:tc>
        <w:tc>
          <w:tcPr>
            <w:tcW w:type="dxa" w:w="2160"/>
          </w:tcPr>
          <w:p>
            <w:r/>
            <w:r>
              <w:t>Taxable petroleum profits (production sharing agreements)</w:t>
            </w:r>
          </w:p>
        </w:tc>
        <w:tc>
          <w:tcPr>
            <w:tcW w:type="dxa" w:w="2160"/>
          </w:tcPr>
          <w:p>
            <w:r/>
            <w:r>
              <w:t>Law No. 13/04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PIT - Incremental Production</w:t>
            </w:r>
          </w:p>
        </w:tc>
        <w:tc>
          <w:tcPr>
            <w:tcW w:type="dxa" w:w="2160"/>
          </w:tcPr>
          <w:p>
            <w:r/>
            <w:r>
              <w:t>55.75% (associations) / 25% (PSAs)</w:t>
            </w:r>
          </w:p>
        </w:tc>
        <w:tc>
          <w:tcPr>
            <w:tcW w:type="dxa" w:w="2160"/>
          </w:tcPr>
          <w:p>
            <w:r/>
            <w:r>
              <w:t>Incremental production from mature/undeveloped blocks</w:t>
            </w:r>
          </w:p>
        </w:tc>
        <w:tc>
          <w:tcPr>
            <w:tcW w:type="dxa" w:w="2160"/>
          </w:tcPr>
          <w:p>
            <w:r/>
            <w:r>
              <w:t>Presidential Decree No. 8/24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Corporate Income Tax (CIT)</w:t>
            </w:r>
          </w:p>
        </w:tc>
        <w:tc>
          <w:tcPr>
            <w:tcW w:type="dxa" w:w="2160"/>
          </w:tcPr>
          <w:p>
            <w:r/>
            <w:r>
              <w:t>25%</w:t>
            </w:r>
          </w:p>
        </w:tc>
        <w:tc>
          <w:tcPr>
            <w:tcW w:type="dxa" w:w="2160"/>
          </w:tcPr>
          <w:p>
            <w:r/>
            <w:r>
              <w:t>Non-petroleum income</w:t>
            </w:r>
          </w:p>
        </w:tc>
        <w:tc>
          <w:tcPr>
            <w:tcW w:type="dxa" w:w="2160"/>
          </w:tcPr>
          <w:p>
            <w:r/>
            <w:r>
              <w:t>General Tax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Withholding Tax - Services (Residents)</w:t>
            </w:r>
          </w:p>
        </w:tc>
        <w:tc>
          <w:tcPr>
            <w:tcW w:type="dxa" w:w="2160"/>
          </w:tcPr>
          <w:p>
            <w:r/>
            <w:r>
              <w:t>6.5%</w:t>
            </w:r>
          </w:p>
        </w:tc>
        <w:tc>
          <w:tcPr>
            <w:tcW w:type="dxa" w:w="2160"/>
          </w:tcPr>
          <w:p>
            <w:r/>
            <w:r>
              <w:t>Gross payments to residents</w:t>
            </w:r>
          </w:p>
        </w:tc>
        <w:tc>
          <w:tcPr>
            <w:tcW w:type="dxa" w:w="2160"/>
          </w:tcPr>
          <w:p>
            <w:r/>
            <w:r>
              <w:t>Law No. 13/04, Art. 52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Withholding Tax - Services (Non-Residents)</w:t>
            </w:r>
          </w:p>
        </w:tc>
        <w:tc>
          <w:tcPr>
            <w:tcW w:type="dxa" w:w="2160"/>
          </w:tcPr>
          <w:p>
            <w:r/>
            <w:r>
              <w:t>15%</w:t>
            </w:r>
          </w:p>
        </w:tc>
        <w:tc>
          <w:tcPr>
            <w:tcW w:type="dxa" w:w="2160"/>
          </w:tcPr>
          <w:p>
            <w:r/>
            <w:r>
              <w:t>Gross payments to non-residents</w:t>
            </w:r>
          </w:p>
        </w:tc>
        <w:tc>
          <w:tcPr>
            <w:tcW w:type="dxa" w:w="2160"/>
          </w:tcPr>
          <w:p>
            <w:r/>
            <w:r>
              <w:t>General Tax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Withholding Tax - Interest</w:t>
            </w:r>
          </w:p>
        </w:tc>
        <w:tc>
          <w:tcPr>
            <w:tcW w:type="dxa" w:w="2160"/>
          </w:tcPr>
          <w:p>
            <w:r/>
            <w:r>
              <w:t>10%</w:t>
            </w:r>
          </w:p>
        </w:tc>
        <w:tc>
          <w:tcPr>
            <w:tcW w:type="dxa" w:w="2160"/>
          </w:tcPr>
          <w:p>
            <w:r/>
            <w:r>
              <w:t>Interest payments (treaty rates may reduce)</w:t>
            </w:r>
          </w:p>
        </w:tc>
        <w:tc>
          <w:tcPr>
            <w:tcW w:type="dxa" w:w="2160"/>
          </w:tcPr>
          <w:p>
            <w:r/>
            <w:r>
              <w:t>General Tax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Withholding Tax - Dividends</w:t>
            </w:r>
          </w:p>
        </w:tc>
        <w:tc>
          <w:tcPr>
            <w:tcW w:type="dxa" w:w="2160"/>
          </w:tcPr>
          <w:p>
            <w:r/>
            <w:r>
              <w:t>10% (5% if traded on regulated market)</w:t>
            </w:r>
          </w:p>
        </w:tc>
        <w:tc>
          <w:tcPr>
            <w:tcW w:type="dxa" w:w="2160"/>
          </w:tcPr>
          <w:p>
            <w:r/>
            <w:r>
              <w:t>Dividend distributions</w:t>
            </w:r>
          </w:p>
        </w:tc>
        <w:tc>
          <w:tcPr>
            <w:tcW w:type="dxa" w:w="2160"/>
          </w:tcPr>
          <w:p>
            <w:r/>
            <w:r>
              <w:t>General Tax Code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Production Tax</w:t>
            </w:r>
          </w:p>
        </w:tc>
        <w:tc>
          <w:tcPr>
            <w:tcW w:type="dxa" w:w="2160"/>
          </w:tcPr>
          <w:p>
            <w:r/>
            <w:r>
              <w:t>20% (15% for incremental)</w:t>
            </w:r>
          </w:p>
        </w:tc>
        <w:tc>
          <w:tcPr>
            <w:tcW w:type="dxa" w:w="2160"/>
          </w:tcPr>
          <w:p>
            <w:r/>
            <w:r>
              <w:t>Gross production value</w:t>
            </w:r>
          </w:p>
        </w:tc>
        <w:tc>
          <w:tcPr>
            <w:tcW w:type="dxa" w:w="2160"/>
          </w:tcPr>
          <w:p>
            <w:r/>
            <w:r>
              <w:t>Law No. 13/04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Production Bonus</w:t>
            </w:r>
          </w:p>
        </w:tc>
        <w:tc>
          <w:tcPr>
            <w:tcW w:type="dxa" w:w="2160"/>
          </w:tcPr>
          <w:p>
            <w:r/>
            <w:r>
              <w:t>Varies</w:t>
            </w:r>
          </w:p>
        </w:tc>
        <w:tc>
          <w:tcPr>
            <w:tcW w:type="dxa" w:w="2160"/>
          </w:tcPr>
          <w:p>
            <w:r/>
            <w:r>
              <w:t>Based on PSC-specific terms and production thresholds</w:t>
            </w:r>
          </w:p>
        </w:tc>
        <w:tc>
          <w:tcPr>
            <w:tcW w:type="dxa" w:w="2160"/>
          </w:tcPr>
          <w:p>
            <w:r/>
            <w:r>
              <w:t>Contract specific</w:t>
            </w:r>
          </w:p>
        </w:tc>
      </w:tr>
      <w:tr>
        <w:tc>
          <w:tcPr>
            <w:tcW w:type="dxa" w:w="2160"/>
          </w:tcPr>
          <w:p>
            <w:r/>
            <w:r>
              <w:rPr>
                <w:b/>
              </w:rPr>
              <w:t>Surface Fee</w:t>
            </w:r>
          </w:p>
        </w:tc>
        <w:tc>
          <w:tcPr>
            <w:tcW w:type="dxa" w:w="2160"/>
          </w:tcPr>
          <w:p>
            <w:r/>
            <w:r>
              <w:t>$50-500/km²</w:t>
            </w:r>
          </w:p>
        </w:tc>
        <w:tc>
          <w:tcPr>
            <w:tcW w:type="dxa" w:w="2160"/>
          </w:tcPr>
          <w:p>
            <w:r/>
            <w:r>
              <w:t>Annual based on block size and phase</w:t>
            </w:r>
          </w:p>
        </w:tc>
        <w:tc>
          <w:tcPr>
            <w:tcW w:type="dxa" w:w="2160"/>
          </w:tcPr>
          <w:p>
            <w:r/>
            <w:r>
              <w:t>Law No. 10/04</w:t>
            </w:r>
          </w:p>
        </w:tc>
      </w:tr>
    </w:tbl>
    <w:p/>
    <w:p>
      <w:r>
        <w:rPr>
          <w:b/>
        </w:rPr>
        <w:t>Important Regime Clarifications:</w:t>
      </w:r>
    </w:p>
    <w:p>
      <w:pPr>
        <w:pStyle w:val="ListBullet"/>
      </w:pPr>
      <w:r>
        <w:rPr>
          <w:b/>
        </w:rPr>
        <w:t>Standard regime</w:t>
      </w:r>
      <w:r>
        <w:t xml:space="preserve"> applies to existing production under traditional PSC terms</w:t>
      </w:r>
    </w:p>
    <w:p>
      <w:pPr>
        <w:pStyle w:val="ListBullet"/>
      </w:pPr>
      <w:r>
        <w:rPr>
          <w:b/>
        </w:rPr>
        <w:t>Incremental production regime</w:t>
      </w:r>
      <w:r>
        <w:t xml:space="preserve"> (Presidential Decree No. 8/24 of November 2024) provides reduced PIT rates (55.75% for associations, 25% for PSAs) and increased cost recovery (up to 70%) for additional production from mature blocks and undeveloped offshore areas</w:t>
      </w:r>
    </w:p>
    <w:p>
      <w:pPr>
        <w:pStyle w:val="ListBullet"/>
      </w:pPr>
      <w:r>
        <w:t>The incentive rates apply only to production exceeding baseline levels; existing production remains subject to standard taxation</w:t>
      </w:r>
    </w:p>
    <w:p>
      <w:pPr>
        <w:pStyle w:val="Heading3"/>
      </w:pPr>
      <w:r>
        <w:t>2.2 Production Sharing Contract Structure</w:t>
      </w:r>
    </w:p>
    <w:p>
      <w:r>
        <w:t xml:space="preserve">Angola PSCs incorporate a </w:t>
      </w:r>
      <w:r>
        <w:rPr>
          <w:b/>
        </w:rPr>
        <w:t>tax-royalty hybrid system</w:t>
      </w:r>
      <w:r>
        <w:t xml:space="preserve"> where contractors recover costs through cost oil, receive a share of profit oil, and pay petroleum income tax on their profit oil entitlement:</w:t>
      </w:r>
    </w:p>
    <w:p>
      <w:r>
        <w:rPr>
          <w:b/>
        </w:rPr>
        <w:t>Cost Recovery:</w:t>
      </w:r>
    </w:p>
    <w:p>
      <w:pPr>
        <w:pStyle w:val="ListBullet"/>
      </w:pPr>
      <w:r>
        <w:rPr>
          <w:b/>
        </w:rPr>
        <w:t>Cost oil ceiling (standard regime):</w:t>
      </w:r>
      <w:r>
        <w:t xml:space="preserve"> 50% of gross production (deep water blocks)</w:t>
      </w:r>
    </w:p>
    <w:p>
      <w:pPr>
        <w:pStyle w:val="ListBullet"/>
      </w:pPr>
      <w:r>
        <w:rPr>
          <w:b/>
        </w:rPr>
        <w:t>Cost oil ceiling (incremental regime):</w:t>
      </w:r>
      <w:r>
        <w:t xml:space="preserve"> Up to 70% of gross production under Presidential Decree No. 8/24</w:t>
      </w:r>
    </w:p>
    <w:p>
      <w:pPr>
        <w:pStyle w:val="ListBullet"/>
      </w:pPr>
      <w:r>
        <w:rPr>
          <w:b/>
        </w:rPr>
        <w:t>Eligible costs:</w:t>
      </w:r>
      <w:r>
        <w:t xml:space="preserve"> All exploration, development, and operating expenditures incurred under the PSC</w:t>
      </w:r>
    </w:p>
    <w:p>
      <w:pPr>
        <w:pStyle w:val="ListBullet"/>
      </w:pPr>
      <w:r>
        <w:rPr>
          <w:b/>
        </w:rPr>
        <w:t>Cost pools:</w:t>
      </w:r>
      <w:r>
        <w:t xml:space="preserve"> Exploration costs (100% deductible), development costs (amortized over field life with 50% uplift in some PSCs), operating costs (immediate deduction)</w:t>
      </w:r>
    </w:p>
    <w:p>
      <w:pPr>
        <w:pStyle w:val="ListBullet"/>
      </w:pPr>
      <w:r>
        <w:rPr>
          <w:b/>
        </w:rPr>
        <w:t>Ring-fencing:</w:t>
      </w:r>
      <w:r>
        <w:t xml:space="preserve"> Costs are ring-fenced by block/concession; costs from one PSC cannot offset income from another</w:t>
      </w:r>
    </w:p>
    <w:p>
      <w:r>
        <w:rPr>
          <w:b/>
        </w:rPr>
        <w:t>Profit Oil Split:</w:t>
      </w:r>
    </w:p>
    <w:p>
      <w:r>
        <w:t>After deducting cost oil, remaining production (profit oil) is divided between:</w:t>
      </w:r>
    </w:p>
    <w:p>
      <w:pPr>
        <w:pStyle w:val="ListBullet"/>
      </w:pPr>
      <w:r>
        <w:rPr>
          <w:b/>
        </w:rPr>
        <w:t>Government share:</w:t>
      </w:r>
      <w:r>
        <w:t xml:space="preserve"> 60-70% (varies by water depth, production levels, and PSC vintage)</w:t>
      </w:r>
    </w:p>
    <w:p>
      <w:pPr>
        <w:pStyle w:val="ListBullet"/>
      </w:pPr>
      <w:r>
        <w:rPr>
          <w:b/>
        </w:rPr>
        <w:t>Contractor share:</w:t>
      </w:r>
      <w:r>
        <w:t xml:space="preserve"> 30-40%</w:t>
      </w:r>
    </w:p>
    <w:p>
      <w:pPr>
        <w:pStyle w:val="ListBullet"/>
      </w:pPr>
      <w:r>
        <w:rPr>
          <w:b/>
        </w:rPr>
        <w:t>R-factor mechanism:</w:t>
      </w:r>
      <w:r>
        <w:t xml:space="preserve"> Some PSCs use profitability-based sliding scales where the government share increases with field profitability (R = cumulative revenues / cumulative costs)</w:t>
      </w:r>
    </w:p>
    <w:p>
      <w:r>
        <w:t>The profit split percentages are negotiated for each PSC and typically favor the government more heavily for shallow water blocks (lower risk) compared to ultra-deep water blocks (higher risk, higher development costs).</w:t>
      </w:r>
    </w:p>
    <w:p>
      <w:r>
        <w:rPr>
          <w:b/>
        </w:rPr>
        <w:t>Petroleum Income Tax (PIT):</w:t>
      </w:r>
    </w:p>
    <w:p>
      <w:r>
        <w:t xml:space="preserve">Contractors pay PIT on their </w:t>
      </w:r>
      <w:r>
        <w:rPr>
          <w:b/>
        </w:rPr>
        <w:t>profit oil share only</w:t>
      </w:r>
      <w:r>
        <w:t>, not on total production or cost oil recovery. Under the standard regime, the PIT rate is 65.75% for association agreements and 50% for production sharing agreements. This is critical: the tax base is the contractor's profit oil entitlement after the profit split, not the gross production value.</w:t>
      </w:r>
    </w:p>
    <w:p>
      <w:pPr>
        <w:pStyle w:val="Heading3"/>
      </w:pPr>
      <w:r>
        <w:t>2.3 Production Bonuses and Signature Payments</w:t>
      </w:r>
    </w:p>
    <w:p>
      <w:r>
        <w:rPr>
          <w:b/>
        </w:rPr>
        <w:t>Signature Bonus:</w:t>
      </w:r>
      <w:r>
        <w:t xml:space="preserve"> Payment terms vary significantly by licensing round. Historical offshore licensing rounds in the 2000s featured signature bonuses ranging from $50 million to over $1 billion for highly prospective deep water blocks. The 2023 onshore licensing round eliminated signature bonuses entirely to attract investment.</w:t>
      </w:r>
    </w:p>
    <w:p>
      <w:r>
        <w:rPr>
          <w:b/>
        </w:rPr>
        <w:t>Production Bonuses:</w:t>
      </w:r>
      <w:r>
        <w:t xml:space="preserve"> PSC-specific progressive structures based on cumulative or daily production thresholds. Examples from historical PSCs include:</w:t>
      </w:r>
    </w:p>
    <w:p>
      <w:pPr>
        <w:pStyle w:val="ListBullet"/>
      </w:pPr>
      <w:r>
        <w:t>50,000 barrels/day: $10 million</w:t>
      </w:r>
    </w:p>
    <w:p>
      <w:pPr>
        <w:pStyle w:val="ListBullet"/>
      </w:pPr>
      <w:r>
        <w:t>100,000 barrels/day: $15 million</w:t>
      </w:r>
    </w:p>
    <w:p>
      <w:pPr>
        <w:pStyle w:val="ListBullet"/>
      </w:pPr>
      <w:r>
        <w:t>150,000 barrels/day: $20 million</w:t>
      </w:r>
    </w:p>
    <w:p>
      <w:pPr>
        <w:pStyle w:val="ListBullet"/>
      </w:pPr>
      <w:r>
        <w:t>200,000 barrels/day: $30 million</w:t>
      </w:r>
    </w:p>
    <w:p>
      <w:r>
        <w:t>Recent licensing rounds have introduced production-based bonuses calculated per barrel of cumulative production (e.g., $0.10 to $0.30 per barrel depending on total field production) rather than fixed threshold payments.</w:t>
      </w:r>
    </w:p>
    <w:p>
      <w:pPr>
        <w:pStyle w:val="Heading2"/>
      </w:pPr>
      <w:r>
        <w:t>3. Analytical Depth: Special Features</w:t>
      </w:r>
    </w:p>
    <w:p>
      <w:pPr>
        <w:pStyle w:val="Heading3"/>
      </w:pPr>
      <w:r>
        <w:t>3.1 Local Content Requirements</w:t>
      </w:r>
    </w:p>
    <w:p>
      <w:r>
        <w:t xml:space="preserve">The local content regime is governed by </w:t>
      </w:r>
      <w:r>
        <w:rPr>
          <w:b/>
        </w:rPr>
        <w:t>Presidential Decree No. 271/20 of 20 October 2020</w:t>
      </w:r>
      <w:r>
        <w:t>, which replaced the previous framework under Ministry Order No. 127/03 of 25 November 2003. The 2020 regime significantly strengthened local content requirements and enforcement.</w:t>
      </w:r>
    </w:p>
    <w:p>
      <w:r>
        <w:rPr>
          <w:b/>
        </w:rPr>
        <w:t>Key Requirements under Presidential Decree No. 271/20:</w:t>
      </w:r>
    </w:p>
    <w:p>
      <w:pPr>
        <w:pStyle w:val="ListBullet"/>
      </w:pPr>
      <w:r>
        <w:rPr>
          <w:b/>
        </w:rPr>
        <w:t>Employment:</w:t>
      </w:r>
      <w:r>
        <w:t xml:space="preserve"> Minimum 70% Angolan workforce across all job categories</w:t>
      </w:r>
    </w:p>
    <w:p>
      <w:pPr>
        <w:pStyle w:val="ListBullet"/>
      </w:pPr>
      <w:r>
        <w:rPr>
          <w:b/>
        </w:rPr>
        <w:t>Procurement:</w:t>
      </w:r>
      <w:r>
        <w:t xml:space="preserve"> Progressive targets for local goods and services with preference mechanisms for Angolan-owned companies (100% Angolan ownership required for classification as "Angolan company")</w:t>
      </w:r>
    </w:p>
    <w:p>
      <w:pPr>
        <w:pStyle w:val="ListBullet"/>
      </w:pPr>
      <w:r>
        <w:rPr>
          <w:b/>
        </w:rPr>
        <w:t>Technology transfer:</w:t>
      </w:r>
      <w:r>
        <w:t xml:space="preserve"> Mandatory training programs and skills development obligations for Angolan personnel</w:t>
      </w:r>
    </w:p>
    <w:p>
      <w:pPr>
        <w:pStyle w:val="ListBullet"/>
      </w:pPr>
      <w:r>
        <w:rPr>
          <w:b/>
        </w:rPr>
        <w:t>Banking:</w:t>
      </w:r>
      <w:r>
        <w:t xml:space="preserve"> Use of Angolan financial institutions for specified transactions</w:t>
      </w:r>
    </w:p>
    <w:p>
      <w:r>
        <w:rPr>
          <w:b/>
        </w:rPr>
        <w:t>Compliance and Enforcement:</w:t>
      </w:r>
    </w:p>
    <w:p>
      <w:r>
        <w:t>All contracts in the petroleum sector must include a local content clause. Non-compliance results in financial penalties and potential license suspension. The regime applies not only to oil companies but to all service providers operating in the sector.</w:t>
      </w:r>
    </w:p>
    <w:p>
      <w:pPr>
        <w:pStyle w:val="Heading3"/>
      </w:pPr>
      <w:r>
        <w:t>3.2 Treaty Considerations</w:t>
      </w:r>
    </w:p>
    <w:p>
      <w:r>
        <w:t>Angola has a limited double taxation treaty network. Key treaties for petroleum sector participants:</w:t>
      </w:r>
    </w:p>
    <w:p>
      <w:r>
        <w:rPr>
          <w:b/>
        </w:rPr>
        <w:t>Portugal-Angola Treaty</w:t>
      </w:r>
      <w:r>
        <w:t xml:space="preserve"> (entered into force 22 August 2019):</w:t>
      </w:r>
    </w:p>
    <w:p>
      <w:pPr>
        <w:pStyle w:val="ListBullet"/>
      </w:pPr>
      <w:r>
        <w:t>Dividends: 8% withholding tax (if beneficial owner holds at least 25% shareholding for 365 days), otherwise 15%</w:t>
      </w:r>
    </w:p>
    <w:p>
      <w:pPr>
        <w:pStyle w:val="ListBullet"/>
      </w:pPr>
      <w:r>
        <w:t>Interest: 10% withholding tax</w:t>
      </w:r>
    </w:p>
    <w:p>
      <w:pPr>
        <w:pStyle w:val="ListBullet"/>
      </w:pPr>
      <w:r>
        <w:t>Royalties: 8% withholding tax</w:t>
      </w:r>
    </w:p>
    <w:p>
      <w:pPr>
        <w:pStyle w:val="ListBullet"/>
      </w:pPr>
      <w:r>
        <w:t>First double taxation treaty between Angola and a European country</w:t>
      </w:r>
    </w:p>
    <w:p>
      <w:r>
        <w:rPr>
          <w:b/>
        </w:rPr>
        <w:t>UAE-Angola Treaty:</w:t>
      </w:r>
      <w:r>
        <w:t xml:space="preserve"> Provides beneficial rates for Middle Eastern investors, facilitating participation from Gulf-based oil companies</w:t>
      </w:r>
    </w:p>
    <w:p>
      <w:r>
        <w:rPr>
          <w:b/>
        </w:rPr>
        <w:t>China-Angola Treaty:</w:t>
      </w:r>
      <w:r>
        <w:t xml:space="preserve"> Facilitates participation by Chinese national oil companies in Angola's petroleum sector</w:t>
      </w:r>
    </w:p>
    <w:p>
      <w:r>
        <w:rPr>
          <w:b/>
        </w:rPr>
        <w:t>Treaty limitations:</w:t>
      </w:r>
      <w:r>
        <w:t xml:space="preserve"> Angola's source taxation right is typically preserved for petroleum income derived from Angolan territory under specific treaty provisions. Treaties primarily benefit non-petroleum income streams and passive income (dividends, interest, royalties) rather than operational petroleum profits.</w:t>
      </w:r>
    </w:p>
    <w:p>
      <w:pPr>
        <w:pStyle w:val="Heading3"/>
      </w:pPr>
      <w:r>
        <w:t>3.3 Ring-Fencing and Loss Relief</w:t>
      </w:r>
    </w:p>
    <w:p>
      <w:r>
        <w:rPr>
          <w:b/>
        </w:rPr>
        <w:t>Block-level ring-fencing:</w:t>
      </w:r>
      <w:r>
        <w:t xml:space="preserve"> Each PSC is ring-fenced for tax purposes. Costs incurred under one concession cannot offset income from another concession, even if held by the same contractor. This ring-fencing prevents cross-subsidization and ensures each block generates independent tax revenue once in production.</w:t>
      </w:r>
    </w:p>
    <w:p>
      <w:r>
        <w:rPr>
          <w:b/>
        </w:rPr>
        <w:t>Loss carryforward:</w:t>
      </w:r>
      <w:r>
        <w:t xml:space="preserve"> Unlimited carryforward period for petroleum income tax purposes. Tax losses can be carried forward indefinitely until fully utilized against future profits from the same PSC.</w:t>
      </w:r>
    </w:p>
    <w:p>
      <w:r>
        <w:rPr>
          <w:b/>
        </w:rPr>
        <w:t>No loss carryback:</w:t>
      </w:r>
      <w:r>
        <w:t xml:space="preserve"> Losses cannot be carried back to prior tax years for refund or offset.</w:t>
      </w:r>
    </w:p>
    <w:p>
      <w:r>
        <w:rPr>
          <w:b/>
        </w:rPr>
        <w:t>Pre-production costs:</w:t>
      </w:r>
      <w:r>
        <w:t xml:space="preserve"> All exploration and development costs incurred before production commences are capitalized and recovered through cost oil once production begins, subject to the annual cost recovery ceiling.</w:t>
      </w:r>
    </w:p>
    <w:p>
      <w:pPr>
        <w:pStyle w:val="Heading2"/>
      </w:pPr>
      <w:r>
        <w:t>4. Application Methodology: Calculation Framework</w:t>
      </w:r>
    </w:p>
    <w:p>
      <w:r>
        <w:rPr>
          <w:b/>
        </w:rPr>
        <w:t>Angola PSC Calculation Sequence:</w:t>
      </w:r>
    </w:p>
    <w:p>
      <w:pPr>
        <w:pStyle w:val="ListNumber"/>
      </w:pPr>
      <w:r>
        <w:t xml:space="preserve">Determine </w:t>
      </w:r>
      <w:r>
        <w:rPr>
          <w:b/>
        </w:rPr>
        <w:t>Gross Production</w:t>
      </w:r>
      <w:r>
        <w:t xml:space="preserve"> (barrels produced during the period)</w:t>
      </w:r>
    </w:p>
    <w:p>
      <w:pPr>
        <w:pStyle w:val="ListNumber"/>
      </w:pPr>
      <w:r>
        <w:t xml:space="preserve">Calculate </w:t>
      </w:r>
      <w:r>
        <w:rPr>
          <w:b/>
        </w:rPr>
        <w:t>Cost Oil</w:t>
      </w:r>
      <w:r>
        <w:t xml:space="preserve"> = minimum of: (a) actual eligible costs incurred OR (b) cost recovery ceiling (50% of gross production in standard regime; up to 70% under incremental regime)</w:t>
      </w:r>
    </w:p>
    <w:p>
      <w:pPr>
        <w:pStyle w:val="ListNumber"/>
      </w:pPr>
      <w:r>
        <w:t xml:space="preserve">Calculate </w:t>
      </w:r>
      <w:r>
        <w:rPr>
          <w:b/>
        </w:rPr>
        <w:t>Profit Oil</w:t>
      </w:r>
      <w:r>
        <w:t xml:space="preserve"> = Gross Production - Cost Oil</w:t>
      </w:r>
    </w:p>
    <w:p>
      <w:pPr>
        <w:pStyle w:val="ListNumber"/>
      </w:pPr>
      <w:r>
        <w:t xml:space="preserve">Apply </w:t>
      </w:r>
      <w:r>
        <w:rPr>
          <w:b/>
        </w:rPr>
        <w:t>Profit Oil Split</w:t>
      </w:r>
      <w:r>
        <w:t xml:space="preserve"> per PSC-specific terms (e.g., 65% Government / 35% Contractor)</w:t>
      </w:r>
    </w:p>
    <w:p>
      <w:pPr>
        <w:pStyle w:val="ListNumber"/>
      </w:pPr>
      <w:r>
        <w:t xml:space="preserve">Calculate </w:t>
      </w:r>
      <w:r>
        <w:rPr>
          <w:b/>
        </w:rPr>
        <w:t>Contractor Revenue</w:t>
      </w:r>
      <w:r>
        <w:t xml:space="preserve"> = Cost Oil Recovered + Contractor's Profit Oil Share</w:t>
      </w:r>
    </w:p>
    <w:p>
      <w:pPr>
        <w:pStyle w:val="ListNumber"/>
      </w:pPr>
      <w:r>
        <w:t xml:space="preserve">Calculate </w:t>
      </w:r>
      <w:r>
        <w:rPr>
          <w:b/>
        </w:rPr>
        <w:t>Petroleum Income Tax (PIT)</w:t>
      </w:r>
      <w:r>
        <w:t xml:space="preserve"> = PIT rate × Contractor's Profit Oil Share (standard rate: 65.75% for associations; 50% for PSAs)</w:t>
      </w:r>
    </w:p>
    <w:p>
      <w:pPr>
        <w:pStyle w:val="ListNumber"/>
      </w:pPr>
      <w:r>
        <w:t xml:space="preserve">Calculate </w:t>
      </w:r>
      <w:r>
        <w:rPr>
          <w:b/>
        </w:rPr>
        <w:t>Production Tax</w:t>
      </w:r>
      <w:r>
        <w:t xml:space="preserve"> = 20% × Total Contractor Revenue (applies to gross revenues)</w:t>
      </w:r>
    </w:p>
    <w:p>
      <w:pPr>
        <w:pStyle w:val="ListNumber"/>
      </w:pPr>
      <w:r>
        <w:t xml:space="preserve">Calculate </w:t>
      </w:r>
      <w:r>
        <w:rPr>
          <w:b/>
        </w:rPr>
        <w:t>Net Contractor Entitlement</w:t>
      </w:r>
      <w:r>
        <w:t xml:space="preserve"> = Contractor Revenue - PIT - Production Tax</w:t>
      </w:r>
    </w:p>
    <w:p>
      <w:pPr>
        <w:pStyle w:val="ListNumber"/>
      </w:pPr>
      <w:r>
        <w:t xml:space="preserve">Deduct any </w:t>
      </w:r>
      <w:r>
        <w:rPr>
          <w:b/>
        </w:rPr>
        <w:t>production bonuses</w:t>
      </w:r>
      <w:r>
        <w:t xml:space="preserve"> if contractual thresholds triggered</w:t>
      </w:r>
    </w:p>
    <w:p>
      <w:pPr>
        <w:pStyle w:val="ListNumber"/>
      </w:pPr>
      <w:r>
        <w:t xml:space="preserve">Calculate </w:t>
      </w:r>
      <w:r>
        <w:rPr>
          <w:b/>
        </w:rPr>
        <w:t>Government Total Take</w:t>
      </w:r>
      <w:r>
        <w:t xml:space="preserve"> = Government Profit Oil Share + PIT + Production Tax + Bonuses</w:t>
      </w:r>
    </w:p>
    <w:p>
      <w:pPr>
        <w:pStyle w:val="Heading2"/>
      </w:pPr>
      <w:r>
        <w:t>5. Worked Example: Angola Deep Water PSC</w:t>
      </w:r>
    </w:p>
    <w:p>
      <w:r>
        <w:rPr>
          <w:b/>
        </w:rPr>
        <w:t>Scenario:</w:t>
      </w:r>
    </w:p>
    <w:p>
      <w:r>
        <w:t>Block 32 deep water PSC with the following annual data:</w:t>
      </w:r>
    </w:p>
    <w:p>
      <w:pPr>
        <w:pStyle w:val="ListBullet"/>
      </w:pPr>
      <w:r>
        <w:t>Gross production: 20 million barrels</w:t>
      </w:r>
    </w:p>
    <w:p>
      <w:pPr>
        <w:pStyle w:val="ListBullet"/>
      </w:pPr>
      <w:r>
        <w:t>Oil price: $80/barrel</w:t>
      </w:r>
    </w:p>
    <w:p>
      <w:pPr>
        <w:pStyle w:val="ListBullet"/>
      </w:pPr>
      <w:r>
        <w:t>Eligible costs incurred during year: $600 million</w:t>
      </w:r>
    </w:p>
    <w:p>
      <w:pPr>
        <w:pStyle w:val="ListBullet"/>
      </w:pPr>
      <w:r>
        <w:t>PSC profit split: 65% Government / 35% Contractor</w:t>
      </w:r>
    </w:p>
    <w:p>
      <w:pPr>
        <w:pStyle w:val="ListBullet"/>
      </w:pPr>
      <w:r>
        <w:t>Cost recovery ceiling: 50% (standard regime)</w:t>
      </w:r>
    </w:p>
    <w:p>
      <w:pPr>
        <w:pStyle w:val="ListBullet"/>
      </w:pPr>
      <w:r>
        <w:t>Production tax rate: 20%</w:t>
      </w:r>
    </w:p>
    <w:p>
      <w:pPr>
        <w:pStyle w:val="ListBullet"/>
      </w:pPr>
      <w:r>
        <w:t>PIT rate: 65.75% (association agreement)</w:t>
      </w:r>
    </w:p>
    <w:p>
      <w:r>
        <w:rPr>
          <w:b/>
        </w:rPr>
        <w:t>Calculation:</w:t>
      </w:r>
    </w:p>
    <w:p>
      <w:r>
        <w:rPr>
          <w:b/>
        </w:rPr>
        <w:t>Step 1: Gross Revenue</w:t>
      </w:r>
    </w:p>
    <w:p>
      <w:pPr>
        <w:pStyle w:val="ListBullet"/>
      </w:pPr>
      <w:r>
        <w:t xml:space="preserve">Gross production value = 20,000,000 bbl × $80 = </w:t>
      </w:r>
      <w:r>
        <w:rPr>
          <w:b/>
        </w:rPr>
        <w:t>$1,600 million</w:t>
      </w:r>
    </w:p>
    <w:p>
      <w:r>
        <w:rPr>
          <w:b/>
        </w:rPr>
        <w:t>Step 2: Cost Oil Determination</w:t>
      </w:r>
    </w:p>
    <w:p>
      <w:pPr>
        <w:pStyle w:val="ListBullet"/>
      </w:pPr>
      <w:r>
        <w:t>Maximum cost oil = 50% × 20,000,000 = 10,000,000 barrels</w:t>
      </w:r>
    </w:p>
    <w:p>
      <w:pPr>
        <w:pStyle w:val="ListBullet"/>
      </w:pPr>
      <w:r>
        <w:t>Value of maximum cost oil = 10,000,000 × $80 = $800 million</w:t>
      </w:r>
    </w:p>
    <w:p>
      <w:pPr>
        <w:pStyle w:val="ListBullet"/>
      </w:pPr>
      <w:r>
        <w:t>Actual costs incurred = $600 million</w:t>
      </w:r>
    </w:p>
    <w:p>
      <w:pPr>
        <w:pStyle w:val="ListBullet"/>
      </w:pPr>
      <w:r>
        <w:rPr>
          <w:b/>
        </w:rPr>
        <w:t>Cost oil</w:t>
      </w:r>
      <w:r>
        <w:t xml:space="preserve"> = minimum($600M, $800M) = </w:t>
      </w:r>
      <w:r>
        <w:rPr>
          <w:b/>
        </w:rPr>
        <w:t>$600 million</w:t>
      </w:r>
      <w:r>
        <w:t xml:space="preserve"> = 7,500,000 barrels</w:t>
      </w:r>
    </w:p>
    <w:p>
      <w:r>
        <w:rPr>
          <w:b/>
        </w:rPr>
        <w:t>Step 3: Profit Oil</w:t>
      </w:r>
    </w:p>
    <w:p>
      <w:pPr>
        <w:pStyle w:val="ListBullet"/>
      </w:pPr>
      <w:r>
        <w:t xml:space="preserve">Profit oil (barrels) = 20,000,000 - 7,500,000 = </w:t>
      </w:r>
      <w:r>
        <w:rPr>
          <w:b/>
        </w:rPr>
        <w:t>12,500,000 barrels</w:t>
      </w:r>
    </w:p>
    <w:p>
      <w:pPr>
        <w:pStyle w:val="ListBullet"/>
      </w:pPr>
      <w:r>
        <w:t xml:space="preserve">Profit oil value = 12,500,000 × $80 = </w:t>
      </w:r>
      <w:r>
        <w:rPr>
          <w:b/>
        </w:rPr>
        <w:t>$1,000 million</w:t>
      </w:r>
    </w:p>
    <w:p>
      <w:r>
        <w:rPr>
          <w:b/>
        </w:rPr>
        <w:t>Step 4: Profit Oil Split</w:t>
      </w:r>
    </w:p>
    <w:p>
      <w:pPr>
        <w:pStyle w:val="ListBullet"/>
      </w:pPr>
      <w:r>
        <w:t xml:space="preserve">Government profit oil = 65% × $1,000M = </w:t>
      </w:r>
      <w:r>
        <w:rPr>
          <w:b/>
        </w:rPr>
        <w:t>$650 million</w:t>
      </w:r>
    </w:p>
    <w:p>
      <w:pPr>
        <w:pStyle w:val="ListBullet"/>
      </w:pPr>
      <w:r>
        <w:t xml:space="preserve">Contractor profit oil = 35% × $1,000M = </w:t>
      </w:r>
      <w:r>
        <w:rPr>
          <w:b/>
        </w:rPr>
        <w:t>$350 million</w:t>
      </w:r>
    </w:p>
    <w:p>
      <w:r>
        <w:rPr>
          <w:b/>
        </w:rPr>
        <w:t>Step 5: Contractor Total Revenue</w:t>
      </w:r>
    </w:p>
    <w:p>
      <w:pPr>
        <w:pStyle w:val="ListBullet"/>
      </w:pPr>
      <w:r>
        <w:t xml:space="preserve">Cost oil recovered = </w:t>
      </w:r>
      <w:r>
        <w:rPr>
          <w:b/>
        </w:rPr>
        <w:t>$600 million</w:t>
      </w:r>
    </w:p>
    <w:p>
      <w:pPr>
        <w:pStyle w:val="ListBullet"/>
      </w:pPr>
      <w:r>
        <w:t xml:space="preserve">Contractor profit oil = </w:t>
      </w:r>
      <w:r>
        <w:rPr>
          <w:b/>
        </w:rPr>
        <w:t>$350 million</w:t>
      </w:r>
    </w:p>
    <w:p>
      <w:pPr>
        <w:pStyle w:val="ListBullet"/>
      </w:pPr>
      <w:r>
        <w:rPr>
          <w:b/>
        </w:rPr>
        <w:t>Total contractor revenue</w:t>
      </w:r>
      <w:r>
        <w:t xml:space="preserve"> = $600M + $350M = </w:t>
      </w:r>
      <w:r>
        <w:rPr>
          <w:b/>
        </w:rPr>
        <w:t>$950 million</w:t>
      </w:r>
    </w:p>
    <w:p>
      <w:r>
        <w:rPr>
          <w:b/>
        </w:rPr>
        <w:t>Step 6: Petroleum Income Tax (PIT)</w:t>
      </w:r>
    </w:p>
    <w:p>
      <w:pPr>
        <w:pStyle w:val="ListBullet"/>
      </w:pPr>
      <w:r>
        <w:t>PIT base = Contractor's profit oil share = $350 million</w:t>
      </w:r>
    </w:p>
    <w:p>
      <w:pPr>
        <w:pStyle w:val="ListBullet"/>
      </w:pPr>
      <w:r>
        <w:t xml:space="preserve">PIT = 65.75% × $350M = </w:t>
      </w:r>
      <w:r>
        <w:rPr>
          <w:b/>
        </w:rPr>
        <w:t>$230.125 million</w:t>
      </w:r>
    </w:p>
    <w:p>
      <w:r>
        <w:rPr>
          <w:b/>
        </w:rPr>
        <w:t>Step 7: Production Tax</w:t>
      </w:r>
    </w:p>
    <w:p>
      <w:pPr>
        <w:pStyle w:val="ListBullet"/>
      </w:pPr>
      <w:r>
        <w:t xml:space="preserve">Production tax = 20% × $950M = </w:t>
      </w:r>
      <w:r>
        <w:rPr>
          <w:b/>
        </w:rPr>
        <w:t>$190 million</w:t>
      </w:r>
    </w:p>
    <w:p>
      <w:r>
        <w:rPr>
          <w:b/>
        </w:rPr>
        <w:t>Step 8: Net Contractor Entitlement (before bonuses)</w:t>
      </w:r>
    </w:p>
    <w:p>
      <w:pPr>
        <w:pStyle w:val="ListBullet"/>
      </w:pPr>
      <w:r>
        <w:t xml:space="preserve">Net after tax = $950M - $230.125M - $190M = </w:t>
      </w:r>
      <w:r>
        <w:rPr>
          <w:b/>
        </w:rPr>
        <w:t>$529.875 million</w:t>
      </w:r>
    </w:p>
    <w:p>
      <w:r>
        <w:rPr>
          <w:b/>
        </w:rPr>
        <w:t>Step 9: Production Bonus</w:t>
      </w:r>
    </w:p>
    <w:p>
      <w:pPr>
        <w:pStyle w:val="ListBullet"/>
      </w:pPr>
      <w:r>
        <w:t>Daily production = 20,000,000 / 365 = 54,795 bbl/day</w:t>
      </w:r>
    </w:p>
    <w:p>
      <w:pPr>
        <w:pStyle w:val="ListBullet"/>
      </w:pPr>
      <w:r>
        <w:rPr>
          <w:b/>
        </w:rPr>
        <w:t>Production bonus triggered</w:t>
      </w:r>
      <w:r>
        <w:t>: $10 million (assuming PSC threshold at &gt;50,000 bbl/day)</w:t>
      </w:r>
    </w:p>
    <w:p>
      <w:pPr>
        <w:pStyle w:val="ListBullet"/>
      </w:pPr>
      <w:r>
        <w:rPr>
          <w:b/>
        </w:rPr>
        <w:t>Final contractor net</w:t>
      </w:r>
      <w:r>
        <w:t xml:space="preserve"> = $529.875M - $10M = </w:t>
      </w:r>
      <w:r>
        <w:rPr>
          <w:b/>
        </w:rPr>
        <w:t>$519.875 million</w:t>
      </w:r>
    </w:p>
    <w:p>
      <w:r>
        <w:rPr>
          <w:b/>
        </w:rPr>
        <w:t>Step 10: Government Total Take</w:t>
      </w:r>
    </w:p>
    <w:p>
      <w:pPr>
        <w:pStyle w:val="ListBullet"/>
      </w:pPr>
      <w:r>
        <w:t xml:space="preserve">Government profit oil = </w:t>
      </w:r>
      <w:r>
        <w:rPr>
          <w:b/>
        </w:rPr>
        <w:t>$650 million</w:t>
      </w:r>
    </w:p>
    <w:p>
      <w:pPr>
        <w:pStyle w:val="ListBullet"/>
      </w:pPr>
      <w:r>
        <w:t xml:space="preserve">PIT collected = </w:t>
      </w:r>
      <w:r>
        <w:rPr>
          <w:b/>
        </w:rPr>
        <w:t>$230.125 million</w:t>
      </w:r>
    </w:p>
    <w:p>
      <w:pPr>
        <w:pStyle w:val="ListBullet"/>
      </w:pPr>
      <w:r>
        <w:t xml:space="preserve">Production tax collected = </w:t>
      </w:r>
      <w:r>
        <w:rPr>
          <w:b/>
        </w:rPr>
        <w:t>$190 million</w:t>
      </w:r>
    </w:p>
    <w:p>
      <w:pPr>
        <w:pStyle w:val="ListBullet"/>
      </w:pPr>
      <w:r>
        <w:t xml:space="preserve">Production bonus = </w:t>
      </w:r>
      <w:r>
        <w:rPr>
          <w:b/>
        </w:rPr>
        <w:t>$10 million</w:t>
      </w:r>
    </w:p>
    <w:p>
      <w:pPr>
        <w:pStyle w:val="ListBullet"/>
      </w:pPr>
      <w:r>
        <w:rPr>
          <w:b/>
        </w:rPr>
        <w:t>Government total take</w:t>
      </w:r>
      <w:r>
        <w:t xml:space="preserve"> = $650M + $230.125M + $190M + $10M = </w:t>
      </w:r>
      <w:r>
        <w:rPr>
          <w:b/>
        </w:rPr>
        <w:t>$1,080.125 million (67.5%)</w:t>
      </w:r>
    </w:p>
    <w:p>
      <w:r>
        <w:rPr>
          <w:b/>
        </w:rPr>
        <w:t>Summary Table: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Item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Amount ($ million)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Percentage of Gross</w:t>
            </w:r>
          </w:p>
        </w:tc>
      </w:tr>
      <w:tr>
        <w:tc>
          <w:tcPr>
            <w:tcW w:type="dxa" w:w="2880"/>
          </w:tcPr>
          <w:p>
            <w:r/>
            <w:r>
              <w:t>Gross Revenue</w:t>
            </w:r>
          </w:p>
        </w:tc>
        <w:tc>
          <w:tcPr>
            <w:tcW w:type="dxa" w:w="2880"/>
          </w:tcPr>
          <w:p>
            <w:r/>
            <w:r>
              <w:t>1,600.0</w:t>
            </w:r>
          </w:p>
        </w:tc>
        <w:tc>
          <w:tcPr>
            <w:tcW w:type="dxa" w:w="2880"/>
          </w:tcPr>
          <w:p>
            <w:r/>
            <w:r>
              <w:t>100.0%</w:t>
            </w:r>
          </w:p>
        </w:tc>
      </w:tr>
      <w:tr>
        <w:tc>
          <w:tcPr>
            <w:tcW w:type="dxa" w:w="2880"/>
          </w:tcPr>
          <w:p>
            <w:r/>
            <w:r>
              <w:t>Cost Oil (Contractor)</w:t>
            </w:r>
          </w:p>
        </w:tc>
        <w:tc>
          <w:tcPr>
            <w:tcW w:type="dxa" w:w="2880"/>
          </w:tcPr>
          <w:p>
            <w:r/>
            <w:r>
              <w:t>600.0</w:t>
            </w:r>
          </w:p>
        </w:tc>
        <w:tc>
          <w:tcPr>
            <w:tcW w:type="dxa" w:w="2880"/>
          </w:tcPr>
          <w:p>
            <w:r/>
            <w:r>
              <w:t>37.5%</w:t>
            </w:r>
          </w:p>
        </w:tc>
      </w:tr>
      <w:tr>
        <w:tc>
          <w:tcPr>
            <w:tcW w:type="dxa" w:w="2880"/>
          </w:tcPr>
          <w:p>
            <w:r/>
            <w:r>
              <w:t>Government Profit Oil</w:t>
            </w:r>
          </w:p>
        </w:tc>
        <w:tc>
          <w:tcPr>
            <w:tcW w:type="dxa" w:w="2880"/>
          </w:tcPr>
          <w:p>
            <w:r/>
            <w:r>
              <w:t>650.0</w:t>
            </w:r>
          </w:p>
        </w:tc>
        <w:tc>
          <w:tcPr>
            <w:tcW w:type="dxa" w:w="2880"/>
          </w:tcPr>
          <w:p>
            <w:r/>
            <w:r>
              <w:t>40.6%</w:t>
            </w:r>
          </w:p>
        </w:tc>
      </w:tr>
      <w:tr>
        <w:tc>
          <w:tcPr>
            <w:tcW w:type="dxa" w:w="2880"/>
          </w:tcPr>
          <w:p>
            <w:r/>
            <w:r>
              <w:t>Contractor Profit Oil</w:t>
            </w:r>
          </w:p>
        </w:tc>
        <w:tc>
          <w:tcPr>
            <w:tcW w:type="dxa" w:w="2880"/>
          </w:tcPr>
          <w:p>
            <w:r/>
            <w:r>
              <w:t>350.0</w:t>
            </w:r>
          </w:p>
        </w:tc>
        <w:tc>
          <w:tcPr>
            <w:tcW w:type="dxa" w:w="2880"/>
          </w:tcPr>
          <w:p>
            <w:r/>
            <w:r>
              <w:t>21.9%</w:t>
            </w:r>
          </w:p>
        </w:tc>
      </w:tr>
      <w:tr>
        <w:tc>
          <w:tcPr>
            <w:tcW w:type="dxa" w:w="2880"/>
          </w:tcPr>
          <w:p>
            <w:r/>
            <w:r>
              <w:t>PIT on Contractor</w:t>
            </w:r>
          </w:p>
        </w:tc>
        <w:tc>
          <w:tcPr>
            <w:tcW w:type="dxa" w:w="2880"/>
          </w:tcPr>
          <w:p>
            <w:r/>
            <w:r>
              <w:t>(230.1)</w:t>
            </w:r>
          </w:p>
        </w:tc>
        <w:tc>
          <w:tcPr>
            <w:tcW w:type="dxa" w:w="2880"/>
          </w:tcPr>
          <w:p>
            <w:r/>
            <w:r>
              <w:t>(14.4%)</w:t>
            </w:r>
          </w:p>
        </w:tc>
      </w:tr>
      <w:tr>
        <w:tc>
          <w:tcPr>
            <w:tcW w:type="dxa" w:w="2880"/>
          </w:tcPr>
          <w:p>
            <w:r/>
            <w:r>
              <w:t>Production Tax</w:t>
            </w:r>
          </w:p>
        </w:tc>
        <w:tc>
          <w:tcPr>
            <w:tcW w:type="dxa" w:w="2880"/>
          </w:tcPr>
          <w:p>
            <w:r/>
            <w:r>
              <w:t>(190.0)</w:t>
            </w:r>
          </w:p>
        </w:tc>
        <w:tc>
          <w:tcPr>
            <w:tcW w:type="dxa" w:w="2880"/>
          </w:tcPr>
          <w:p>
            <w:r/>
            <w:r>
              <w:t>(11.9%)</w:t>
            </w:r>
          </w:p>
        </w:tc>
      </w:tr>
      <w:tr>
        <w:tc>
          <w:tcPr>
            <w:tcW w:type="dxa" w:w="2880"/>
          </w:tcPr>
          <w:p>
            <w:r/>
            <w:r>
              <w:t>Production Bonus</w:t>
            </w:r>
          </w:p>
        </w:tc>
        <w:tc>
          <w:tcPr>
            <w:tcW w:type="dxa" w:w="2880"/>
          </w:tcPr>
          <w:p>
            <w:r/>
            <w:r>
              <w:t>(10.0)</w:t>
            </w:r>
          </w:p>
        </w:tc>
        <w:tc>
          <w:tcPr>
            <w:tcW w:type="dxa" w:w="2880"/>
          </w:tcPr>
          <w:p>
            <w:r/>
            <w:r>
              <w:t>(0.6%)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Net Contractor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519.9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32.5%</w:t>
            </w:r>
          </w:p>
        </w:tc>
      </w:tr>
      <w:tr>
        <w:tc>
          <w:tcPr>
            <w:tcW w:type="dxa" w:w="2880"/>
          </w:tcPr>
          <w:p>
            <w:r/>
            <w:r>
              <w:rPr>
                <w:b/>
              </w:rPr>
              <w:t>Government Total Take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1,080.1</w:t>
            </w:r>
          </w:p>
        </w:tc>
        <w:tc>
          <w:tcPr>
            <w:tcW w:type="dxa" w:w="2880"/>
          </w:tcPr>
          <w:p>
            <w:r/>
            <w:r>
              <w:rPr>
                <w:b/>
              </w:rPr>
              <w:t>67.5%</w:t>
            </w:r>
          </w:p>
        </w:tc>
      </w:tr>
    </w:tbl>
    <w:p/>
    <w:p>
      <w:r>
        <w:rPr>
          <w:b/>
        </w:rPr>
        <w:t>Analysis:</w:t>
      </w:r>
    </w:p>
    <w:p>
      <w:r>
        <w:t>The contractor receives 32.5% of gross revenue, comprising cost recovery (37.5%) and a net profit share after taxes. The government captures 67.5% through its direct profit oil share (40.6%), petroleum income tax on the contractor's profit share (14.4%), production tax on contractor revenues (11.9%), and production bonuses (0.6%). The effective government take percentage increases with field profitability due to the progressive nature of the profit oil split and the fixed tax rates applied to contractor entitlements.</w:t>
      </w:r>
    </w:p>
    <w:p>
      <w:pPr>
        <w:spacing w:before="120" w:after="120"/>
        <w:pBdr>
          <w:bottom w:val="single" w:sz="6" w:space="1" w:color="auto"/>
        </w:pBdr>
      </w:pPr>
    </w:p>
    <w:p>
      <w:r>
        <w:rPr>
          <w:b/>
        </w:rPr>
        <w:t>Study Note Key Points:</w:t>
      </w:r>
    </w:p>
    <w:p>
      <w:pPr>
        <w:pStyle w:val="ListNumber"/>
      </w:pPr>
      <w:r>
        <w:t>Angola operates a hybrid PSC-tax system with a 50% cost recovery ceiling (70% for incremental production) and profit oil splits typically favoring government (60-70%)</w:t>
      </w:r>
    </w:p>
    <w:p>
      <w:pPr>
        <w:pStyle w:val="ListNumber"/>
      </w:pPr>
      <w:r>
        <w:t>Contractors pay 65.75% PIT (standard association agreements) or 50% PIT (production sharing agreements) on their profit oil share only, not on cost oil recovery</w:t>
      </w:r>
    </w:p>
    <w:p>
      <w:pPr>
        <w:pStyle w:val="ListNumber"/>
      </w:pPr>
      <w:r>
        <w:t>Presidential Decree No. 8/24 of November 2024 introduced reduced rates (55.75% PIT for associations, 25% for PSAs) for incremental production from mature blocks and undeveloped fields</w:t>
      </w:r>
    </w:p>
    <w:p>
      <w:pPr>
        <w:pStyle w:val="ListNumber"/>
      </w:pPr>
      <w:r>
        <w:t>Effective government take typically ranges from 60-70% of gross revenues depending on field profitability, cost levels, and applicable regime</w:t>
      </w:r>
    </w:p>
    <w:p>
      <w:pPr>
        <w:pStyle w:val="ListNumber"/>
      </w:pPr>
      <w:r>
        <w:t>Block-level ring-fencing prevents cross-subsidization; each PSC is taxed independently</w:t>
      </w:r>
    </w:p>
    <w:p>
      <w:pPr>
        <w:pStyle w:val="ListNumber"/>
      </w:pPr>
      <w:r>
        <w:t>Limited double taxation treaty network requires careful withholding tax planning, particularly for service payments (15% non-resident rate) and dividends</w:t>
      </w:r>
    </w:p>
    <w:p>
      <w:pPr>
        <w:pStyle w:val="ListNumber"/>
      </w:pPr>
      <w:r>
        <w:t>Local content regime under Presidential Decree No. 271/20 of 2020 imposes strict requirements on employment, procurement, and technology transfer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4F81BD" w:themeColor="accent1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