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39 Operating leasing</w:t>
      </w:r>
    </w:p>
    <w:p>
      <w:pPr>
        <w:pStyle w:val="Heading1"/>
      </w:pPr>
      <w:r>
        <w:t>39. Operating Leasing</w:t>
      </w:r>
    </w:p>
    <w:p>
      <w:pPr>
        <w:pStyle w:val="Heading2"/>
      </w:pPr>
      <w:r>
        <w:t>Introduction</w:t>
      </w:r>
    </w:p>
    <w:p>
      <w:r>
        <w:t xml:space="preserve">Operating leases are widely used in the oil and gas sector to access high-value capital equipment without incurring the significant upfront costs and risks associated with ownership. Common leased assets include </w:t>
      </w:r>
      <w:r>
        <w:rPr>
          <w:b/>
        </w:rPr>
        <w:t>drilling rigs</w:t>
      </w:r>
      <w:r>
        <w:t xml:space="preserve"> (jack-ups, semi-submersibles, drillships), </w:t>
      </w:r>
      <w:r>
        <w:rPr>
          <w:b/>
        </w:rPr>
        <w:t>floating production storage and offloading vessels (FPSOs)</w:t>
      </w:r>
      <w:r>
        <w:t xml:space="preserve">, </w:t>
      </w:r>
      <w:r>
        <w:rPr>
          <w:b/>
        </w:rPr>
        <w:t>seismic vessels</w:t>
      </w:r>
      <w:r>
        <w:t xml:space="preserve">, </w:t>
      </w:r>
      <w:r>
        <w:rPr>
          <w:b/>
        </w:rPr>
        <w:t>helicopters</w:t>
      </w:r>
      <w:r>
        <w:t xml:space="preserve">, </w:t>
      </w:r>
      <w:r>
        <w:rPr>
          <w:b/>
        </w:rPr>
        <w:t>production facilities</w:t>
      </w:r>
      <w:r>
        <w:t xml:space="preserve">, and </w:t>
      </w:r>
      <w:r>
        <w:rPr>
          <w:b/>
        </w:rPr>
        <w:t>specialized drilling equipment</w:t>
      </w:r>
      <w:r>
        <w:t>.</w:t>
      </w:r>
    </w:p>
    <w:p>
      <w:r>
        <w:t xml:space="preserve">The tax treatment of operating lease payments is critical for multinational oil and gas companies, as it affects both </w:t>
      </w:r>
      <w:r>
        <w:rPr>
          <w:b/>
        </w:rPr>
        <w:t>deductibility of expenses</w:t>
      </w:r>
      <w:r>
        <w:t xml:space="preserve"> and </w:t>
      </w:r>
      <w:r>
        <w:rPr>
          <w:b/>
        </w:rPr>
        <w:t>withholding tax obligations</w:t>
      </w:r>
      <w:r>
        <w:t xml:space="preserve"> on cross-border payments. The classification of lease payments under double tax treaties—whether as </w:t>
      </w:r>
      <w:r>
        <w:rPr>
          <w:b/>
        </w:rPr>
        <w:t>royalties (Article 12)</w:t>
      </w:r>
      <w:r>
        <w:t xml:space="preserve"> or </w:t>
      </w:r>
      <w:r>
        <w:rPr>
          <w:b/>
        </w:rPr>
        <w:t>business profits (Article 7)</w:t>
      </w:r>
      <w:r>
        <w:t>—determines the source country's taxing rights and withholding tax rates.</w:t>
      </w:r>
    </w:p>
    <w:p>
      <w:r>
        <w:t xml:space="preserve">For ADIT examination purposes, this chapter examines the </w:t>
      </w:r>
      <w:r>
        <w:rPr>
          <w:b/>
        </w:rPr>
        <w:t>distinction between operating and finance leases</w:t>
      </w:r>
      <w:r>
        <w:t xml:space="preserve">, </w:t>
      </w:r>
      <w:r>
        <w:rPr>
          <w:b/>
        </w:rPr>
        <w:t>domestic tax treatment</w:t>
      </w:r>
      <w:r>
        <w:t xml:space="preserve">, </w:t>
      </w:r>
      <w:r>
        <w:rPr>
          <w:b/>
        </w:rPr>
        <w:t>treaty classification issues</w:t>
      </w:r>
      <w:r>
        <w:t xml:space="preserve"> (OECD vs. UN Model), </w:t>
      </w:r>
      <w:r>
        <w:rPr>
          <w:b/>
        </w:rPr>
        <w:t>transfer pricing considerations</w:t>
      </w:r>
      <w:r>
        <w:t xml:space="preserve">, and </w:t>
      </w:r>
      <w:r>
        <w:rPr>
          <w:b/>
        </w:rPr>
        <w:t>special issues in the oil and gas context</w:t>
      </w:r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 Operating Lease vs. Finance Lease</w:t>
      </w:r>
    </w:p>
    <w:p>
      <w:pPr>
        <w:pStyle w:val="Heading3"/>
      </w:pPr>
      <w:r>
        <w:t>1.1 Definitions</w:t>
      </w:r>
    </w:p>
    <w:p>
      <w:pPr>
        <w:pStyle w:val="Heading4"/>
      </w:pPr>
      <w:r>
        <w:t>Operating Lease</w:t>
      </w:r>
    </w:p>
    <w:p>
      <w:r>
        <w:t xml:space="preserve">An </w:t>
      </w:r>
      <w:r>
        <w:rPr>
          <w:b/>
        </w:rPr>
        <w:t>operating lease</w:t>
      </w:r>
      <w:r>
        <w:t xml:space="preserve"> is a rental arrangement where:</w:t>
      </w:r>
    </w:p>
    <w:p>
      <w:pPr>
        <w:pStyle w:val="ListBullet"/>
      </w:pPr>
      <w:r>
        <w:rPr>
          <w:b/>
        </w:rPr>
        <w:t>Lessor retains ownership</w:t>
      </w:r>
      <w:r>
        <w:t xml:space="preserve"> and substantially all risks and rewards of ownership</w:t>
      </w:r>
    </w:p>
    <w:p>
      <w:pPr>
        <w:pStyle w:val="ListBullet"/>
      </w:pPr>
      <w:r>
        <w:rPr>
          <w:b/>
        </w:rPr>
        <w:t>Lessee</w:t>
      </w:r>
      <w:r>
        <w:t xml:space="preserve"> obtains the right to use the asset for a specific period</w:t>
      </w:r>
    </w:p>
    <w:p>
      <w:pPr>
        <w:pStyle w:val="ListBullet"/>
      </w:pPr>
      <w:r>
        <w:rPr>
          <w:b/>
        </w:rPr>
        <w:t>Lease term</w:t>
      </w:r>
      <w:r>
        <w:t xml:space="preserve"> is typically shorter than the asset's useful life</w:t>
      </w:r>
    </w:p>
    <w:p>
      <w:pPr>
        <w:pStyle w:val="ListBullet"/>
      </w:pPr>
      <w:r>
        <w:rPr>
          <w:b/>
        </w:rPr>
        <w:t>No transfer of ownership</w:t>
      </w:r>
      <w:r>
        <w:t xml:space="preserve"> at lease end (lessee returns asset)</w:t>
      </w:r>
    </w:p>
    <w:p>
      <w:pPr>
        <w:pStyle w:val="ListBullet"/>
      </w:pPr>
      <w:r>
        <w:rPr>
          <w:b/>
        </w:rPr>
        <w:t>Residual value risk</w:t>
      </w:r>
      <w:r>
        <w:t xml:space="preserve"> remains with lessor</w:t>
      </w:r>
    </w:p>
    <w:p>
      <w:r>
        <w:rPr>
          <w:b/>
        </w:rPr>
        <w:t>Accounting Treatment (International Financial Reporting Standards (IFRS) 16 / Accounting Standards Codification (ASC) 842)</w:t>
      </w:r>
      <w:r>
        <w:t>:</w:t>
      </w:r>
    </w:p>
    <w:p>
      <w:pPr>
        <w:pStyle w:val="ListBullet"/>
      </w:pPr>
      <w:r>
        <w:rPr>
          <w:b/>
        </w:rPr>
        <w:t>Lessee</w:t>
      </w:r>
      <w:r>
        <w:t xml:space="preserve">: Recognizes </w:t>
      </w:r>
      <w:r>
        <w:rPr>
          <w:b/>
        </w:rPr>
        <w:t>right-of-use asset</w:t>
      </w:r>
      <w:r>
        <w:t xml:space="preserve"> and </w:t>
      </w:r>
      <w:r>
        <w:rPr>
          <w:b/>
        </w:rPr>
        <w:t>lease liability</w:t>
      </w:r>
      <w:r>
        <w:t xml:space="preserve"> on balance sheet (under current standards, both operating and finance leases are on-balance-sheet)</w:t>
      </w:r>
    </w:p>
    <w:p>
      <w:pPr>
        <w:pStyle w:val="ListBullet"/>
      </w:pPr>
      <w:r>
        <w:rPr>
          <w:b/>
        </w:rPr>
        <w:t>Lessor</w:t>
      </w:r>
      <w:r>
        <w:t>: Asset remains on lessor's balance sheet; rental income recognized over lease term</w:t>
      </w:r>
    </w:p>
    <w:p>
      <w:pPr>
        <w:pStyle w:val="Heading4"/>
      </w:pPr>
      <w:r>
        <w:t>Finance Lease (Capital Lease)</w:t>
      </w:r>
    </w:p>
    <w:p>
      <w:r>
        <w:t xml:space="preserve">A </w:t>
      </w:r>
      <w:r>
        <w:rPr>
          <w:b/>
        </w:rPr>
        <w:t>finance lease</w:t>
      </w:r>
      <w:r>
        <w:t xml:space="preserve"> is economically equivalent to a purchase financed by debt:</w:t>
      </w:r>
    </w:p>
    <w:p>
      <w:pPr>
        <w:pStyle w:val="ListBullet"/>
      </w:pPr>
      <w:r>
        <w:rPr>
          <w:b/>
        </w:rPr>
        <w:t>Substantially all risks and rewards</w:t>
      </w:r>
      <w:r>
        <w:t xml:space="preserve"> transferred to lessee</w:t>
      </w:r>
    </w:p>
    <w:p>
      <w:pPr>
        <w:pStyle w:val="ListBullet"/>
      </w:pPr>
      <w:r>
        <w:rPr>
          <w:b/>
        </w:rPr>
        <w:t>Lease term</w:t>
      </w:r>
      <w:r>
        <w:t xml:space="preserve"> covers major part of asset's economic life</w:t>
      </w:r>
    </w:p>
    <w:p>
      <w:pPr>
        <w:pStyle w:val="ListBullet"/>
      </w:pPr>
      <w:r>
        <w:rPr>
          <w:b/>
        </w:rPr>
        <w:t>Present value</w:t>
      </w:r>
      <w:r>
        <w:t xml:space="preserve"> of lease payments approximates asset's fair value</w:t>
      </w:r>
    </w:p>
    <w:p>
      <w:pPr>
        <w:pStyle w:val="ListBullet"/>
      </w:pPr>
      <w:r>
        <w:rPr>
          <w:b/>
        </w:rPr>
        <w:t>Transfer of ownership</w:t>
      </w:r>
      <w:r>
        <w:t xml:space="preserve"> or bargain purchase option at lease end</w:t>
      </w:r>
    </w:p>
    <w:p>
      <w:r>
        <w:rPr>
          <w:b/>
        </w:rPr>
        <w:t>Tax Treatment</w:t>
      </w:r>
      <w:r>
        <w:t xml:space="preserve">: Often recharacterized as a </w:t>
      </w:r>
      <w:r>
        <w:rPr>
          <w:b/>
        </w:rPr>
        <w:t>sale</w:t>
      </w:r>
      <w:r>
        <w:t xml:space="preserve"> with debt financing.</w:t>
      </w:r>
    </w:p>
    <w:p>
      <w:pPr>
        <w:pStyle w:val="Heading3"/>
      </w:pPr>
      <w:r>
        <w:t>1.2 Classification Tests</w:t>
      </w:r>
    </w:p>
    <w:p>
      <w:r>
        <w:t xml:space="preserve">Under </w:t>
      </w:r>
      <w:r>
        <w:rPr>
          <w:b/>
        </w:rPr>
        <w:t>IFRS 16</w:t>
      </w:r>
      <w:r>
        <w:t xml:space="preserve"> and </w:t>
      </w:r>
      <w:r>
        <w:rPr>
          <w:b/>
        </w:rPr>
        <w:t>ASC 842</w:t>
      </w:r>
      <w:r>
        <w:t>, a lease is classified as a finance lease if it meets any of the following:</w:t>
      </w:r>
    </w:p>
    <w:p>
      <w:pPr>
        <w:pStyle w:val="ListNumber"/>
      </w:pPr>
      <w:r>
        <w:rPr>
          <w:b/>
        </w:rPr>
        <w:t>Ownership transfer</w:t>
      </w:r>
      <w:r>
        <w:t>: Lease transfers ownership to lessee by end of term</w:t>
      </w:r>
    </w:p>
    <w:p>
      <w:pPr>
        <w:pStyle w:val="ListNumber"/>
      </w:pPr>
      <w:r>
        <w:rPr>
          <w:b/>
        </w:rPr>
        <w:t>Bargain purchase option</w:t>
      </w:r>
      <w:r>
        <w:t>: Lessee has option to purchase at significantly below fair value</w:t>
      </w:r>
    </w:p>
    <w:p>
      <w:pPr>
        <w:pStyle w:val="ListNumber"/>
      </w:pPr>
      <w:r>
        <w:rPr>
          <w:b/>
        </w:rPr>
        <w:t>Lease term</w:t>
      </w:r>
      <w:r>
        <w:t xml:space="preserve">: Covers </w:t>
      </w:r>
      <w:r>
        <w:rPr>
          <w:b/>
        </w:rPr>
        <w:t>major part</w:t>
      </w:r>
      <w:r>
        <w:t xml:space="preserve"> (typically ≥75%) of asset's economic life</w:t>
      </w:r>
    </w:p>
    <w:p>
      <w:pPr>
        <w:pStyle w:val="ListNumber"/>
      </w:pPr>
      <w:r>
        <w:rPr>
          <w:b/>
        </w:rPr>
        <w:t>Present value</w:t>
      </w:r>
      <w:r>
        <w:t xml:space="preserve">: PV of lease payments is </w:t>
      </w:r>
      <w:r>
        <w:rPr>
          <w:b/>
        </w:rPr>
        <w:t>substantially all</w:t>
      </w:r>
      <w:r>
        <w:t xml:space="preserve"> (typically ≥90%) of asset's fair value</w:t>
      </w:r>
    </w:p>
    <w:p>
      <w:pPr>
        <w:pStyle w:val="ListNumber"/>
      </w:pPr>
      <w:r>
        <w:rPr>
          <w:b/>
        </w:rPr>
        <w:t>Specialized asset</w:t>
      </w:r>
      <w:r>
        <w:t>: Asset is so specialized that only lessee can use it without major modifications</w:t>
      </w:r>
    </w:p>
    <w:p>
      <w:r>
        <w:rPr>
          <w:b/>
        </w:rPr>
        <w:t>If none of these criteria are met</w:t>
      </w:r>
      <w:r>
        <w:t xml:space="preserve">, the lease is classified as an </w:t>
      </w:r>
      <w:r>
        <w:rPr>
          <w:b/>
        </w:rPr>
        <w:t>operating lease</w:t>
      </w:r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 Domestic Tax Treatment of Operating Leases</w:t>
      </w:r>
    </w:p>
    <w:p>
      <w:pPr>
        <w:pStyle w:val="Heading3"/>
      </w:pPr>
      <w:r>
        <w:t>2.1 Lessee Perspective</w:t>
      </w:r>
    </w:p>
    <w:p>
      <w:pPr>
        <w:pStyle w:val="Heading4"/>
      </w:pPr>
      <w:r>
        <w:t>Deductibility of Rental Payments</w:t>
      </w:r>
    </w:p>
    <w:p>
      <w:r>
        <w:rPr>
          <w:b/>
        </w:rPr>
        <w:t>General Rule</w:t>
      </w:r>
      <w:r>
        <w:t xml:space="preserve">: Operating lease payments are </w:t>
      </w:r>
      <w:r>
        <w:rPr>
          <w:b/>
        </w:rPr>
        <w:t>fully deductible</w:t>
      </w:r>
      <w:r>
        <w:t xml:space="preserve"> as ordinary and necessary business expenses in the period incurred.</w:t>
      </w:r>
    </w:p>
    <w:p>
      <w:r>
        <w:rPr>
          <w:b/>
        </w:rPr>
        <w:t>United States (IRC Section 162)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Deductible rental expense = Annual lease payment</w:t>
      </w:r>
    </w:p>
    <w:p/>
    <w:p>
      <w:r>
        <w:rPr>
          <w:b/>
        </w:rPr>
        <w:t>Requirements</w:t>
      </w:r>
      <w:r>
        <w:t>:</w:t>
      </w:r>
    </w:p>
    <w:p>
      <w:pPr>
        <w:pStyle w:val="ListBullet"/>
      </w:pPr>
      <w:r>
        <w:t xml:space="preserve">Payments must be for </w:t>
      </w:r>
      <w:r>
        <w:rPr>
          <w:b/>
        </w:rPr>
        <w:t>genuine use</w:t>
      </w:r>
      <w:r>
        <w:t xml:space="preserve"> of property in the taxpayer's trade or business</w:t>
      </w:r>
    </w:p>
    <w:p>
      <w:pPr>
        <w:pStyle w:val="ListBullet"/>
      </w:pPr>
      <w:r>
        <w:t xml:space="preserve">Payments must be </w:t>
      </w:r>
      <w:r>
        <w:rPr>
          <w:b/>
        </w:rPr>
        <w:t>reasonable</w:t>
      </w:r>
      <w:r>
        <w:t xml:space="preserve"> (not inflated to shift profits)</w:t>
      </w:r>
    </w:p>
    <w:p>
      <w:pPr>
        <w:pStyle w:val="ListBullet"/>
      </w:pPr>
      <w:r>
        <w:t xml:space="preserve">Lease must be a </w:t>
      </w:r>
      <w:r>
        <w:rPr>
          <w:b/>
        </w:rPr>
        <w:t>true lease</w:t>
      </w:r>
      <w:r>
        <w:t xml:space="preserve"> (not a disguised purchase)</w:t>
      </w:r>
    </w:p>
    <w:p>
      <w:r>
        <w:rPr>
          <w:b/>
        </w:rPr>
        <w:t>United Kingdom (Corporation Tax Act (CTA) 2009)</w:t>
      </w:r>
      <w:r>
        <w:t>:</w:t>
      </w:r>
    </w:p>
    <w:p>
      <w:pPr>
        <w:pStyle w:val="ListBullet"/>
      </w:pPr>
      <w:r>
        <w:t xml:space="preserve">Operating lease payments are deductible as </w:t>
      </w:r>
      <w:r>
        <w:rPr>
          <w:b/>
        </w:rPr>
        <w:t>revenue expenditure</w:t>
      </w:r>
    </w:p>
    <w:p>
      <w:pPr>
        <w:pStyle w:val="ListBullet"/>
      </w:pPr>
      <w:r>
        <w:rPr>
          <w:b/>
        </w:rPr>
        <w:t>Transfer pricing</w:t>
      </w:r>
      <w:r>
        <w:t xml:space="preserve"> applies to related-party leases (must be arm's length)</w:t>
      </w:r>
    </w:p>
    <w:p>
      <w:r>
        <w:rPr>
          <w:b/>
        </w:rPr>
        <w:t>Production Sharing Contracts (PSCs)</w:t>
      </w:r>
      <w:r>
        <w:t>:</w:t>
      </w:r>
    </w:p>
    <w:p>
      <w:r>
        <w:t>In PSC regimes, lease payments are typically:</w:t>
      </w:r>
    </w:p>
    <w:p>
      <w:pPr>
        <w:pStyle w:val="ListBullet"/>
      </w:pPr>
      <w:r>
        <w:rPr>
          <w:b/>
        </w:rPr>
        <w:t>Cost-recoverable</w:t>
      </w:r>
      <w:r>
        <w:t>: Included in Cost Oil/Gas as operating expenses</w:t>
      </w:r>
    </w:p>
    <w:p>
      <w:pPr>
        <w:pStyle w:val="ListBullet"/>
      </w:pPr>
      <w:r>
        <w:rPr>
          <w:b/>
        </w:rPr>
        <w:t>Deductible</w:t>
      </w:r>
      <w:r>
        <w:t>: Reduce contractor's taxable Profit Oil/Gas</w:t>
      </w:r>
    </w:p>
    <w:p>
      <w:pPr>
        <w:pStyle w:val="ListBullet"/>
      </w:pPr>
      <w:r>
        <w:rPr>
          <w:b/>
        </w:rPr>
        <w:t>Subject to audit</w:t>
      </w:r>
      <w:r>
        <w:t>: Government may challenge reasonableness of rates</w:t>
      </w:r>
    </w:p>
    <w:p>
      <w:pPr>
        <w:pStyle w:val="Heading4"/>
      </w:pPr>
      <w:r>
        <w:t>Timing of Deduction</w:t>
      </w:r>
    </w:p>
    <w:p>
      <w:r>
        <w:rPr>
          <w:b/>
        </w:rPr>
        <w:t>Accrual Basis</w:t>
      </w:r>
      <w:r>
        <w:t>: Deduction recognized when liability accrues (typically ratably over lease term)</w:t>
      </w:r>
    </w:p>
    <w:p>
      <w:r>
        <w:rPr>
          <w:b/>
        </w:rPr>
        <w:t>Cash Basis</w:t>
      </w:r>
      <w:r>
        <w:t>: Deduction recognized when payment is made</w:t>
      </w:r>
    </w:p>
    <w:p>
      <w:r>
        <w:rPr>
          <w:b/>
        </w:rPr>
        <w:t>Prepaid Rent</w:t>
      </w:r>
      <w:r>
        <w:t xml:space="preserve">: Generally must be </w:t>
      </w:r>
      <w:r>
        <w:rPr>
          <w:b/>
        </w:rPr>
        <w:t>capitalized and amortized</w:t>
      </w:r>
      <w:r>
        <w:t xml:space="preserve"> over the period to which it relates (cannot deduct entire prepayment upfront).</w:t>
      </w:r>
    </w:p>
    <w:p>
      <w:pPr>
        <w:pStyle w:val="Heading3"/>
      </w:pPr>
      <w:r>
        <w:t>2.2 Lessor Perspective</w:t>
      </w:r>
    </w:p>
    <w:p>
      <w:pPr>
        <w:pStyle w:val="Heading4"/>
      </w:pPr>
      <w:r>
        <w:t>Recognition of Rental Income</w:t>
      </w:r>
    </w:p>
    <w:p>
      <w:r>
        <w:rPr>
          <w:b/>
        </w:rPr>
        <w:t>General Rule</w:t>
      </w:r>
      <w:r>
        <w:t xml:space="preserve">: Rental income is </w:t>
      </w:r>
      <w:r>
        <w:rPr>
          <w:b/>
        </w:rPr>
        <w:t>taxable</w:t>
      </w:r>
      <w:r>
        <w:t xml:space="preserve"> when earned (accrual basis) or received (cash basis).</w:t>
      </w:r>
    </w:p>
    <w:p>
      <w:r>
        <w:rPr>
          <w:b/>
        </w:rPr>
        <w:t>United States</w:t>
      </w:r>
      <w:r>
        <w:t>:</w:t>
      </w:r>
    </w:p>
    <w:p>
      <w:pPr>
        <w:pStyle w:val="ListBullet"/>
      </w:pPr>
      <w:r>
        <w:t xml:space="preserve">Rental income included in </w:t>
      </w:r>
      <w:r>
        <w:rPr>
          <w:b/>
        </w:rPr>
        <w:t>gross income</w:t>
      </w:r>
      <w:r>
        <w:t xml:space="preserve"> under Section 61</w:t>
      </w:r>
    </w:p>
    <w:p>
      <w:pPr>
        <w:pStyle w:val="ListBullet"/>
      </w:pPr>
      <w:r>
        <w:t>Depreciation deductions available on leased asset (Section 167/168)</w:t>
      </w:r>
    </w:p>
    <w:p>
      <w:r>
        <w:rPr>
          <w:b/>
        </w:rPr>
        <w:t>Effective Tax Rate Calculation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Rental income = $10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Depreciation (MACRS 7-year, assume $3M) = $3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Operating costs (maintenance, insurance) = $1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 = $6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 at 21% = $1.26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rate on gross rental income = 12.6%</w:t>
      </w:r>
    </w:p>
    <w:p/>
    <w:p>
      <w:pPr>
        <w:pStyle w:val="Heading4"/>
      </w:pPr>
      <w:r>
        <w:t>Depreciation and Capital Allowances</w:t>
      </w:r>
    </w:p>
    <w:p>
      <w:r>
        <w:rPr>
          <w:b/>
        </w:rPr>
        <w:t>United States</w:t>
      </w:r>
      <w:r>
        <w:t>:</w:t>
      </w:r>
    </w:p>
    <w:p>
      <w:pPr>
        <w:pStyle w:val="ListBullet"/>
      </w:pPr>
      <w:r>
        <w:rPr>
          <w:b/>
        </w:rPr>
        <w:t>7-year MACRS</w:t>
      </w:r>
      <w:r>
        <w:t xml:space="preserve"> for most oil &amp; gas equipment (drilling rigs, production equipment)</w:t>
      </w:r>
    </w:p>
    <w:p>
      <w:pPr>
        <w:pStyle w:val="ListBullet"/>
      </w:pPr>
      <w:r>
        <w:rPr>
          <w:b/>
        </w:rPr>
        <w:t>Bonus depreciation</w:t>
      </w:r>
      <w:r>
        <w:t>: 60% for property placed in service in 2024 (phasing down from 100% pre-2023)</w:t>
      </w:r>
    </w:p>
    <w:p>
      <w:r>
        <w:rPr>
          <w:b/>
        </w:rPr>
        <w:t>United Kingdom</w:t>
      </w:r>
      <w:r>
        <w:t>:</w:t>
      </w:r>
    </w:p>
    <w:p>
      <w:pPr>
        <w:pStyle w:val="ListBullet"/>
      </w:pPr>
      <w:r>
        <w:rPr>
          <w:b/>
        </w:rPr>
        <w:t>Annual Investment Allowance (AIA)</w:t>
      </w:r>
      <w:r>
        <w:t>: 100% first-year allowance on qualifying plant and machinery (up to £1 million)</w:t>
      </w:r>
    </w:p>
    <w:p>
      <w:pPr>
        <w:pStyle w:val="ListBullet"/>
      </w:pPr>
      <w:r>
        <w:rPr>
          <w:b/>
        </w:rPr>
        <w:t>Writing-down allowances</w:t>
      </w:r>
      <w:r>
        <w:t>: 18% declining balance for main pool assets</w:t>
      </w:r>
    </w:p>
    <w:p>
      <w:r>
        <w:rPr>
          <w:b/>
        </w:rPr>
        <w:t>Norway</w:t>
      </w:r>
      <w:r>
        <w:t>:</w:t>
      </w:r>
    </w:p>
    <w:p>
      <w:pPr>
        <w:pStyle w:val="ListBullet"/>
      </w:pPr>
      <w:r>
        <w:rPr>
          <w:b/>
        </w:rPr>
        <w:t>Linear depreciation</w:t>
      </w:r>
      <w:r>
        <w:t>: Offshore equipment depreciated over 6 years (16.67% per year)</w:t>
      </w:r>
    </w:p>
    <w:p>
      <w:pPr>
        <w:pStyle w:val="ListBullet"/>
      </w:pPr>
      <w:r>
        <w:rPr>
          <w:b/>
        </w:rPr>
        <w:t>Declining balance</w:t>
      </w:r>
      <w:r>
        <w:t>: Alternative method at 20% per year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 Cross-Border Leasing and Treaty Classification</w:t>
      </w:r>
    </w:p>
    <w:p>
      <w:pPr>
        <w:pStyle w:val="Heading3"/>
      </w:pPr>
      <w:r>
        <w:t>3.1 OECD Model Tax Convention</w:t>
      </w:r>
    </w:p>
    <w:p>
      <w:pPr>
        <w:pStyle w:val="Heading4"/>
      </w:pPr>
      <w:r>
        <w:t>Pre-1992: Equipment Leasing as Royalties</w:t>
      </w:r>
    </w:p>
    <w:p>
      <w:r>
        <w:t xml:space="preserve">Before 1992, the OECD Model </w:t>
      </w:r>
      <w:r>
        <w:rPr>
          <w:b/>
        </w:rPr>
        <w:t>Article 12</w:t>
      </w:r>
      <w:r>
        <w:t xml:space="preserve"> definition of royalties included:</w:t>
      </w:r>
    </w:p>
    <w:p>
      <w:r>
        <w:t xml:space="preserve">&gt; "...payments of any kind received as a consideration for...the use of, or the right to use, industrial, commercial or scientific </w:t>
      </w:r>
      <w:r>
        <w:rPr>
          <w:b/>
        </w:rPr>
        <w:t>equipment</w:t>
      </w:r>
      <w:r>
        <w:t>."</w:t>
      </w:r>
    </w:p>
    <w:p>
      <w:r>
        <w:t>Under this approach:</w:t>
      </w:r>
    </w:p>
    <w:p>
      <w:pPr>
        <w:pStyle w:val="ListBullet"/>
      </w:pPr>
      <w:r>
        <w:t xml:space="preserve">Equipment rental payments were </w:t>
      </w:r>
      <w:r>
        <w:rPr>
          <w:b/>
        </w:rPr>
        <w:t>royalties</w:t>
      </w:r>
    </w:p>
    <w:p>
      <w:pPr>
        <w:pStyle w:val="ListBullet"/>
      </w:pPr>
      <w:r>
        <w:t xml:space="preserve">Source country could impose </w:t>
      </w:r>
      <w:r>
        <w:rPr>
          <w:b/>
        </w:rPr>
        <w:t>withholding tax</w:t>
      </w:r>
      <w:r>
        <w:t xml:space="preserve"> (typically 5-15% under treaties)</w:t>
      </w:r>
    </w:p>
    <w:p>
      <w:pPr>
        <w:pStyle w:val="ListBullet"/>
      </w:pPr>
      <w:r>
        <w:rPr>
          <w:b/>
        </w:rPr>
        <w:t>No PE required</w:t>
      </w:r>
      <w:r>
        <w:t xml:space="preserve"> for source taxation</w:t>
      </w:r>
    </w:p>
    <w:p>
      <w:pPr>
        <w:pStyle w:val="Heading4"/>
      </w:pPr>
      <w:r>
        <w:t>Post-1992: Equipment Leasing Removed from Article 12</w:t>
      </w:r>
    </w:p>
    <w:p>
      <w:r>
        <w:t xml:space="preserve">In 1992, the OECD </w:t>
      </w:r>
      <w:r>
        <w:rPr>
          <w:b/>
        </w:rPr>
        <w:t>removed equipment leasing</w:t>
      </w:r>
      <w:r>
        <w:t xml:space="preserve"> from Article 12:</w:t>
      </w:r>
    </w:p>
    <w:p>
      <w:r>
        <w:rPr>
          <w:b/>
        </w:rPr>
        <w:t>Current OECD Model</w:t>
      </w:r>
      <w:r>
        <w:t xml:space="preserve">: Equipment rental is </w:t>
      </w:r>
      <w:r>
        <w:rPr>
          <w:b/>
        </w:rPr>
        <w:t>not a royalty</w:t>
      </w:r>
      <w:r>
        <w:t xml:space="preserve">; it falls under </w:t>
      </w:r>
      <w:r>
        <w:rPr>
          <w:b/>
        </w:rPr>
        <w:t>Article 7 (Business Profits)</w:t>
      </w:r>
      <w:r>
        <w:t>.</w:t>
      </w:r>
    </w:p>
    <w:p>
      <w:r>
        <w:rPr>
          <w:b/>
        </w:rPr>
        <w:t>Implications</w:t>
      </w:r>
      <w:r>
        <w:t>:</w:t>
      </w:r>
    </w:p>
    <w:p>
      <w:pPr>
        <w:pStyle w:val="ListBullet"/>
      </w:pPr>
      <w:r>
        <w:rPr>
          <w:b/>
        </w:rPr>
        <w:t>No withholding tax</w:t>
      </w:r>
      <w:r>
        <w:t xml:space="preserve"> on equipment rental (unless treaty explicitly provides for it)</w:t>
      </w:r>
    </w:p>
    <w:p>
      <w:pPr>
        <w:pStyle w:val="ListBullet"/>
      </w:pPr>
      <w:r>
        <w:t xml:space="preserve">Source country can tax only if lessor has a </w:t>
      </w:r>
      <w:r>
        <w:rPr>
          <w:b/>
        </w:rPr>
        <w:t>permanent establishment (PE)</w:t>
      </w:r>
    </w:p>
    <w:p>
      <w:pPr>
        <w:pStyle w:val="ListBullet"/>
      </w:pPr>
      <w:r>
        <w:t xml:space="preserve">If no PE, rental income taxable </w:t>
      </w:r>
      <w:r>
        <w:rPr>
          <w:b/>
        </w:rPr>
        <w:t>only in lessor's residence country</w:t>
      </w:r>
    </w:p>
    <w:p>
      <w:r>
        <w:rPr>
          <w:b/>
        </w:rPr>
        <w:t>OECD Commentary Explanation</w:t>
      </w:r>
      <w:r>
        <w:t>: The removal was based on the view that:</w:t>
      </w:r>
    </w:p>
    <w:p>
      <w:pPr>
        <w:pStyle w:val="ListBullet"/>
      </w:pPr>
      <w:r>
        <w:t xml:space="preserve">Equipment leasing is an </w:t>
      </w:r>
      <w:r>
        <w:rPr>
          <w:b/>
        </w:rPr>
        <w:t>active business activity</w:t>
      </w:r>
      <w:r>
        <w:t xml:space="preserve"> (like provision of services)</w:t>
      </w:r>
    </w:p>
    <w:p>
      <w:pPr>
        <w:pStyle w:val="ListBullet"/>
      </w:pPr>
      <w:r>
        <w:t xml:space="preserve">Differs from </w:t>
      </w:r>
      <w:r>
        <w:rPr>
          <w:b/>
        </w:rPr>
        <w:t>passive income</w:t>
      </w:r>
      <w:r>
        <w:t xml:space="preserve"> like dividends, interest, and IP royalties</w:t>
      </w:r>
    </w:p>
    <w:p>
      <w:pPr>
        <w:pStyle w:val="ListBullet"/>
      </w:pPr>
      <w:r>
        <w:t>Should not be subject to gross-basis withholding tax</w:t>
      </w:r>
    </w:p>
    <w:p>
      <w:pPr>
        <w:pStyle w:val="Heading3"/>
      </w:pPr>
      <w:r>
        <w:t>3.2 UN Model Tax Convention</w:t>
      </w:r>
    </w:p>
    <w:p>
      <w:pPr>
        <w:pStyle w:val="Heading4"/>
      </w:pPr>
      <w:r>
        <w:t>Equipment Leasing Remains in Article 12</w:t>
      </w:r>
    </w:p>
    <w:p>
      <w:r>
        <w:t xml:space="preserve">The </w:t>
      </w:r>
      <w:r>
        <w:rPr>
          <w:b/>
        </w:rPr>
        <w:t>UN Model</w:t>
      </w:r>
      <w:r>
        <w:t xml:space="preserve"> retains equipment leasing in Article 12(3):</w:t>
      </w:r>
    </w:p>
    <w:p>
      <w:r>
        <w:t xml:space="preserve">&gt; "The term 'royalties' as used in this Article means payments of any kind received as a consideration for...the use of, or the right to use, industrial, commercial, or scientific </w:t>
      </w:r>
      <w:r>
        <w:rPr>
          <w:b/>
        </w:rPr>
        <w:t>equipment</w:t>
      </w:r>
      <w:r>
        <w:t>..."</w:t>
      </w:r>
    </w:p>
    <w:p>
      <w:r>
        <w:rPr>
          <w:b/>
        </w:rPr>
        <w:t>Rationale</w:t>
      </w:r>
      <w:r>
        <w:t>: Source countries (typically developing countries) prefer to retain taxing rights over equipment rental income, as:</w:t>
      </w:r>
    </w:p>
    <w:p>
      <w:pPr>
        <w:pStyle w:val="ListBullet"/>
      </w:pPr>
      <w:r>
        <w:t>Significant rental payments flow from source countries (oil-producing nations) to developed countries (where lessor equipment owners are based)</w:t>
      </w:r>
    </w:p>
    <w:p>
      <w:pPr>
        <w:pStyle w:val="ListBullet"/>
      </w:pPr>
      <w:r>
        <w:t>Withholding tax captures some revenue even if lessor has no PE</w:t>
      </w:r>
    </w:p>
    <w:p>
      <w:r>
        <w:rPr>
          <w:b/>
        </w:rPr>
        <w:t>Typical UN Model Treaty Rates</w:t>
      </w:r>
      <w:r>
        <w:t>: 5-15% withholding tax on gross rental payments</w:t>
      </w:r>
    </w:p>
    <w:p>
      <w:pPr>
        <w:pStyle w:val="Heading3"/>
      </w:pPr>
      <w:r>
        <w:t>3.3 Treaty-by-Treaty Analysis Required</w:t>
      </w:r>
    </w:p>
    <w:p>
      <w:r>
        <w:t xml:space="preserve">Whether equipment rental is subject to withholding tax depends on the </w:t>
      </w:r>
      <w:r>
        <w:rPr>
          <w:b/>
        </w:rPr>
        <w:t>specific bilateral treaty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Treaty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Equipment Rental Treatment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WHT on Rental Payments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Post-1992 OECD Model</w:t>
            </w:r>
          </w:p>
        </w:tc>
        <w:tc>
          <w:tcPr>
            <w:tcW w:type="dxa" w:w="2880"/>
          </w:tcPr>
          <w:p>
            <w:r/>
            <w:r>
              <w:t>Article 7 (Business Profits)</w:t>
            </w:r>
          </w:p>
        </w:tc>
        <w:tc>
          <w:tcPr>
            <w:tcW w:type="dxa" w:w="2880"/>
          </w:tcPr>
          <w:p>
            <w:r/>
            <w:r>
              <w:t>0% (unless PE exists)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UN Model or Pre-1992 OECD</w:t>
            </w:r>
          </w:p>
        </w:tc>
        <w:tc>
          <w:tcPr>
            <w:tcW w:type="dxa" w:w="2880"/>
          </w:tcPr>
          <w:p>
            <w:r/>
            <w:r>
              <w:t>Article 12 (Royalties)</w:t>
            </w:r>
          </w:p>
        </w:tc>
        <w:tc>
          <w:tcPr>
            <w:tcW w:type="dxa" w:w="2880"/>
          </w:tcPr>
          <w:p>
            <w:r/>
            <w:r>
              <w:t>5-15% (negotiated rate)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Hybrid/Mixed</w:t>
            </w:r>
          </w:p>
        </w:tc>
        <w:tc>
          <w:tcPr>
            <w:tcW w:type="dxa" w:w="2880"/>
          </w:tcPr>
          <w:p>
            <w:r/>
            <w:r>
              <w:t>Depends on specific treaty language</w:t>
            </w:r>
          </w:p>
        </w:tc>
        <w:tc>
          <w:tcPr>
            <w:tcW w:type="dxa" w:w="2880"/>
          </w:tcPr>
          <w:p>
            <w:r/>
            <w:r>
              <w:t>Varies</w:t>
            </w:r>
          </w:p>
        </w:tc>
      </w:tr>
    </w:tbl>
    <w:p/>
    <w:p>
      <w:r>
        <w:rPr>
          <w:b/>
        </w:rPr>
        <w:t>Examples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Treaty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Equipment Rental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WHT 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U.S.-UK</w:t>
            </w:r>
            <w:r>
              <w:t xml:space="preserve"> (2001)</w:t>
            </w:r>
          </w:p>
        </w:tc>
        <w:tc>
          <w:tcPr>
            <w:tcW w:type="dxa" w:w="2880"/>
          </w:tcPr>
          <w:p>
            <w:r/>
            <w:r>
              <w:t>Excluded from Article 12</w:t>
            </w:r>
          </w:p>
        </w:tc>
        <w:tc>
          <w:tcPr>
            <w:tcW w:type="dxa" w:w="2880"/>
          </w:tcPr>
          <w:p>
            <w:r/>
            <w:r>
              <w:t>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U.S.-Norway</w:t>
            </w:r>
            <w:r>
              <w:t xml:space="preserve"> (1971, Protocol 2013)</w:t>
            </w:r>
          </w:p>
        </w:tc>
        <w:tc>
          <w:tcPr>
            <w:tcW w:type="dxa" w:w="2880"/>
          </w:tcPr>
          <w:p>
            <w:r/>
            <w:r>
              <w:t>Excluded from Article 12</w:t>
            </w:r>
          </w:p>
        </w:tc>
        <w:tc>
          <w:tcPr>
            <w:tcW w:type="dxa" w:w="2880"/>
          </w:tcPr>
          <w:p>
            <w:r/>
            <w:r>
              <w:t>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U.S.-Brazil</w:t>
            </w:r>
            <w:r>
              <w:t xml:space="preserve"> (not in force, but illustrative)</w:t>
            </w:r>
          </w:p>
        </w:tc>
        <w:tc>
          <w:tcPr>
            <w:tcW w:type="dxa" w:w="2880"/>
          </w:tcPr>
          <w:p>
            <w:r/>
            <w:r>
              <w:t>Included in Article 12</w:t>
            </w:r>
          </w:p>
        </w:tc>
        <w:tc>
          <w:tcPr>
            <w:tcW w:type="dxa" w:w="2880"/>
          </w:tcPr>
          <w:p>
            <w:r/>
            <w:r>
              <w:t>15%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UK-Nigeria</w:t>
            </w:r>
            <w:r>
              <w:t xml:space="preserve"> (1987)</w:t>
            </w:r>
          </w:p>
        </w:tc>
        <w:tc>
          <w:tcPr>
            <w:tcW w:type="dxa" w:w="2880"/>
          </w:tcPr>
          <w:p>
            <w:r/>
            <w:r>
              <w:t>Included in Article 12</w:t>
            </w:r>
          </w:p>
        </w:tc>
        <w:tc>
          <w:tcPr>
            <w:tcW w:type="dxa" w:w="2880"/>
          </w:tcPr>
          <w:p>
            <w:r/>
            <w:r>
              <w:t>7.5%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Norway-Angola</w:t>
            </w:r>
          </w:p>
        </w:tc>
        <w:tc>
          <w:tcPr>
            <w:tcW w:type="dxa" w:w="2880"/>
          </w:tcPr>
          <w:p>
            <w:r/>
            <w:r>
              <w:t>Included in Article 12</w:t>
            </w:r>
          </w:p>
        </w:tc>
        <w:tc>
          <w:tcPr>
            <w:tcW w:type="dxa" w:w="2880"/>
          </w:tcPr>
          <w:p>
            <w:r/>
            <w:r>
              <w:t>10%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 Permanent Establishment Issues</w:t>
      </w:r>
    </w:p>
    <w:p>
      <w:pPr>
        <w:pStyle w:val="Heading3"/>
      </w:pPr>
      <w:r>
        <w:t>4.1 When Does Leasing Activity Create a PE?</w:t>
      </w:r>
    </w:p>
    <w:p>
      <w:r>
        <w:t xml:space="preserve">Under treaties following the </w:t>
      </w:r>
      <w:r>
        <w:rPr>
          <w:b/>
        </w:rPr>
        <w:t>OECD Model</w:t>
      </w:r>
      <w:r>
        <w:t xml:space="preserve"> (equipment rental = Article 7), the source country can tax rental income </w:t>
      </w:r>
      <w:r>
        <w:rPr>
          <w:b/>
        </w:rPr>
        <w:t>only if the lessor has a PE</w:t>
      </w:r>
      <w:r>
        <w:t xml:space="preserve"> in the source country.</w:t>
      </w:r>
    </w:p>
    <w:p>
      <w:pPr>
        <w:pStyle w:val="Heading4"/>
      </w:pPr>
      <w:r>
        <w:t>Article 5(1) - Fixed Place of Business PE</w:t>
      </w:r>
    </w:p>
    <w:p>
      <w:r>
        <w:rPr>
          <w:b/>
        </w:rPr>
        <w:t>Definition</w:t>
      </w:r>
      <w:r>
        <w:t>: "A fixed place of business through which the business of an enterprise is wholly or partly carried on."</w:t>
      </w:r>
    </w:p>
    <w:p>
      <w:r>
        <w:rPr>
          <w:b/>
        </w:rPr>
        <w:t>Application to Leasing</w:t>
      </w:r>
      <w:r>
        <w:t>:</w:t>
      </w:r>
    </w:p>
    <w:p>
      <w:r>
        <w:t>Does leasing equipment to a customer in the source country create a PE?</w:t>
      </w:r>
    </w:p>
    <w:p>
      <w:r>
        <w:rPr>
          <w:b/>
        </w:rPr>
        <w:t>General Rule</w:t>
      </w:r>
      <w:r>
        <w:t xml:space="preserve">: </w:t>
      </w:r>
      <w:r>
        <w:rPr>
          <w:b/>
        </w:rPr>
        <w:t>No PE</w:t>
      </w:r>
      <w:r>
        <w:t xml:space="preserve"> is created merely by leasing equipment to a customer, unless:</w:t>
      </w:r>
    </w:p>
    <w:p>
      <w:pPr>
        <w:pStyle w:val="ListNumber"/>
      </w:pPr>
      <w:r>
        <w:rPr>
          <w:b/>
        </w:rPr>
        <w:t>Lessor has an office</w:t>
      </w:r>
      <w:r>
        <w:t xml:space="preserve"> in the source country from which leasing activities are managed</w:t>
      </w:r>
    </w:p>
    <w:p>
      <w:pPr>
        <w:pStyle w:val="ListNumber"/>
      </w:pPr>
      <w:r>
        <w:rPr>
          <w:b/>
        </w:rPr>
        <w:t>Lessor's employees</w:t>
      </w:r>
      <w:r>
        <w:t xml:space="preserve"> are present in the source country performing leasing-related functions</w:t>
      </w:r>
    </w:p>
    <w:p>
      <w:pPr>
        <w:pStyle w:val="ListNumber"/>
      </w:pPr>
      <w:r>
        <w:rPr>
          <w:b/>
        </w:rPr>
        <w:t>Equipment location</w:t>
      </w:r>
      <w:r>
        <w:t xml:space="preserve"> combined with lessor's control and management activities creates a fixed place</w:t>
      </w:r>
    </w:p>
    <w:p>
      <w:r>
        <w:rPr>
          <w:b/>
        </w:rPr>
        <w:t>Example - No PE</w:t>
      </w:r>
      <w:r>
        <w:t>:</w:t>
      </w:r>
    </w:p>
    <w:p>
      <w:r>
        <w:t>A Norwegian drilling rig owner leases a jack-up rig to an Angolan operator. The rig operates in Angolan waters. The Norwegian lessor:</w:t>
      </w:r>
    </w:p>
    <w:p>
      <w:pPr>
        <w:pStyle w:val="ListBullet"/>
      </w:pPr>
      <w:r>
        <w:t>Has no office in Angola</w:t>
      </w:r>
    </w:p>
    <w:p>
      <w:pPr>
        <w:pStyle w:val="ListBullet"/>
      </w:pPr>
      <w:r>
        <w:t>Has no employees in Angola</w:t>
      </w:r>
    </w:p>
    <w:p>
      <w:pPr>
        <w:pStyle w:val="ListBullet"/>
      </w:pPr>
      <w:r>
        <w:t>Provides no operational services (operator manages rig operations)</w:t>
      </w:r>
    </w:p>
    <w:p>
      <w:pPr>
        <w:pStyle w:val="ListBullet"/>
      </w:pPr>
      <w:r>
        <w:t>Invoices from Norway</w:t>
      </w:r>
    </w:p>
    <w:p>
      <w:r>
        <w:rPr>
          <w:b/>
        </w:rPr>
        <w:t>Result</w:t>
      </w:r>
      <w:r>
        <w:t xml:space="preserve">: </w:t>
      </w:r>
      <w:r>
        <w:rPr>
          <w:b/>
        </w:rPr>
        <w:t>No PE</w:t>
      </w:r>
      <w:r>
        <w:t xml:space="preserve"> in Angola. Under an OECD Model treaty, Angola </w:t>
      </w:r>
      <w:r>
        <w:rPr>
          <w:b/>
        </w:rPr>
        <w:t>cannot tax</w:t>
      </w:r>
      <w:r>
        <w:t xml:space="preserve"> the rental income (taxable only in Norway).</w:t>
      </w:r>
    </w:p>
    <w:p>
      <w:pPr>
        <w:pStyle w:val="Heading4"/>
      </w:pPr>
      <w:r>
        <w:t>Article 5(3) - Building Site/Installation PE</w:t>
      </w:r>
    </w:p>
    <w:p>
      <w:r>
        <w:rPr>
          <w:b/>
        </w:rPr>
        <w:t>Definition</w:t>
      </w:r>
      <w:r>
        <w:t>: "A building site or construction or installation project constitutes a permanent establishment only if it lasts more than twelve months."</w:t>
      </w:r>
    </w:p>
    <w:p>
      <w:r>
        <w:rPr>
          <w:b/>
        </w:rPr>
        <w:t>Application</w:t>
      </w:r>
      <w:r>
        <w:t>:</w:t>
      </w:r>
    </w:p>
    <w:p>
      <w:r>
        <w:t xml:space="preserve">If the lessor not only leases equipment but also </w:t>
      </w:r>
      <w:r>
        <w:rPr>
          <w:b/>
        </w:rPr>
        <w:t>operates it</w:t>
      </w:r>
      <w:r>
        <w:t xml:space="preserve"> (e.g., lessor's crew operates the drilling rig), a </w:t>
      </w:r>
      <w:r>
        <w:rPr>
          <w:b/>
        </w:rPr>
        <w:t>service PE</w:t>
      </w:r>
      <w:r>
        <w:t xml:space="preserve"> may be created under Article 5(3) or a specific services article.</w:t>
      </w:r>
    </w:p>
    <w:p>
      <w:r>
        <w:rPr>
          <w:b/>
        </w:rPr>
        <w:t>Example - Service PE</w:t>
      </w:r>
      <w:r>
        <w:t>:</w:t>
      </w:r>
    </w:p>
    <w:p>
      <w:r>
        <w:t xml:space="preserve">Lessor leases a drilling rig </w:t>
      </w:r>
      <w:r>
        <w:rPr>
          <w:b/>
        </w:rPr>
        <w:t>with crew</w:t>
      </w:r>
      <w:r>
        <w:t xml:space="preserve"> (turnkey drilling contract). The lessor's employees are in Angola for </w:t>
      </w:r>
      <w:r>
        <w:rPr>
          <w:b/>
        </w:rPr>
        <w:t>18 months</w:t>
      </w:r>
      <w:r>
        <w:t xml:space="preserve"> drilling wells.</w:t>
      </w:r>
    </w:p>
    <w:p>
      <w:r>
        <w:rPr>
          <w:b/>
        </w:rPr>
        <w:t>Result</w:t>
      </w:r>
      <w:r>
        <w:t xml:space="preserve">: </w:t>
      </w:r>
      <w:r>
        <w:rPr>
          <w:b/>
        </w:rPr>
        <w:t>PE exists</w:t>
      </w:r>
      <w:r>
        <w:t xml:space="preserve"> in Angola under Article 5(3). Angola can tax the </w:t>
      </w:r>
      <w:r>
        <w:rPr>
          <w:b/>
        </w:rPr>
        <w:t>profits attributable to the PE</w:t>
      </w:r>
      <w:r>
        <w:t xml:space="preserve"> (not just rental income, but net profit after allocable expenses).</w:t>
      </w:r>
    </w:p>
    <w:p>
      <w:pPr>
        <w:pStyle w:val="Heading3"/>
      </w:pPr>
      <w:r>
        <w:t>4.2 Agency PE (Article 5(5))</w:t>
      </w:r>
    </w:p>
    <w:p>
      <w:r>
        <w:t xml:space="preserve">An </w:t>
      </w:r>
      <w:r>
        <w:rPr>
          <w:b/>
        </w:rPr>
        <w:t>agency PE</w:t>
      </w:r>
      <w:r>
        <w:t xml:space="preserve"> can arise if the lessor has a </w:t>
      </w:r>
      <w:r>
        <w:rPr>
          <w:b/>
        </w:rPr>
        <w:t>dependent agent</w:t>
      </w:r>
      <w:r>
        <w:t xml:space="preserve"> in the source country who habitually concludes contracts on the lessor's behalf.</w:t>
      </w:r>
    </w:p>
    <w:p>
      <w:r>
        <w:rPr>
          <w:b/>
        </w:rPr>
        <w:t>Relevance to Leasing</w:t>
      </w:r>
      <w:r>
        <w:t>: If the lessor uses a local agent to negotiate lease agreements, the agent may create a PE.</w:t>
      </w:r>
    </w:p>
    <w:p>
      <w:r>
        <w:rPr>
          <w:b/>
        </w:rPr>
        <w:t>Exception (Article 5(6))</w:t>
      </w:r>
      <w:r>
        <w:t xml:space="preserve">: </w:t>
      </w:r>
      <w:r>
        <w:rPr>
          <w:b/>
        </w:rPr>
        <w:t>Independent agents</w:t>
      </w:r>
      <w:r>
        <w:t xml:space="preserve"> (brokers, general commission agents acting in the ordinary course of business) do not create a PE.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 Transfer Pricing for Operating Leases</w:t>
      </w:r>
    </w:p>
    <w:p>
      <w:pPr>
        <w:pStyle w:val="Heading3"/>
      </w:pPr>
      <w:r>
        <w:t>5.1 Arm's Length Lease Rates</w:t>
      </w:r>
    </w:p>
    <w:p>
      <w:r>
        <w:t xml:space="preserve">When operating leases are between </w:t>
      </w:r>
      <w:r>
        <w:rPr>
          <w:b/>
        </w:rPr>
        <w:t>related parties</w:t>
      </w:r>
      <w:r>
        <w:t xml:space="preserve"> (e.g., parent company leases equipment to foreign subsidiary), </w:t>
      </w:r>
      <w:r>
        <w:rPr>
          <w:b/>
        </w:rPr>
        <w:t>transfer pricing rules</w:t>
      </w:r>
      <w:r>
        <w:t xml:space="preserve"> require that lease payments reflect </w:t>
      </w:r>
      <w:r>
        <w:rPr>
          <w:b/>
        </w:rPr>
        <w:t>arm's length rates</w:t>
      </w:r>
      <w:r>
        <w:t>.</w:t>
      </w:r>
    </w:p>
    <w:p>
      <w:r>
        <w:rPr>
          <w:b/>
        </w:rPr>
        <w:t>OECD Transfer Pricing Guidelines</w:t>
      </w:r>
      <w:r>
        <w:t>: Apply the arm's length principle to ensure related-party lease rates are consistent with rates charged between independent parties for comparable assets under comparable circumstances.</w:t>
      </w:r>
    </w:p>
    <w:p>
      <w:pPr>
        <w:pStyle w:val="Heading3"/>
      </w:pPr>
      <w:r>
        <w:t>5.2 Comparable Uncontrolled Price (CUP) Method</w:t>
      </w:r>
    </w:p>
    <w:p>
      <w:r>
        <w:rPr>
          <w:b/>
        </w:rPr>
        <w:t>Best method</w:t>
      </w:r>
      <w:r>
        <w:t xml:space="preserve"> when comparable third-party lease rates are available.</w:t>
      </w:r>
    </w:p>
    <w:p>
      <w:r>
        <w:rPr>
          <w:b/>
        </w:rPr>
        <w:t>Factors Affecting Comparability</w:t>
      </w:r>
      <w:r>
        <w:t>:</w:t>
      </w:r>
    </w:p>
    <w:p>
      <w:pPr>
        <w:pStyle w:val="ListNumber"/>
      </w:pPr>
      <w:r>
        <w:rPr>
          <w:b/>
        </w:rPr>
        <w:t>Asset type and specifications</w:t>
      </w:r>
      <w:r>
        <w:t>: Drilling rig class (jack-up vs. semi-submersible vs. drillship), age, water depth capability</w:t>
      </w:r>
    </w:p>
    <w:p>
      <w:pPr>
        <w:pStyle w:val="ListNumber"/>
      </w:pPr>
      <w:r>
        <w:rPr>
          <w:b/>
        </w:rPr>
        <w:t>Lease term</w:t>
      </w:r>
      <w:r>
        <w:t>: Short-term spot rates vs. long-term contracts</w:t>
      </w:r>
    </w:p>
    <w:p>
      <w:pPr>
        <w:pStyle w:val="ListNumber"/>
      </w:pPr>
      <w:r>
        <w:rPr>
          <w:b/>
        </w:rPr>
        <w:t>Market conditions</w:t>
      </w:r>
      <w:r>
        <w:t>: Supply-demand dynamics (rig utilization rates)</w:t>
      </w:r>
    </w:p>
    <w:p>
      <w:pPr>
        <w:pStyle w:val="ListNumber"/>
      </w:pPr>
      <w:r>
        <w:rPr>
          <w:b/>
        </w:rPr>
        <w:t>Geographic location</w:t>
      </w:r>
      <w:r>
        <w:t>: Day rates vary by region (North Sea, Gulf of Mexico, West Africa, Southeast Asia)</w:t>
      </w:r>
    </w:p>
    <w:p>
      <w:pPr>
        <w:pStyle w:val="ListNumber"/>
      </w:pPr>
      <w:r>
        <w:rPr>
          <w:b/>
        </w:rPr>
        <w:t>Additional services</w:t>
      </w:r>
      <w:r>
        <w:t>: Bare boat (equipment only) vs. manned/operated</w:t>
      </w:r>
    </w:p>
    <w:p>
      <w:pPr>
        <w:pStyle w:val="ListNumber"/>
      </w:pPr>
      <w:r>
        <w:rPr>
          <w:b/>
        </w:rPr>
        <w:t>Maintenance obligations</w:t>
      </w:r>
      <w:r>
        <w:t>: Lessor vs. lessee responsibility</w:t>
      </w:r>
    </w:p>
    <w:p>
      <w:r>
        <w:rPr>
          <w:b/>
        </w:rPr>
        <w:t>Example - Rig Day Rates (2024 Benchmarks)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Rig 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Region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Spot Day Rate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Long-Term Contract Rate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Jack-up (harsh environment)</w:t>
            </w:r>
          </w:p>
        </w:tc>
        <w:tc>
          <w:tcPr>
            <w:tcW w:type="dxa" w:w="2160"/>
          </w:tcPr>
          <w:p>
            <w:r/>
            <w:r>
              <w:t>North Sea</w:t>
            </w:r>
          </w:p>
        </w:tc>
        <w:tc>
          <w:tcPr>
            <w:tcW w:type="dxa" w:w="2160"/>
          </w:tcPr>
          <w:p>
            <w:r/>
            <w:r>
              <w:t>$130,000 - $180,000</w:t>
            </w:r>
          </w:p>
        </w:tc>
        <w:tc>
          <w:tcPr>
            <w:tcW w:type="dxa" w:w="2160"/>
          </w:tcPr>
          <w:p>
            <w:r/>
            <w:r>
              <w:t>$110,000 - $150,000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Semi-submersible (6th gen, harsh environment)</w:t>
            </w:r>
          </w:p>
        </w:tc>
        <w:tc>
          <w:tcPr>
            <w:tcW w:type="dxa" w:w="2160"/>
          </w:tcPr>
          <w:p>
            <w:r/>
            <w:r>
              <w:t>North Sea / Norway</w:t>
            </w:r>
          </w:p>
        </w:tc>
        <w:tc>
          <w:tcPr>
            <w:tcW w:type="dxa" w:w="2160"/>
          </w:tcPr>
          <w:p>
            <w:r/>
            <w:r>
              <w:t>$390,000 - $510,000</w:t>
            </w:r>
          </w:p>
        </w:tc>
        <w:tc>
          <w:tcPr>
            <w:tcW w:type="dxa" w:w="2160"/>
          </w:tcPr>
          <w:p>
            <w:r/>
            <w:r>
              <w:t>$320,000 - $430,000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Drillship (6th/7th gen, ultra-deepwater)</w:t>
            </w:r>
          </w:p>
        </w:tc>
        <w:tc>
          <w:tcPr>
            <w:tcW w:type="dxa" w:w="2160"/>
          </w:tcPr>
          <w:p>
            <w:r/>
            <w:r>
              <w:t>West Africa / Brazil</w:t>
            </w:r>
          </w:p>
        </w:tc>
        <w:tc>
          <w:tcPr>
            <w:tcW w:type="dxa" w:w="2160"/>
          </w:tcPr>
          <w:p>
            <w:r/>
            <w:r>
              <w:t>$380,000 - $520,000</w:t>
            </w:r>
          </w:p>
        </w:tc>
        <w:tc>
          <w:tcPr>
            <w:tcW w:type="dxa" w:w="2160"/>
          </w:tcPr>
          <w:p>
            <w:r/>
            <w:r>
              <w:t>$320,000 - $450,000</w:t>
            </w:r>
          </w:p>
        </w:tc>
      </w:tr>
    </w:tbl>
    <w:p/>
    <w:p>
      <w:r>
        <w:rPr>
          <w:b/>
        </w:rPr>
        <w:t>Transfer Pricing Analysis</w:t>
      </w:r>
      <w:r>
        <w:t>:</w:t>
      </w:r>
    </w:p>
    <w:p>
      <w:r>
        <w:t xml:space="preserve">If a U.S. parent leases a drillship to its Brazilian subsidiary for </w:t>
      </w:r>
      <w:r>
        <w:rPr>
          <w:b/>
        </w:rPr>
        <w:t>$480,000 per day</w:t>
      </w:r>
      <w:r>
        <w:t xml:space="preserve"> (long-term contract), is this arm's length?</w:t>
      </w:r>
    </w:p>
    <w:p>
      <w:r>
        <w:rPr>
          <w:b/>
        </w:rPr>
        <w:t>Comparables</w:t>
      </w:r>
      <w:r>
        <w:t xml:space="preserve">: Third-party drillship leases in Brazil market range from </w:t>
      </w:r>
      <w:r>
        <w:rPr>
          <w:b/>
        </w:rPr>
        <w:t>$320,000 - $450,000</w:t>
      </w:r>
      <w:r>
        <w:t xml:space="preserve"> per day for long-term contracts (2024 benchmarks).</w:t>
      </w:r>
    </w:p>
    <w:p>
      <w:r>
        <w:rPr>
          <w:b/>
        </w:rPr>
        <w:t>Conclusion</w:t>
      </w:r>
      <w:r>
        <w:t xml:space="preserve">: The </w:t>
      </w:r>
      <w:r>
        <w:rPr>
          <w:b/>
        </w:rPr>
        <w:t>$480,000 rate</w:t>
      </w:r>
      <w:r>
        <w:t xml:space="preserve"> exceeds the arm's length range and may be challenged by Brazilian tax authorities.</w:t>
      </w:r>
    </w:p>
    <w:p>
      <w:r>
        <w:rPr>
          <w:b/>
        </w:rPr>
        <w:t>Adjustment</w:t>
      </w:r>
      <w:r>
        <w:t xml:space="preserve">: Brazil may disallow the excess ($480,000 - $450,000 = $30,000 per day), resulting in </w:t>
      </w:r>
      <w:r>
        <w:rPr>
          <w:b/>
        </w:rPr>
        <w:t>additional taxable income</w:t>
      </w:r>
      <w:r>
        <w:t xml:space="preserve"> for the Brazilian subsidiary.</w:t>
      </w:r>
    </w:p>
    <w:p>
      <w:pPr>
        <w:pStyle w:val="Heading3"/>
      </w:pPr>
      <w:r>
        <w:t>5.3 Profit Split Method</w:t>
      </w:r>
    </w:p>
    <w:p>
      <w:r>
        <w:t xml:space="preserve">When </w:t>
      </w:r>
      <w:r>
        <w:rPr>
          <w:b/>
        </w:rPr>
        <w:t>no reliable comparables</w:t>
      </w:r>
      <w:r>
        <w:t xml:space="preserve"> exist (e.g., specialized equipment), a </w:t>
      </w:r>
      <w:r>
        <w:rPr>
          <w:b/>
        </w:rPr>
        <w:t>profit split</w:t>
      </w:r>
      <w:r>
        <w:t xml:space="preserve"> approach may be appropriate:</w:t>
      </w:r>
    </w:p>
    <w:p>
      <w:pPr>
        <w:pStyle w:val="ListNumber"/>
      </w:pPr>
      <w:r>
        <w:t xml:space="preserve">Calculate </w:t>
      </w:r>
      <w:r>
        <w:rPr>
          <w:b/>
        </w:rPr>
        <w:t>combined profit</w:t>
      </w:r>
      <w:r>
        <w:t xml:space="preserve"> from the leased asset's use</w:t>
      </w:r>
    </w:p>
    <w:p>
      <w:pPr>
        <w:pStyle w:val="ListNumber"/>
      </w:pPr>
      <w:r>
        <w:t xml:space="preserve">Allocate profit between lessor and lessee based on </w:t>
      </w:r>
      <w:r>
        <w:rPr>
          <w:b/>
        </w:rPr>
        <w:t>relative contributions</w:t>
      </w:r>
      <w:r>
        <w:t>:</w:t>
      </w:r>
    </w:p>
    <w:p>
      <w:pPr>
        <w:pStyle w:val="ListBullet"/>
        <w:ind w:left="360"/>
      </w:pPr>
      <w:r>
        <w:rPr>
          <w:b/>
        </w:rPr>
        <w:t>Lessor</w:t>
      </w:r>
      <w:r>
        <w:t>: Provides capital asset, bears residual value risk</w:t>
      </w:r>
    </w:p>
    <w:p>
      <w:pPr>
        <w:pStyle w:val="ListBullet"/>
        <w:ind w:left="360"/>
      </w:pPr>
      <w:r>
        <w:rPr>
          <w:b/>
        </w:rPr>
        <w:t>Lessee</w:t>
      </w:r>
      <w:r>
        <w:t>: Provides operational expertise, bears operational risk</w:t>
      </w:r>
    </w:p>
    <w:p>
      <w:r>
        <w:rPr>
          <w:b/>
        </w:rPr>
        <w:t>Example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Revenue from oil production using leased FPSO: $100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Operating costs (excluding lease): $40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Lease payment to parent: $20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Combined profit: $100M - $40M - $0 (add back lease) = $60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Allocation: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Lessor (capital provider): 30% × $60M = $18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Lessee (operator): 70% × $60M = $42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Implied arm's length lease payment: $18 million (vs. actual $20 million)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6. Oil &amp; Gas Specific Leasing Arrangements</w:t>
      </w:r>
    </w:p>
    <w:p>
      <w:pPr>
        <w:pStyle w:val="Heading3"/>
      </w:pPr>
      <w:r>
        <w:t>6.1 Drilling Rig Leasing</w:t>
      </w:r>
    </w:p>
    <w:p>
      <w:pPr>
        <w:pStyle w:val="Heading4"/>
      </w:pPr>
      <w:r>
        <w:t>Bareboat Charter vs. Operated Rig</w:t>
      </w:r>
    </w:p>
    <w:p>
      <w:r>
        <w:rPr>
          <w:b/>
        </w:rPr>
        <w:t>Bareboat Charter</w:t>
      </w:r>
      <w:r>
        <w:t xml:space="preserve">: Lessor provides </w:t>
      </w:r>
      <w:r>
        <w:rPr>
          <w:b/>
        </w:rPr>
        <w:t>rig only</w:t>
      </w:r>
      <w:r>
        <w:t>; lessee provides crew and operates.</w:t>
      </w:r>
    </w:p>
    <w:p>
      <w:pPr>
        <w:pStyle w:val="ListBullet"/>
      </w:pPr>
      <w:r>
        <w:rPr>
          <w:b/>
        </w:rPr>
        <w:t>Tax Treatment</w:t>
      </w:r>
      <w:r>
        <w:t>: Pure equipment rental</w:t>
      </w:r>
    </w:p>
    <w:p>
      <w:pPr>
        <w:pStyle w:val="ListBullet"/>
      </w:pPr>
      <w:r>
        <w:rPr>
          <w:b/>
        </w:rPr>
        <w:t>Treaty Classification</w:t>
      </w:r>
      <w:r>
        <w:t>: Article 12 (UN Model) or Article 7 (OECD Model)</w:t>
      </w:r>
    </w:p>
    <w:p>
      <w:pPr>
        <w:pStyle w:val="ListBullet"/>
      </w:pPr>
      <w:r>
        <w:rPr>
          <w:b/>
        </w:rPr>
        <w:t>No Service PE</w:t>
      </w:r>
      <w:r>
        <w:t>: Lessor has no personnel on-site</w:t>
      </w:r>
    </w:p>
    <w:p>
      <w:r>
        <w:rPr>
          <w:b/>
        </w:rPr>
        <w:t>Operated Rig (Turnkey Drilling Contract)</w:t>
      </w:r>
      <w:r>
        <w:t xml:space="preserve">: Lessor provides </w:t>
      </w:r>
      <w:r>
        <w:rPr>
          <w:b/>
        </w:rPr>
        <w:t>rig and crew</w:t>
      </w:r>
      <w:r>
        <w:t>; lessor operates.</w:t>
      </w:r>
    </w:p>
    <w:p>
      <w:pPr>
        <w:pStyle w:val="ListBullet"/>
      </w:pPr>
      <w:r>
        <w:rPr>
          <w:b/>
        </w:rPr>
        <w:t>Tax Treatment</w:t>
      </w:r>
      <w:r>
        <w:t>: Service income (not purely rental)</w:t>
      </w:r>
    </w:p>
    <w:p>
      <w:pPr>
        <w:pStyle w:val="ListBullet"/>
      </w:pPr>
      <w:r>
        <w:rPr>
          <w:b/>
        </w:rPr>
        <w:t>Treaty Classification</w:t>
      </w:r>
      <w:r>
        <w:t>: Likely Article 7 (Business Profits) or specific services article</w:t>
      </w:r>
    </w:p>
    <w:p>
      <w:pPr>
        <w:pStyle w:val="ListBullet"/>
      </w:pPr>
      <w:r>
        <w:rPr>
          <w:b/>
        </w:rPr>
        <w:t>Service PE Risk</w:t>
      </w:r>
      <w:r>
        <w:t>: Lessor's personnel presence may create PE under Article 5(3)</w:t>
      </w:r>
    </w:p>
    <w:p>
      <w:pPr>
        <w:pStyle w:val="Heading4"/>
      </w:pPr>
      <w:r>
        <w:t>Day Rate Structures</w:t>
      </w:r>
    </w:p>
    <w:p>
      <w:r>
        <w:rPr>
          <w:b/>
        </w:rPr>
        <w:t>Fixed Day Rate</w:t>
      </w:r>
      <w:r>
        <w:t>: Lessee pays a fixed amount per day regardless of performance.</w:t>
      </w:r>
    </w:p>
    <w:p>
      <w:r>
        <w:rPr>
          <w:b/>
        </w:rPr>
        <w:t>Performance-Based Rate</w:t>
      </w:r>
      <w:r>
        <w:t>: Rates adjusted based on performance metrics (e.g., footage drilled per day, non-productive time).</w:t>
      </w:r>
    </w:p>
    <w:p>
      <w:r>
        <w:rPr>
          <w:b/>
        </w:rPr>
        <w:t>Transfer Pricing</w:t>
      </w:r>
      <w:r>
        <w:t xml:space="preserve">: Related-party leases must use </w:t>
      </w:r>
      <w:r>
        <w:rPr>
          <w:b/>
        </w:rPr>
        <w:t>arm's length</w:t>
      </w:r>
      <w:r>
        <w:t xml:space="preserve"> day rates benchmarked against independent operator rates in the same geographic region.</w:t>
      </w:r>
    </w:p>
    <w:p>
      <w:pPr>
        <w:pStyle w:val="Heading3"/>
      </w:pPr>
      <w:r>
        <w:t>6.2 FPSO Leasing</w:t>
      </w:r>
    </w:p>
    <w:p>
      <w:r>
        <w:rPr>
          <w:b/>
        </w:rPr>
        <w:t>Floating Production, Storage and Offloading (FPSO)</w:t>
      </w:r>
      <w:r>
        <w:t xml:space="preserve"> vessels are commonly leased rather than owned due to high capital costs (</w:t>
      </w:r>
      <w:r>
        <w:rPr>
          <w:b/>
        </w:rPr>
        <w:t>$500 million - $2 billion</w:t>
      </w:r>
      <w:r>
        <w:t>).</w:t>
      </w:r>
    </w:p>
    <w:p>
      <w:pPr>
        <w:pStyle w:val="Heading4"/>
      </w:pPr>
      <w:r>
        <w:t>Lease vs. Service Contract</w:t>
      </w:r>
    </w:p>
    <w:p>
      <w:r>
        <w:rPr>
          <w:b/>
        </w:rPr>
        <w:t>Pure Lease</w:t>
      </w:r>
      <w:r>
        <w:t>: Lessor provides FPSO; operator provides crew and manages production.</w:t>
      </w:r>
    </w:p>
    <w:p>
      <w:r>
        <w:rPr>
          <w:b/>
        </w:rPr>
        <w:t>Operated FPSO (FPSO Service Contract)</w:t>
      </w:r>
      <w:r>
        <w:t xml:space="preserve">: Lessor provides FPSO </w:t>
      </w:r>
      <w:r>
        <w:rPr>
          <w:b/>
        </w:rPr>
        <w:t>and operates</w:t>
      </w:r>
      <w:r>
        <w:t xml:space="preserve"> production facility.</w:t>
      </w:r>
    </w:p>
    <w:p>
      <w:r>
        <w:rPr>
          <w:b/>
        </w:rPr>
        <w:t>Tax Implications</w:t>
      </w:r>
      <w:r>
        <w:t>:</w:t>
      </w:r>
    </w:p>
    <w:p>
      <w:pPr>
        <w:pStyle w:val="ListBullet"/>
      </w:pPr>
      <w:r>
        <w:rPr>
          <w:b/>
        </w:rPr>
        <w:t>Pure lease</w:t>
      </w:r>
      <w:r>
        <w:t>: Equipment rental (Article 12 or Article 7 depending on treaty)</w:t>
      </w:r>
    </w:p>
    <w:p>
      <w:pPr>
        <w:pStyle w:val="ListBullet"/>
      </w:pPr>
      <w:r>
        <w:rPr>
          <w:b/>
        </w:rPr>
        <w:t>Operated FPSO</w:t>
      </w:r>
      <w:r>
        <w:t xml:space="preserve">: May be recharacterized as </w:t>
      </w:r>
      <w:r>
        <w:rPr>
          <w:b/>
        </w:rPr>
        <w:t>services</w:t>
      </w:r>
      <w:r>
        <w:t xml:space="preserve"> (Article 7) with potential PE implications</w:t>
      </w:r>
    </w:p>
    <w:p>
      <w:r>
        <w:rPr>
          <w:b/>
        </w:rPr>
        <w:t>PSC Context</w:t>
      </w:r>
      <w:r>
        <w:t xml:space="preserve">: FPSO lease costs are typically </w:t>
      </w:r>
      <w:r>
        <w:rPr>
          <w:b/>
        </w:rPr>
        <w:t>capital costs</w:t>
      </w:r>
      <w:r>
        <w:t xml:space="preserve"> recovered through Cost Oil: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FPSO annual lease cost: $50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Oil recovery rate: 50%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Annual cost recovery: $50M × 50% = $25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Remaining $25M carried forward to future periods</w:t>
      </w:r>
    </w:p>
    <w:p/>
    <w:p>
      <w:pPr>
        <w:pStyle w:val="Heading3"/>
      </w:pPr>
      <w:r>
        <w:t>6.3 Seismic Vessel Leasing</w:t>
      </w:r>
    </w:p>
    <w:p>
      <w:r>
        <w:rPr>
          <w:b/>
        </w:rPr>
        <w:t>Seismic surveys</w:t>
      </w:r>
      <w:r>
        <w:t xml:space="preserve"> are often conducted using </w:t>
      </w:r>
      <w:r>
        <w:rPr>
          <w:b/>
        </w:rPr>
        <w:t>leased seismic vessels</w:t>
      </w:r>
      <w:r>
        <w:t xml:space="preserve"> equipped with specialized equipment (air guns, streamers, recording equipment).</w:t>
      </w:r>
    </w:p>
    <w:p>
      <w:r>
        <w:rPr>
          <w:b/>
        </w:rPr>
        <w:t>Lease Structures</w:t>
      </w:r>
      <w:r>
        <w:t>:</w:t>
      </w:r>
    </w:p>
    <w:p>
      <w:pPr>
        <w:pStyle w:val="ListNumber"/>
      </w:pPr>
      <w:r>
        <w:rPr>
          <w:b/>
        </w:rPr>
        <w:t>Vessel-only lease</w:t>
      </w:r>
      <w:r>
        <w:t>: Lessee provides crew and equipment</w:t>
      </w:r>
    </w:p>
    <w:p>
      <w:pPr>
        <w:pStyle w:val="ListNumber"/>
      </w:pPr>
      <w:r>
        <w:rPr>
          <w:b/>
        </w:rPr>
        <w:t>Crewed vessel lease</w:t>
      </w:r>
      <w:r>
        <w:t>: Lessor provides vessel and crew</w:t>
      </w:r>
    </w:p>
    <w:p>
      <w:pPr>
        <w:pStyle w:val="ListNumber"/>
      </w:pPr>
      <w:r>
        <w:rPr>
          <w:b/>
        </w:rPr>
        <w:t>Turnkey seismic survey</w:t>
      </w:r>
      <w:r>
        <w:t>: Lessor provides vessel, crew, equipment, and performs survey</w:t>
      </w:r>
    </w:p>
    <w:p>
      <w:r>
        <w:rPr>
          <w:b/>
        </w:rPr>
        <w:t>Treaty Classification</w:t>
      </w:r>
      <w:r>
        <w:t>:</w:t>
      </w:r>
    </w:p>
    <w:p>
      <w:pPr>
        <w:pStyle w:val="ListBullet"/>
      </w:pPr>
      <w:r>
        <w:rPr>
          <w:b/>
        </w:rPr>
        <w:t>Vessel-only lease</w:t>
      </w:r>
      <w:r>
        <w:t>: Equipment rental (Article 12 or Article 7)</w:t>
      </w:r>
    </w:p>
    <w:p>
      <w:pPr>
        <w:pStyle w:val="ListBullet"/>
      </w:pPr>
      <w:r>
        <w:rPr>
          <w:b/>
        </w:rPr>
        <w:t>Turnkey survey</w:t>
      </w:r>
      <w:r>
        <w:t xml:space="preserve">: Service income (Article 7) with </w:t>
      </w:r>
      <w:r>
        <w:rPr>
          <w:b/>
        </w:rPr>
        <w:t>PE risk</w:t>
      </w:r>
      <w:r>
        <w:t xml:space="preserve"> if survey duration exceeds treaty threshold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7. Documentation and Compliance</w:t>
      </w:r>
    </w:p>
    <w:p>
      <w:pPr>
        <w:pStyle w:val="Heading3"/>
      </w:pPr>
      <w:r>
        <w:t>7.1 Transfer Pricing Documentation</w:t>
      </w:r>
    </w:p>
    <w:p>
      <w:r>
        <w:t xml:space="preserve">For </w:t>
      </w:r>
      <w:r>
        <w:rPr>
          <w:b/>
        </w:rPr>
        <w:t>related-party leases</w:t>
      </w:r>
      <w:r>
        <w:t>, documentation must include:</w:t>
      </w:r>
    </w:p>
    <w:p>
      <w:r>
        <w:rPr>
          <w:b/>
        </w:rPr>
        <w:t>Functional Analysis</w:t>
      </w:r>
      <w:r>
        <w:t>:</w:t>
      </w:r>
    </w:p>
    <w:p>
      <w:pPr>
        <w:pStyle w:val="ListBullet"/>
      </w:pPr>
      <w:r>
        <w:t xml:space="preserve">Which party bears </w:t>
      </w:r>
      <w:r>
        <w:rPr>
          <w:b/>
        </w:rPr>
        <w:t>residual value risk</w:t>
      </w:r>
      <w:r>
        <w:t>?</w:t>
      </w:r>
    </w:p>
    <w:p>
      <w:pPr>
        <w:pStyle w:val="ListBullet"/>
      </w:pPr>
      <w:r>
        <w:t xml:space="preserve">Which party is responsible for </w:t>
      </w:r>
      <w:r>
        <w:rPr>
          <w:b/>
        </w:rPr>
        <w:t>maintenance, insurance, and operational risks</w:t>
      </w:r>
      <w:r>
        <w:t>?</w:t>
      </w:r>
    </w:p>
    <w:p>
      <w:pPr>
        <w:pStyle w:val="ListBullet"/>
      </w:pPr>
      <w:r>
        <w:t xml:space="preserve">What are the </w:t>
      </w:r>
      <w:r>
        <w:rPr>
          <w:b/>
        </w:rPr>
        <w:t>economic benefits and risks</w:t>
      </w:r>
      <w:r>
        <w:t xml:space="preserve"> for each party?</w:t>
      </w:r>
    </w:p>
    <w:p>
      <w:r>
        <w:rPr>
          <w:b/>
        </w:rPr>
        <w:t>Comparability Analysis</w:t>
      </w:r>
      <w:r>
        <w:t>:</w:t>
      </w:r>
    </w:p>
    <w:p>
      <w:pPr>
        <w:pStyle w:val="ListBullet"/>
      </w:pPr>
      <w:r>
        <w:t xml:space="preserve">Identification of </w:t>
      </w:r>
      <w:r>
        <w:rPr>
          <w:b/>
        </w:rPr>
        <w:t>comparable third-party lease transactions</w:t>
      </w:r>
    </w:p>
    <w:p>
      <w:pPr>
        <w:pStyle w:val="ListBullet"/>
      </w:pPr>
      <w:r>
        <w:t>Adjustments for differences in:</w:t>
      </w:r>
    </w:p>
    <w:p>
      <w:pPr>
        <w:pStyle w:val="ListBullet"/>
        <w:ind w:left="360"/>
      </w:pPr>
      <w:r>
        <w:t>Asset specifications</w:t>
      </w:r>
    </w:p>
    <w:p>
      <w:pPr>
        <w:pStyle w:val="ListBullet"/>
        <w:ind w:left="360"/>
      </w:pPr>
      <w:r>
        <w:t>Lease term</w:t>
      </w:r>
    </w:p>
    <w:p>
      <w:pPr>
        <w:pStyle w:val="ListBullet"/>
        <w:ind w:left="360"/>
      </w:pPr>
      <w:r>
        <w:t>Market conditions</w:t>
      </w:r>
    </w:p>
    <w:p>
      <w:pPr>
        <w:pStyle w:val="ListBullet"/>
        <w:ind w:left="360"/>
      </w:pPr>
      <w:r>
        <w:t>Geographic location</w:t>
      </w:r>
    </w:p>
    <w:p>
      <w:r>
        <w:rPr>
          <w:b/>
        </w:rPr>
        <w:t>Economic Analysis</w:t>
      </w:r>
      <w:r>
        <w:t>:</w:t>
      </w:r>
    </w:p>
    <w:p>
      <w:pPr>
        <w:pStyle w:val="ListBullet"/>
      </w:pPr>
      <w:r>
        <w:t xml:space="preserve">Application of </w:t>
      </w:r>
      <w:r>
        <w:rPr>
          <w:b/>
        </w:rPr>
        <w:t>CUP method</w:t>
      </w:r>
      <w:r>
        <w:t xml:space="preserve"> (if comparables available)</w:t>
      </w:r>
    </w:p>
    <w:p>
      <w:pPr>
        <w:pStyle w:val="ListBullet"/>
      </w:pPr>
      <w:r>
        <w:t xml:space="preserve">Application of </w:t>
      </w:r>
      <w:r>
        <w:rPr>
          <w:b/>
        </w:rPr>
        <w:t>Profit Split</w:t>
      </w:r>
      <w:r>
        <w:t xml:space="preserve"> or </w:t>
      </w:r>
      <w:r>
        <w:rPr>
          <w:b/>
        </w:rPr>
        <w:t>TNMM</w:t>
      </w:r>
      <w:r>
        <w:t xml:space="preserve"> (if no direct comparables)</w:t>
      </w:r>
    </w:p>
    <w:p>
      <w:pPr>
        <w:pStyle w:val="ListBullet"/>
      </w:pPr>
      <w:r>
        <w:t>Sensitivity analysis showing arm's length range</w:t>
      </w:r>
    </w:p>
    <w:p>
      <w:pPr>
        <w:pStyle w:val="Heading3"/>
      </w:pPr>
      <w:r>
        <w:t>7.2 Withholding Tax Compliance</w:t>
      </w:r>
    </w:p>
    <w:p>
      <w:r>
        <w:rPr>
          <w:b/>
        </w:rPr>
        <w:t>For Lessees</w:t>
      </w:r>
      <w:r>
        <w:t xml:space="preserve"> (payers of rental):</w:t>
      </w:r>
    </w:p>
    <w:p>
      <w:pPr>
        <w:pStyle w:val="ListBullet"/>
      </w:pPr>
      <w:r>
        <w:t xml:space="preserve">Determine whether </w:t>
      </w:r>
      <w:r>
        <w:rPr>
          <w:b/>
        </w:rPr>
        <w:t>withholding tax applies</w:t>
      </w:r>
      <w:r>
        <w:t xml:space="preserve"> based on:</w:t>
      </w:r>
    </w:p>
    <w:p>
      <w:pPr>
        <w:pStyle w:val="ListBullet"/>
        <w:ind w:left="360"/>
      </w:pPr>
      <w:r>
        <w:t>Domestic law requirements</w:t>
      </w:r>
    </w:p>
    <w:p>
      <w:pPr>
        <w:pStyle w:val="ListBullet"/>
        <w:ind w:left="360"/>
      </w:pPr>
      <w:r>
        <w:t>Treaty classification (Article 12 or Article 7)</w:t>
      </w:r>
    </w:p>
    <w:p>
      <w:pPr>
        <w:pStyle w:val="ListBullet"/>
        <w:ind w:left="360"/>
      </w:pPr>
      <w:r>
        <w:t>Existence of lessor's PE</w:t>
      </w:r>
    </w:p>
    <w:p>
      <w:pPr>
        <w:pStyle w:val="ListBullet"/>
      </w:pPr>
      <w:r>
        <w:rPr>
          <w:b/>
        </w:rPr>
        <w:t>Withhold and remit</w:t>
      </w:r>
      <w:r>
        <w:t xml:space="preserve"> tax to source country tax authority</w:t>
      </w:r>
    </w:p>
    <w:p>
      <w:pPr>
        <w:pStyle w:val="ListBullet"/>
      </w:pPr>
      <w:r>
        <w:rPr>
          <w:b/>
        </w:rPr>
        <w:t>Report payments</w:t>
      </w:r>
      <w:r>
        <w:t xml:space="preserve"> (e.g., Form 1042-S in U.S., equivalent forms in other jurisdictions)</w:t>
      </w:r>
    </w:p>
    <w:p>
      <w:r>
        <w:rPr>
          <w:b/>
        </w:rPr>
        <w:t>For Lessors</w:t>
      </w:r>
      <w:r>
        <w:t xml:space="preserve"> (recipients of rental):</w:t>
      </w:r>
    </w:p>
    <w:p>
      <w:pPr>
        <w:pStyle w:val="ListBullet"/>
      </w:pPr>
      <w:r>
        <w:rPr>
          <w:b/>
        </w:rPr>
        <w:t>Claim treaty benefits</w:t>
      </w:r>
      <w:r>
        <w:t xml:space="preserve"> by providing:</w:t>
      </w:r>
    </w:p>
    <w:p>
      <w:pPr>
        <w:pStyle w:val="ListBullet"/>
        <w:ind w:left="360"/>
      </w:pPr>
      <w:r>
        <w:t>Certificate of tax residence</w:t>
      </w:r>
    </w:p>
    <w:p>
      <w:pPr>
        <w:pStyle w:val="ListBullet"/>
        <w:ind w:left="360"/>
      </w:pPr>
      <w:r>
        <w:t>Beneficial ownership declaration</w:t>
      </w:r>
    </w:p>
    <w:p>
      <w:pPr>
        <w:pStyle w:val="ListBullet"/>
        <w:ind w:left="360"/>
      </w:pPr>
      <w:r>
        <w:t>PE status declaration (confirming no PE in source country)</w:t>
      </w:r>
    </w:p>
    <w:p>
      <w:pPr>
        <w:pStyle w:val="ListBullet"/>
      </w:pPr>
      <w:r>
        <w:rPr>
          <w:b/>
        </w:rPr>
        <w:t>Reclaim excess WHT</w:t>
      </w:r>
      <w:r>
        <w:t xml:space="preserve"> if withheld in error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WORKED EXAMPLE 1: Drilling Rig Lease - Treaty Classification and Withholding Tax</w:t>
      </w:r>
    </w:p>
    <w:p>
      <w:pPr>
        <w:pStyle w:val="Heading3"/>
      </w:pPr>
      <w:r>
        <w:t>Facts</w:t>
      </w:r>
    </w:p>
    <w:p>
      <w:r>
        <w:rPr>
          <w:b/>
        </w:rPr>
        <w:t>RigCo ASA</w:t>
      </w:r>
      <w:r>
        <w:t xml:space="preserve">, a Norwegian drilling contractor, owns a </w:t>
      </w:r>
      <w:r>
        <w:rPr>
          <w:b/>
        </w:rPr>
        <w:t>semi-submersible drilling rig</w:t>
      </w:r>
      <w:r>
        <w:t xml:space="preserve"> that it leases to </w:t>
      </w:r>
      <w:r>
        <w:rPr>
          <w:b/>
        </w:rPr>
        <w:t>PetroAngola Lda.</w:t>
      </w:r>
      <w:r>
        <w:t>, an Angolan oil company, for drilling operations in the Angolan offshore Kwanza Basin.</w:t>
      </w:r>
    </w:p>
    <w:p>
      <w:r>
        <w:rPr>
          <w:b/>
        </w:rPr>
        <w:t>Lease Terms</w:t>
      </w:r>
      <w:r>
        <w:t>:</w:t>
      </w:r>
    </w:p>
    <w:p>
      <w:pPr>
        <w:pStyle w:val="ListBullet"/>
      </w:pPr>
      <w:r>
        <w:rPr>
          <w:b/>
        </w:rPr>
        <w:t>Lease type</w:t>
      </w:r>
      <w:r>
        <w:t>: Bareboat charter (rig only; PetroAngola provides crew and operates)</w:t>
      </w:r>
    </w:p>
    <w:p>
      <w:pPr>
        <w:pStyle w:val="ListBullet"/>
      </w:pPr>
      <w:r>
        <w:rPr>
          <w:b/>
        </w:rPr>
        <w:t>Lease term</w:t>
      </w:r>
      <w:r>
        <w:t>: 2 years</w:t>
      </w:r>
    </w:p>
    <w:p>
      <w:pPr>
        <w:pStyle w:val="ListBullet"/>
      </w:pPr>
      <w:r>
        <w:rPr>
          <w:b/>
        </w:rPr>
        <w:t>Day rate</w:t>
      </w:r>
      <w:r>
        <w:t>: $280,000 per day</w:t>
      </w:r>
    </w:p>
    <w:p>
      <w:pPr>
        <w:pStyle w:val="ListBullet"/>
      </w:pPr>
      <w:r>
        <w:rPr>
          <w:b/>
        </w:rPr>
        <w:t>Annual lease payment</w:t>
      </w:r>
      <w:r>
        <w:t xml:space="preserve">: $280,000 × 365 days = </w:t>
      </w:r>
      <w:r>
        <w:rPr>
          <w:b/>
        </w:rPr>
        <w:t>$102.2 million</w:t>
      </w:r>
    </w:p>
    <w:p>
      <w:r>
        <w:rPr>
          <w:b/>
        </w:rPr>
        <w:t>RigCo ASA Structure</w:t>
      </w:r>
      <w:r>
        <w:t>:</w:t>
      </w:r>
    </w:p>
    <w:p>
      <w:pPr>
        <w:pStyle w:val="ListBullet"/>
      </w:pPr>
      <w:r>
        <w:t>Norwegian resident company</w:t>
      </w:r>
    </w:p>
    <w:p>
      <w:pPr>
        <w:pStyle w:val="ListBullet"/>
      </w:pPr>
      <w:r>
        <w:t>No office or employees in Angola</w:t>
      </w:r>
    </w:p>
    <w:p>
      <w:pPr>
        <w:pStyle w:val="ListBullet"/>
      </w:pPr>
      <w:r>
        <w:t>Invoices PetroAngola from Norway</w:t>
      </w:r>
    </w:p>
    <w:p>
      <w:pPr>
        <w:pStyle w:val="ListBullet"/>
      </w:pPr>
      <w:r>
        <w:t>Rig registered in Norway</w:t>
      </w:r>
    </w:p>
    <w:p>
      <w:r>
        <w:rPr>
          <w:b/>
        </w:rPr>
        <w:t>Tax Rates</w:t>
      </w:r>
      <w:r>
        <w:t>:</w:t>
      </w:r>
    </w:p>
    <w:p>
      <w:pPr>
        <w:pStyle w:val="ListBullet"/>
      </w:pPr>
      <w:r>
        <w:rPr>
          <w:b/>
        </w:rPr>
        <w:t>Norway corporate tax</w:t>
      </w:r>
      <w:r>
        <w:t>: 22%</w:t>
      </w:r>
    </w:p>
    <w:p>
      <w:pPr>
        <w:pStyle w:val="ListBullet"/>
      </w:pPr>
      <w:r>
        <w:rPr>
          <w:b/>
        </w:rPr>
        <w:t>Angola corporate tax</w:t>
      </w:r>
      <w:r>
        <w:t>: 35%</w:t>
      </w:r>
    </w:p>
    <w:p>
      <w:pPr>
        <w:pStyle w:val="ListBullet"/>
      </w:pPr>
      <w:r>
        <w:rPr>
          <w:b/>
        </w:rPr>
        <w:t>Angola WHT on equipment rental</w:t>
      </w:r>
      <w:r>
        <w:t xml:space="preserve"> (domestic law): 10%</w:t>
      </w:r>
    </w:p>
    <w:p>
      <w:r>
        <w:rPr>
          <w:b/>
        </w:rPr>
        <w:t>Norway-Angola Tax Treaty</w:t>
      </w:r>
      <w:r>
        <w:t>:</w:t>
      </w:r>
    </w:p>
    <w:p>
      <w:pPr>
        <w:pStyle w:val="ListBullet"/>
      </w:pPr>
      <w:r>
        <w:t xml:space="preserve">Based on </w:t>
      </w:r>
      <w:r>
        <w:rPr>
          <w:b/>
        </w:rPr>
        <w:t>UN Model</w:t>
      </w:r>
    </w:p>
    <w:p>
      <w:pPr>
        <w:pStyle w:val="ListBullet"/>
      </w:pPr>
      <w:r>
        <w:rPr>
          <w:b/>
        </w:rPr>
        <w:t>Article 12(3)</w:t>
      </w:r>
      <w:r>
        <w:t xml:space="preserve"> includes equipment rental in definition of royalties</w:t>
      </w:r>
    </w:p>
    <w:p>
      <w:pPr>
        <w:pStyle w:val="ListBullet"/>
      </w:pPr>
      <w:r>
        <w:rPr>
          <w:b/>
        </w:rPr>
        <w:t>Treaty WHT rate on royalties</w:t>
      </w:r>
      <w:r>
        <w:t>: 10%</w:t>
      </w:r>
    </w:p>
    <w:p>
      <w:pPr>
        <w:pStyle w:val="ListBullet"/>
      </w:pPr>
      <w:r>
        <w:rPr>
          <w:b/>
        </w:rPr>
        <w:t>Article 5</w:t>
      </w:r>
      <w:r>
        <w:t xml:space="preserve"> PE definition (standard)</w:t>
      </w:r>
    </w:p>
    <w:p>
      <w:pPr>
        <w:pStyle w:val="Heading3"/>
      </w:pPr>
      <w:r>
        <w:t>Required</w:t>
      </w:r>
    </w:p>
    <w:p>
      <w:pPr>
        <w:pStyle w:val="ListNumber"/>
      </w:pPr>
      <w:r>
        <w:t xml:space="preserve">Determine whether the lease payment is subject to </w:t>
      </w:r>
      <w:r>
        <w:rPr>
          <w:b/>
        </w:rPr>
        <w:t>Angolan withholding tax</w:t>
      </w:r>
    </w:p>
    <w:p>
      <w:pPr>
        <w:pStyle w:val="ListNumber"/>
      </w:pPr>
      <w:r>
        <w:t xml:space="preserve">Calculate the </w:t>
      </w:r>
      <w:r>
        <w:rPr>
          <w:b/>
        </w:rPr>
        <w:t>after-tax cash flow</w:t>
      </w:r>
      <w:r>
        <w:t xml:space="preserve"> to RigCo ASA</w:t>
      </w:r>
    </w:p>
    <w:p>
      <w:pPr>
        <w:pStyle w:val="ListNumber"/>
      </w:pPr>
      <w:r>
        <w:t xml:space="preserve">Analyze whether RigCo has a </w:t>
      </w:r>
      <w:r>
        <w:rPr>
          <w:b/>
        </w:rPr>
        <w:t>permanent establishment</w:t>
      </w:r>
      <w:r>
        <w:t xml:space="preserve"> in Angola</w:t>
      </w:r>
    </w:p>
    <w:p>
      <w:pPr>
        <w:pStyle w:val="ListNumber"/>
      </w:pPr>
      <w:r>
        <w:t xml:space="preserve">Calculate the </w:t>
      </w:r>
      <w:r>
        <w:rPr>
          <w:b/>
        </w:rPr>
        <w:t>effective tax rate</w:t>
      </w:r>
      <w:r>
        <w:t xml:space="preserve"> on RigCo's rental income</w:t>
      </w:r>
    </w:p>
    <w:p>
      <w:pPr>
        <w:pStyle w:val="Heading3"/>
      </w:pPr>
      <w:r>
        <w:t>Analysis</w:t>
      </w:r>
    </w:p>
    <w:p>
      <w:r>
        <w:rPr>
          <w:b/>
        </w:rPr>
        <w:t>Step 1: Treaty Classification</w:t>
      </w:r>
    </w:p>
    <w:p>
      <w:r>
        <w:rPr>
          <w:b/>
        </w:rPr>
        <w:t>Article 12 Analysis</w:t>
      </w:r>
      <w:r>
        <w:t>:</w:t>
      </w:r>
    </w:p>
    <w:p>
      <w:r>
        <w:t xml:space="preserve">The Norway-Angola treaty is based on the </w:t>
      </w:r>
      <w:r>
        <w:rPr>
          <w:b/>
        </w:rPr>
        <w:t>UN Model</w:t>
      </w:r>
      <w:r>
        <w:t>, which includes in Article 12(3):</w:t>
      </w:r>
    </w:p>
    <w:p>
      <w:r>
        <w:t xml:space="preserve">&gt; "...payments...for the use of, or the right to use, industrial, commercial or scientific </w:t>
      </w:r>
      <w:r>
        <w:rPr>
          <w:b/>
        </w:rPr>
        <w:t>equipment</w:t>
      </w:r>
      <w:r>
        <w:t>."</w:t>
      </w:r>
    </w:p>
    <w:p>
      <w:r>
        <w:rPr>
          <w:b/>
        </w:rPr>
        <w:t>Application</w:t>
      </w:r>
      <w:r>
        <w:t>:</w:t>
      </w:r>
    </w:p>
    <w:p>
      <w:pPr>
        <w:pStyle w:val="ListBullet"/>
      </w:pPr>
      <w:r>
        <w:t xml:space="preserve">The semi-submersible rig is </w:t>
      </w:r>
      <w:r>
        <w:rPr>
          <w:b/>
        </w:rPr>
        <w:t>industrial equipment</w:t>
      </w:r>
    </w:p>
    <w:p>
      <w:pPr>
        <w:pStyle w:val="ListBullet"/>
      </w:pPr>
      <w:r>
        <w:t xml:space="preserve">Payment is for the </w:t>
      </w:r>
      <w:r>
        <w:rPr>
          <w:b/>
        </w:rPr>
        <w:t>right to use</w:t>
      </w:r>
      <w:r>
        <w:t xml:space="preserve"> the rig</w:t>
      </w:r>
    </w:p>
    <w:p>
      <w:pPr>
        <w:pStyle w:val="ListBullet"/>
      </w:pPr>
      <w:r>
        <w:t xml:space="preserve">Under Article 12, the payment is a </w:t>
      </w:r>
      <w:r>
        <w:rPr>
          <w:b/>
        </w:rPr>
        <w:t>royalty</w:t>
      </w:r>
    </w:p>
    <w:p>
      <w:r>
        <w:rPr>
          <w:b/>
        </w:rPr>
        <w:t>Conclusion</w:t>
      </w:r>
      <w:r>
        <w:t xml:space="preserve">: The lease payment is classified as a </w:t>
      </w:r>
      <w:r>
        <w:rPr>
          <w:b/>
        </w:rPr>
        <w:t>royalty</w:t>
      </w:r>
      <w:r>
        <w:t xml:space="preserve"> under Article 12.</w:t>
      </w:r>
    </w:p>
    <w:p>
      <w:r>
        <w:rPr>
          <w:b/>
        </w:rPr>
        <w:t>Step 2: Withholding Tax Obligation</w:t>
      </w:r>
    </w:p>
    <w:p>
      <w:r>
        <w:rPr>
          <w:b/>
        </w:rPr>
        <w:t>Angola Domestic Law</w:t>
      </w:r>
      <w:r>
        <w:t>: 10% WHT on equipment rental</w:t>
      </w:r>
    </w:p>
    <w:p>
      <w:r>
        <w:rPr>
          <w:b/>
        </w:rPr>
        <w:t>Treaty Rate</w:t>
      </w:r>
      <w:r>
        <w:t>: 10% WHT on royalties under Article 12</w:t>
      </w:r>
    </w:p>
    <w:p>
      <w:r>
        <w:rPr>
          <w:b/>
        </w:rPr>
        <w:t>Result</w:t>
      </w:r>
      <w:r>
        <w:t xml:space="preserve">: Angola can impose </w:t>
      </w:r>
      <w:r>
        <w:rPr>
          <w:b/>
        </w:rPr>
        <w:t>10% withholding tax</w:t>
      </w:r>
      <w:r>
        <w:t xml:space="preserve"> on the gross lease payment.</w:t>
      </w:r>
    </w:p>
    <w:p>
      <w:r>
        <w:rPr>
          <w:b/>
        </w:rPr>
        <w:t>WHT Calculation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lease payment = $102,200,000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Angola WHT at 10% = $10,220,000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amount to RigCo ASA = $91,980,000</w:t>
      </w:r>
    </w:p>
    <w:p/>
    <w:p>
      <w:r>
        <w:rPr>
          <w:b/>
        </w:rPr>
        <w:t>Step 3: Permanent Establishment Analysis</w:t>
      </w:r>
    </w:p>
    <w:p>
      <w:r>
        <w:rPr>
          <w:b/>
        </w:rPr>
        <w:t>Question</w:t>
      </w:r>
      <w:r>
        <w:t>: Does RigCo have a PE in Angola that would subject it to corporate income tax on net profits (in addition to WHT)?</w:t>
      </w:r>
    </w:p>
    <w:p>
      <w:r>
        <w:rPr>
          <w:b/>
        </w:rPr>
        <w:t>Article 5(1) - Fixed Place of Business PE</w:t>
      </w:r>
      <w:r>
        <w:t>:</w:t>
      </w:r>
    </w:p>
    <w:p>
      <w:pPr>
        <w:pStyle w:val="ListBullet"/>
      </w:pPr>
      <w:r>
        <w:t xml:space="preserve">RigCo has </w:t>
      </w:r>
      <w:r>
        <w:rPr>
          <w:b/>
        </w:rPr>
        <w:t>no office</w:t>
      </w:r>
      <w:r>
        <w:t xml:space="preserve"> in Angola</w:t>
      </w:r>
    </w:p>
    <w:p>
      <w:pPr>
        <w:pStyle w:val="ListBullet"/>
      </w:pPr>
      <w:r>
        <w:t xml:space="preserve">RigCo has </w:t>
      </w:r>
      <w:r>
        <w:rPr>
          <w:b/>
        </w:rPr>
        <w:t>no employees</w:t>
      </w:r>
      <w:r>
        <w:t xml:space="preserve"> in Angola (PetroAngola operates the rig)</w:t>
      </w:r>
    </w:p>
    <w:p>
      <w:pPr>
        <w:pStyle w:val="ListBullet"/>
      </w:pPr>
      <w:r>
        <w:t xml:space="preserve">The rig itself </w:t>
      </w:r>
      <w:r>
        <w:rPr>
          <w:b/>
        </w:rPr>
        <w:t>does not constitute a fixed place</w:t>
      </w:r>
      <w:r>
        <w:t xml:space="preserve"> of business for RigCo (it's merely the leased asset)</w:t>
      </w:r>
    </w:p>
    <w:p>
      <w:r>
        <w:rPr>
          <w:b/>
        </w:rPr>
        <w:t>Article 5(3) - Building Site/Installation PE</w:t>
      </w:r>
      <w:r>
        <w:t>:</w:t>
      </w:r>
    </w:p>
    <w:p>
      <w:pPr>
        <w:pStyle w:val="ListBullet"/>
      </w:pPr>
      <w:r>
        <w:t xml:space="preserve">RigCo is </w:t>
      </w:r>
      <w:r>
        <w:rPr>
          <w:b/>
        </w:rPr>
        <w:t>not performing services</w:t>
      </w:r>
      <w:r>
        <w:t xml:space="preserve"> (PetroAngola operates the rig)</w:t>
      </w:r>
    </w:p>
    <w:p>
      <w:pPr>
        <w:pStyle w:val="ListBullet"/>
      </w:pPr>
      <w:r>
        <w:t>No construction, installation, or assembly activities by RigCo</w:t>
      </w:r>
    </w:p>
    <w:p>
      <w:pPr>
        <w:pStyle w:val="ListBullet"/>
      </w:pPr>
      <w:r>
        <w:t xml:space="preserve">Article 5(3) does </w:t>
      </w:r>
      <w:r>
        <w:rPr>
          <w:b/>
        </w:rPr>
        <w:t>not apply</w:t>
      </w:r>
    </w:p>
    <w:p>
      <w:r>
        <w:rPr>
          <w:b/>
        </w:rPr>
        <w:t>Conclusion</w:t>
      </w:r>
      <w:r>
        <w:t xml:space="preserve">: RigCo does </w:t>
      </w:r>
      <w:r>
        <w:rPr>
          <w:b/>
        </w:rPr>
        <w:t>not have a PE</w:t>
      </w:r>
      <w:r>
        <w:t xml:space="preserve"> in Angola.</w:t>
      </w:r>
    </w:p>
    <w:p>
      <w:r>
        <w:rPr>
          <w:b/>
        </w:rPr>
        <w:t>Implication</w:t>
      </w:r>
      <w:r>
        <w:t xml:space="preserve">: Angola taxes only the </w:t>
      </w:r>
      <w:r>
        <w:rPr>
          <w:b/>
        </w:rPr>
        <w:t>gross royalty</w:t>
      </w:r>
      <w:r>
        <w:t xml:space="preserve"> via 10% WHT. Angola does </w:t>
      </w:r>
      <w:r>
        <w:rPr>
          <w:b/>
        </w:rPr>
        <w:t>not</w:t>
      </w:r>
      <w:r>
        <w:t xml:space="preserve"> assess corporate income tax on net profit (which would apply if a PE existed).</w:t>
      </w:r>
    </w:p>
    <w:p>
      <w:r>
        <w:rPr>
          <w:b/>
        </w:rPr>
        <w:t>Step 4: After-Tax Cash Flow and Effective Tax Rate</w:t>
      </w:r>
    </w:p>
    <w:p>
      <w:r>
        <w:rPr>
          <w:b/>
        </w:rPr>
        <w:t>Norway Tax Calculation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rental income = $102,200,000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Operating expenses (maintenance, insurance, crew costs) = $15,000,000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Depreciation (assume 6-year linear, rig value $300M) = $50,000,000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 in Norway = $37,200,000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Norway corporate tax at 22% = $8,184,000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tax credit (Angola WHT): $10,220,000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Norway tax liability after FTC = MAX(0, $8,184,000 - $10,220,000) =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(Excess foreign tax credit of $2,036,000 may be carried forward or refunded depending on Norwegian rules)</w:t>
      </w:r>
    </w:p>
    <w:p/>
    <w:p>
      <w:r>
        <w:rPr>
          <w:b/>
        </w:rPr>
        <w:t>Total Taxes Paid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Angola WHT = $10,220,000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Norway tax (after FTC) =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taxes = $10,220,000</w:t>
      </w:r>
    </w:p>
    <w:p/>
    <w:p>
      <w:r>
        <w:rPr>
          <w:b/>
        </w:rPr>
        <w:t>Effective Tax Rate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taxes = $10,220,000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rental income = $102,200,000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rate = 10.0%</w:t>
      </w:r>
    </w:p>
    <w:p/>
    <w:p>
      <w:r>
        <w:rPr>
          <w:b/>
        </w:rPr>
        <w:t>After-Tax Cash Flow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rental income = $102,200,000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Angola WHT = $10,220,000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Operating expenses (maintenance, insurance) = $15,000,000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cash flow (before depreciation tax shield) = $76,980,000</w:t>
      </w:r>
    </w:p>
    <w:p/>
    <w:p>
      <w:r>
        <w:rPr>
          <w:b/>
        </w:rPr>
        <w:t>Note</w:t>
      </w:r>
      <w:r>
        <w:t xml:space="preserve">: Depreciation is a non-cash expense, so it doesn't affect cash flow directly, but the </w:t>
      </w:r>
      <w:r>
        <w:rPr>
          <w:b/>
        </w:rPr>
        <w:t>tax shield</w:t>
      </w:r>
      <w:r>
        <w:t xml:space="preserve"> it provides is already captured in the zero Norway tax (fully offset by FTC).</w:t>
      </w:r>
    </w:p>
    <w:p>
      <w:pPr>
        <w:pStyle w:val="Heading3"/>
      </w:pPr>
      <w:r>
        <w:t>Recommendation for RigCo ASA</w:t>
      </w:r>
    </w:p>
    <w:p>
      <w:r>
        <w:rPr>
          <w:b/>
        </w:rPr>
        <w:t>Current Structure is Tax-Efficient</w:t>
      </w:r>
      <w:r>
        <w:t>:</w:t>
      </w:r>
    </w:p>
    <w:p>
      <w:pPr>
        <w:pStyle w:val="ListNumber"/>
      </w:pPr>
      <w:r>
        <w:rPr>
          <w:b/>
        </w:rPr>
        <w:t>10% effective rate</w:t>
      </w:r>
      <w:r>
        <w:t xml:space="preserve"> is reasonable for cross-border equipment leasing</w:t>
      </w:r>
    </w:p>
    <w:p>
      <w:pPr>
        <w:pStyle w:val="ListNumber"/>
      </w:pPr>
      <w:r>
        <w:rPr>
          <w:b/>
        </w:rPr>
        <w:t>Norway FTC</w:t>
      </w:r>
      <w:r>
        <w:t xml:space="preserve"> fully absorbs Angola WHT, avoiding double taxation</w:t>
      </w:r>
    </w:p>
    <w:p>
      <w:pPr>
        <w:pStyle w:val="ListNumber"/>
      </w:pPr>
      <w:r>
        <w:rPr>
          <w:b/>
        </w:rPr>
        <w:t>No PE in Angola</w:t>
      </w:r>
      <w:r>
        <w:t xml:space="preserve"> avoids exposure to 35% Angolan corporate tax on net profits</w:t>
      </w:r>
    </w:p>
    <w:p>
      <w:r>
        <w:rPr>
          <w:b/>
        </w:rPr>
        <w:t>Consider Alternative Structure</w:t>
      </w:r>
      <w:r>
        <w:t>:</w:t>
      </w:r>
    </w:p>
    <w:p>
      <w:r>
        <w:t>If RigCo operated the rig (provided crew and drilling services), it would:</w:t>
      </w:r>
    </w:p>
    <w:p>
      <w:pPr>
        <w:pStyle w:val="ListBullet"/>
      </w:pPr>
      <w:r>
        <w:t xml:space="preserve">Create a </w:t>
      </w:r>
      <w:r>
        <w:rPr>
          <w:b/>
        </w:rPr>
        <w:t>service PE</w:t>
      </w:r>
      <w:r>
        <w:t xml:space="preserve"> in Angola under Article 5(3) (if duration &gt; 12 months)</w:t>
      </w:r>
    </w:p>
    <w:p>
      <w:pPr>
        <w:pStyle w:val="ListBullet"/>
      </w:pPr>
      <w:r>
        <w:t xml:space="preserve">Be subject to </w:t>
      </w:r>
      <w:r>
        <w:rPr>
          <w:b/>
        </w:rPr>
        <w:t>35% Angolan corporate tax</w:t>
      </w:r>
      <w:r>
        <w:t xml:space="preserve"> on net profits attributable to PE</w:t>
      </w:r>
    </w:p>
    <w:p>
      <w:pPr>
        <w:pStyle w:val="ListBullet"/>
      </w:pPr>
      <w:r>
        <w:t>Higher effective tax rate, but potentially higher revenue (service contracts typically more profitable than bare boat leases)</w:t>
      </w:r>
    </w:p>
    <w:p>
      <w:r>
        <w:rPr>
          <w:b/>
        </w:rPr>
        <w:t>Maintain Bareboat Charter</w:t>
      </w:r>
      <w:r>
        <w:t xml:space="preserve"> to minimize tax exposure and maximize after-tax returns.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WORKED EXAMPLE 2: FPSO Operating Lease - Transfer Pricing Challenge</w:t>
      </w:r>
    </w:p>
    <w:p>
      <w:pPr>
        <w:pStyle w:val="Heading3"/>
      </w:pPr>
      <w:r>
        <w:t>Facts</w:t>
      </w:r>
    </w:p>
    <w:p>
      <w:r>
        <w:rPr>
          <w:b/>
        </w:rPr>
        <w:t>OceanFloat Holdings Ltd.</w:t>
      </w:r>
      <w:r>
        <w:t xml:space="preserve">, a Singapore-based FPSO owner, leases an FPSO to its </w:t>
      </w:r>
      <w:r>
        <w:rPr>
          <w:b/>
        </w:rPr>
        <w:t>70%-owned Brazilian subsidiary</w:t>
      </w:r>
      <w:r>
        <w:t xml:space="preserve">, </w:t>
      </w:r>
      <w:r>
        <w:rPr>
          <w:b/>
        </w:rPr>
        <w:t>PetroBrasil Producao Ltda.</w:t>
      </w:r>
      <w:r>
        <w:t>, which operates an offshore field in the Santos Basin.</w:t>
      </w:r>
    </w:p>
    <w:p>
      <w:r>
        <w:rPr>
          <w:b/>
        </w:rPr>
        <w:t>FPSO Specifications</w:t>
      </w:r>
      <w:r>
        <w:t>:</w:t>
      </w:r>
    </w:p>
    <w:p>
      <w:pPr>
        <w:pStyle w:val="ListBullet"/>
      </w:pPr>
      <w:r>
        <w:rPr>
          <w:b/>
        </w:rPr>
        <w:t>Production capacity</w:t>
      </w:r>
      <w:r>
        <w:t>: 120,000 bopd</w:t>
      </w:r>
    </w:p>
    <w:p>
      <w:pPr>
        <w:pStyle w:val="ListBullet"/>
      </w:pPr>
      <w:r>
        <w:rPr>
          <w:b/>
        </w:rPr>
        <w:t>Storage capacity</w:t>
      </w:r>
      <w:r>
        <w:t>: 1.6 million barrels</w:t>
      </w:r>
    </w:p>
    <w:p>
      <w:pPr>
        <w:pStyle w:val="ListBullet"/>
      </w:pPr>
      <w:r>
        <w:rPr>
          <w:b/>
        </w:rPr>
        <w:t>Water depth capability</w:t>
      </w:r>
      <w:r>
        <w:t>: 2,200 meters</w:t>
      </w:r>
    </w:p>
    <w:p>
      <w:pPr>
        <w:pStyle w:val="ListBullet"/>
      </w:pPr>
      <w:r>
        <w:rPr>
          <w:b/>
        </w:rPr>
        <w:t>Fair market value</w:t>
      </w:r>
      <w:r>
        <w:t>: $800 million</w:t>
      </w:r>
    </w:p>
    <w:p>
      <w:pPr>
        <w:pStyle w:val="ListBullet"/>
      </w:pPr>
      <w:r>
        <w:rPr>
          <w:b/>
        </w:rPr>
        <w:t>Economic life</w:t>
      </w:r>
      <w:r>
        <w:t>: 20 years</w:t>
      </w:r>
    </w:p>
    <w:p>
      <w:r>
        <w:rPr>
          <w:b/>
        </w:rPr>
        <w:t>Lease Terms</w:t>
      </w:r>
      <w:r>
        <w:t>:</w:t>
      </w:r>
    </w:p>
    <w:p>
      <w:pPr>
        <w:pStyle w:val="ListBullet"/>
      </w:pPr>
      <w:r>
        <w:rPr>
          <w:b/>
        </w:rPr>
        <w:t>Lease type</w:t>
      </w:r>
      <w:r>
        <w:t>: Bareboat (FPSO only; PetroBrasil operates with its own personnel)</w:t>
      </w:r>
    </w:p>
    <w:p>
      <w:pPr>
        <w:pStyle w:val="ListBullet"/>
      </w:pPr>
      <w:r>
        <w:rPr>
          <w:b/>
        </w:rPr>
        <w:t>Lease term</w:t>
      </w:r>
      <w:r>
        <w:t>: 10 years</w:t>
      </w:r>
    </w:p>
    <w:p>
      <w:pPr>
        <w:pStyle w:val="ListBullet"/>
      </w:pPr>
      <w:r>
        <w:rPr>
          <w:b/>
        </w:rPr>
        <w:t>Annual lease payment</w:t>
      </w:r>
      <w:r>
        <w:t>: $90 million</w:t>
      </w:r>
    </w:p>
    <w:p>
      <w:r>
        <w:rPr>
          <w:b/>
        </w:rPr>
        <w:t>Market Comparables</w:t>
      </w:r>
      <w:r>
        <w:t xml:space="preserve"> (Third-party FPSO leases in Brazil):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FPSO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Production Capacity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Annual Lease Rate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</w:tr>
      <w:tr>
        <w:tc>
          <w:tcPr>
            <w:tcW w:type="dxa" w:w="2160"/>
          </w:tcPr>
          <w:p>
            <w:r/>
            <w:r>
              <w:t>FPSO Alpha</w:t>
            </w:r>
          </w:p>
        </w:tc>
        <w:tc>
          <w:tcPr>
            <w:tcW w:type="dxa" w:w="2160"/>
          </w:tcPr>
          <w:p>
            <w:r/>
            <w:r>
              <w:t>100,000 bopd</w:t>
            </w:r>
          </w:p>
        </w:tc>
        <w:tc>
          <w:tcPr>
            <w:tcW w:type="dxa" w:w="2160"/>
          </w:tcPr>
          <w:p>
            <w:r/>
            <w:r>
              <w:t>$65 million</w:t>
            </w:r>
          </w:p>
        </w:tc>
        <w:tc>
          <w:tcPr>
            <w:tcW w:type="dxa" w:w="2160"/>
          </w:tcPr>
          <w:p>
            <w:r/>
            <w:r>
              <w:t>10 years</w:t>
            </w:r>
          </w:p>
        </w:tc>
      </w:tr>
      <w:tr>
        <w:tc>
          <w:tcPr>
            <w:tcW w:type="dxa" w:w="2160"/>
          </w:tcPr>
          <w:p>
            <w:r/>
            <w:r>
              <w:t>FPSO Beta</w:t>
            </w:r>
          </w:p>
        </w:tc>
        <w:tc>
          <w:tcPr>
            <w:tcW w:type="dxa" w:w="2160"/>
          </w:tcPr>
          <w:p>
            <w:r/>
            <w:r>
              <w:t>150,000 bopd</w:t>
            </w:r>
          </w:p>
        </w:tc>
        <w:tc>
          <w:tcPr>
            <w:tcW w:type="dxa" w:w="2160"/>
          </w:tcPr>
          <w:p>
            <w:r/>
            <w:r>
              <w:t>$95 million</w:t>
            </w:r>
          </w:p>
        </w:tc>
        <w:tc>
          <w:tcPr>
            <w:tcW w:type="dxa" w:w="2160"/>
          </w:tcPr>
          <w:p>
            <w:r/>
            <w:r>
              <w:t>12 years</w:t>
            </w:r>
          </w:p>
        </w:tc>
      </w:tr>
      <w:tr>
        <w:tc>
          <w:tcPr>
            <w:tcW w:type="dxa" w:w="2160"/>
          </w:tcPr>
          <w:p>
            <w:r/>
            <w:r>
              <w:t>FPSO Gamma</w:t>
            </w:r>
          </w:p>
        </w:tc>
        <w:tc>
          <w:tcPr>
            <w:tcW w:type="dxa" w:w="2160"/>
          </w:tcPr>
          <w:p>
            <w:r/>
            <w:r>
              <w:t>110,000 bopd</w:t>
            </w:r>
          </w:p>
        </w:tc>
        <w:tc>
          <w:tcPr>
            <w:tcW w:type="dxa" w:w="2160"/>
          </w:tcPr>
          <w:p>
            <w:r/>
            <w:r>
              <w:t>$70 million</w:t>
            </w:r>
          </w:p>
        </w:tc>
        <w:tc>
          <w:tcPr>
            <w:tcW w:type="dxa" w:w="2160"/>
          </w:tcPr>
          <w:p>
            <w:r/>
            <w:r>
              <w:t>8 years</w:t>
            </w:r>
          </w:p>
        </w:tc>
      </w:tr>
    </w:tbl>
    <w:p/>
    <w:p>
      <w:r>
        <w:rPr>
          <w:b/>
        </w:rPr>
        <w:t>Brazilian Tax Authority Position</w:t>
      </w:r>
      <w:r>
        <w:t>:</w:t>
      </w:r>
    </w:p>
    <w:p>
      <w:r>
        <w:t xml:space="preserve">The </w:t>
      </w:r>
      <w:r>
        <w:rPr>
          <w:b/>
        </w:rPr>
        <w:t>Receita Federal do Brasil (RFB)</w:t>
      </w:r>
      <w:r>
        <w:t xml:space="preserve"> audits PetroBrasil and challenges the </w:t>
      </w:r>
      <w:r>
        <w:rPr>
          <w:b/>
        </w:rPr>
        <w:t>$90 million annual lease payment</w:t>
      </w:r>
      <w:r>
        <w:t xml:space="preserve"> as excessive and not arm's length. The RFB asserts that:</w:t>
      </w:r>
    </w:p>
    <w:p>
      <w:pPr>
        <w:pStyle w:val="ListBullet"/>
      </w:pPr>
      <w:r>
        <w:t xml:space="preserve">Comparable FPSO leases for similar capacity are in the range of </w:t>
      </w:r>
      <w:r>
        <w:rPr>
          <w:b/>
        </w:rPr>
        <w:t>$65-75 million per year</w:t>
      </w:r>
    </w:p>
    <w:p>
      <w:pPr>
        <w:pStyle w:val="ListBullet"/>
      </w:pPr>
      <w:r>
        <w:t xml:space="preserve">The </w:t>
      </w:r>
      <w:r>
        <w:rPr>
          <w:b/>
        </w:rPr>
        <w:t>$90 million rate</w:t>
      </w:r>
      <w:r>
        <w:t xml:space="preserve"> results in profit shifting to Singapore (lower tax jurisdiction)</w:t>
      </w:r>
    </w:p>
    <w:p>
      <w:pPr>
        <w:pStyle w:val="ListBullet"/>
      </w:pPr>
      <w:r>
        <w:rPr>
          <w:b/>
        </w:rPr>
        <w:t>Excess payment</w:t>
      </w:r>
      <w:r>
        <w:t xml:space="preserve"> of $15-25 million should be disallowed as a deduction</w:t>
      </w:r>
    </w:p>
    <w:p>
      <w:r>
        <w:rPr>
          <w:b/>
        </w:rPr>
        <w:t>Tax Rates</w:t>
      </w:r>
      <w:r>
        <w:t>:</w:t>
      </w:r>
    </w:p>
    <w:p>
      <w:pPr>
        <w:pStyle w:val="ListBullet"/>
      </w:pPr>
      <w:r>
        <w:rPr>
          <w:b/>
        </w:rPr>
        <w:t>Brazil corporate tax</w:t>
      </w:r>
      <w:r>
        <w:t>: 34% (combined IRPJ and CSLL)</w:t>
      </w:r>
    </w:p>
    <w:p>
      <w:pPr>
        <w:pStyle w:val="ListBullet"/>
      </w:pPr>
      <w:r>
        <w:rPr>
          <w:b/>
        </w:rPr>
        <w:t>Singapore corporate tax</w:t>
      </w:r>
      <w:r>
        <w:t>: 17%</w:t>
      </w:r>
    </w:p>
    <w:p>
      <w:pPr>
        <w:pStyle w:val="ListBullet"/>
      </w:pPr>
      <w:r>
        <w:rPr>
          <w:b/>
        </w:rPr>
        <w:t>Brazil WHT on equipment rental</w:t>
      </w:r>
      <w:r>
        <w:t xml:space="preserve"> (under Brazil-Singapore treaty): </w:t>
      </w:r>
      <w:r>
        <w:rPr>
          <w:b/>
        </w:rPr>
        <w:t>15%</w:t>
      </w:r>
    </w:p>
    <w:p>
      <w:pPr>
        <w:pStyle w:val="Heading3"/>
      </w:pPr>
      <w:r>
        <w:t>Required</w:t>
      </w:r>
    </w:p>
    <w:p>
      <w:pPr>
        <w:pStyle w:val="ListNumber"/>
      </w:pPr>
      <w:r>
        <w:t xml:space="preserve">Perform a </w:t>
      </w:r>
      <w:r>
        <w:rPr>
          <w:b/>
        </w:rPr>
        <w:t>transfer pricing analysis</w:t>
      </w:r>
      <w:r>
        <w:t xml:space="preserve"> to determine whether $90 million is arm's length</w:t>
      </w:r>
    </w:p>
    <w:p>
      <w:pPr>
        <w:pStyle w:val="ListNumber"/>
      </w:pPr>
      <w:r>
        <w:t xml:space="preserve">Calculate the </w:t>
      </w:r>
      <w:r>
        <w:rPr>
          <w:b/>
        </w:rPr>
        <w:t>tax impact</w:t>
      </w:r>
      <w:r>
        <w:t xml:space="preserve"> if the RFB disallows $20 million of the lease payment</w:t>
      </w:r>
    </w:p>
    <w:p>
      <w:pPr>
        <w:pStyle w:val="ListNumber"/>
      </w:pPr>
      <w:r>
        <w:t xml:space="preserve">Determine whether the excess should be </w:t>
      </w:r>
      <w:r>
        <w:rPr>
          <w:b/>
        </w:rPr>
        <w:t>recharacterized</w:t>
      </w:r>
      <w:r>
        <w:t xml:space="preserve"> as a dividend or other payment</w:t>
      </w:r>
    </w:p>
    <w:p>
      <w:pPr>
        <w:pStyle w:val="ListNumber"/>
      </w:pPr>
      <w:r>
        <w:t xml:space="preserve">Recommend a </w:t>
      </w:r>
      <w:r>
        <w:rPr>
          <w:b/>
        </w:rPr>
        <w:t>defense strategy</w:t>
      </w:r>
      <w:r>
        <w:t xml:space="preserve"> for OceanFloat Holdings</w:t>
      </w:r>
    </w:p>
    <w:p>
      <w:pPr>
        <w:pStyle w:val="Heading3"/>
      </w:pPr>
      <w:r>
        <w:t>Analysis</w:t>
      </w:r>
    </w:p>
    <w:p>
      <w:r>
        <w:rPr>
          <w:b/>
        </w:rPr>
        <w:t>Step 1: Transfer Pricing Analysis - CUP Method</w:t>
      </w:r>
    </w:p>
    <w:p>
      <w:r>
        <w:rPr>
          <w:b/>
        </w:rPr>
        <w:t>Comparables Adjustment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FPSO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Production Capacity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Annual Lease Rate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Normalized Rate (per 1,000 bopd)</w:t>
            </w:r>
          </w:p>
        </w:tc>
      </w:tr>
      <w:tr>
        <w:tc>
          <w:tcPr>
            <w:tcW w:type="dxa" w:w="2160"/>
          </w:tcPr>
          <w:p>
            <w:r/>
            <w:r>
              <w:t>FPSO Alpha</w:t>
            </w:r>
          </w:p>
        </w:tc>
        <w:tc>
          <w:tcPr>
            <w:tcW w:type="dxa" w:w="2160"/>
          </w:tcPr>
          <w:p>
            <w:r/>
            <w:r>
              <w:t>100,000 bopd</w:t>
            </w:r>
          </w:p>
        </w:tc>
        <w:tc>
          <w:tcPr>
            <w:tcW w:type="dxa" w:w="2160"/>
          </w:tcPr>
          <w:p>
            <w:r/>
            <w:r>
              <w:t>$65M</w:t>
            </w:r>
          </w:p>
        </w:tc>
        <w:tc>
          <w:tcPr>
            <w:tcW w:type="dxa" w:w="2160"/>
          </w:tcPr>
          <w:p>
            <w:r/>
            <w:r>
              <w:t>$650K per 1,000 bopd</w:t>
            </w:r>
          </w:p>
        </w:tc>
      </w:tr>
      <w:tr>
        <w:tc>
          <w:tcPr>
            <w:tcW w:type="dxa" w:w="2160"/>
          </w:tcPr>
          <w:p>
            <w:r/>
            <w:r>
              <w:t>FPSO Beta</w:t>
            </w:r>
          </w:p>
        </w:tc>
        <w:tc>
          <w:tcPr>
            <w:tcW w:type="dxa" w:w="2160"/>
          </w:tcPr>
          <w:p>
            <w:r/>
            <w:r>
              <w:t>150,000 bopd</w:t>
            </w:r>
          </w:p>
        </w:tc>
        <w:tc>
          <w:tcPr>
            <w:tcW w:type="dxa" w:w="2160"/>
          </w:tcPr>
          <w:p>
            <w:r/>
            <w:r>
              <w:t>$95M</w:t>
            </w:r>
          </w:p>
        </w:tc>
        <w:tc>
          <w:tcPr>
            <w:tcW w:type="dxa" w:w="2160"/>
          </w:tcPr>
          <w:p>
            <w:r/>
            <w:r>
              <w:t>$633K per 1,000 bopd</w:t>
            </w:r>
          </w:p>
        </w:tc>
      </w:tr>
      <w:tr>
        <w:tc>
          <w:tcPr>
            <w:tcW w:type="dxa" w:w="2160"/>
          </w:tcPr>
          <w:p>
            <w:r/>
            <w:r>
              <w:t>FPSO Gamma</w:t>
            </w:r>
          </w:p>
        </w:tc>
        <w:tc>
          <w:tcPr>
            <w:tcW w:type="dxa" w:w="2160"/>
          </w:tcPr>
          <w:p>
            <w:r/>
            <w:r>
              <w:t>110,000 bopd</w:t>
            </w:r>
          </w:p>
        </w:tc>
        <w:tc>
          <w:tcPr>
            <w:tcW w:type="dxa" w:w="2160"/>
          </w:tcPr>
          <w:p>
            <w:r/>
            <w:r>
              <w:t>$70M</w:t>
            </w:r>
          </w:p>
        </w:tc>
        <w:tc>
          <w:tcPr>
            <w:tcW w:type="dxa" w:w="2160"/>
          </w:tcPr>
          <w:p>
            <w:r/>
            <w:r>
              <w:t>$636K per 1,000 bopd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Arm's length range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$630K - $650K per 1,000 bopd</w:t>
            </w:r>
          </w:p>
        </w:tc>
      </w:tr>
    </w:tbl>
    <w:p/>
    <w:p>
      <w:r>
        <w:rPr>
          <w:b/>
        </w:rPr>
        <w:t>Related-Party Lease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Production capacity = 120,000 bopd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Lease payment = $90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Rate per 1,000 bopd = $90M / 120 = $750K per 1,000 bopd</w:t>
      </w:r>
    </w:p>
    <w:p/>
    <w:p>
      <w:r>
        <w:rPr>
          <w:b/>
        </w:rPr>
        <w:t>Comparison</w:t>
      </w:r>
      <w:r>
        <w:t>:</w:t>
      </w:r>
    </w:p>
    <w:p>
      <w:r>
        <w:t xml:space="preserve">The related-party rate of </w:t>
      </w:r>
      <w:r>
        <w:rPr>
          <w:b/>
        </w:rPr>
        <w:t>$750K per 1,000 bopd</w:t>
      </w:r>
      <w:r>
        <w:t xml:space="preserve"> is </w:t>
      </w:r>
      <w:r>
        <w:rPr>
          <w:b/>
        </w:rPr>
        <w:t>19% above</w:t>
      </w:r>
      <w:r>
        <w:t xml:space="preserve"> the upper bound of the arm's length range ($650K).</w:t>
      </w:r>
    </w:p>
    <w:p>
      <w:r>
        <w:rPr>
          <w:b/>
        </w:rPr>
        <w:t>Conclusion</w:t>
      </w:r>
      <w:r>
        <w:t xml:space="preserve">: The </w:t>
      </w:r>
      <w:r>
        <w:rPr>
          <w:b/>
        </w:rPr>
        <w:t>$90 million lease payment</w:t>
      </w:r>
      <w:r>
        <w:t xml:space="preserve"> appears to be </w:t>
      </w:r>
      <w:r>
        <w:rPr>
          <w:b/>
        </w:rPr>
        <w:t>above arm's length</w:t>
      </w:r>
      <w:r>
        <w:t xml:space="preserve"> based on the CUP analysis.</w:t>
      </w:r>
    </w:p>
    <w:p>
      <w:r>
        <w:rPr>
          <w:b/>
        </w:rPr>
        <w:t>Step 2: Adjustments for Differences</w:t>
      </w:r>
    </w:p>
    <w:p>
      <w:r>
        <w:rPr>
          <w:b/>
        </w:rPr>
        <w:t>OceanFloat's Defense</w:t>
      </w:r>
      <w:r>
        <w:t>: The higher rate is justified by:</w:t>
      </w:r>
    </w:p>
    <w:p>
      <w:pPr>
        <w:pStyle w:val="ListNumber"/>
      </w:pPr>
      <w:r>
        <w:rPr>
          <w:b/>
        </w:rPr>
        <w:t>Deeper water capability</w:t>
      </w:r>
      <w:r>
        <w:t>: Subject FPSO operates in 2,200m water depth; comparables may be shallower-water FPSOs</w:t>
      </w:r>
    </w:p>
    <w:p>
      <w:pPr>
        <w:pStyle w:val="ListNumber"/>
      </w:pPr>
      <w:r>
        <w:rPr>
          <w:b/>
        </w:rPr>
        <w:t>Higher specification</w:t>
      </w:r>
      <w:r>
        <w:t>: Subject FPSO is newer (5 years old vs. 10+ years for comparables)</w:t>
      </w:r>
    </w:p>
    <w:p>
      <w:pPr>
        <w:pStyle w:val="ListNumber"/>
      </w:pPr>
      <w:r>
        <w:rPr>
          <w:b/>
        </w:rPr>
        <w:t>Storage capacity</w:t>
      </w:r>
      <w:r>
        <w:t>: 1.6 million barrels storage vs. 1.2 million for comparables</w:t>
      </w:r>
    </w:p>
    <w:p>
      <w:pPr>
        <w:pStyle w:val="ListNumber"/>
      </w:pPr>
      <w:r>
        <w:rPr>
          <w:b/>
        </w:rPr>
        <w:t>Market conditions</w:t>
      </w:r>
      <w:r>
        <w:t>: FPSO supply tightness in 2024 increases rates</w:t>
      </w:r>
    </w:p>
    <w:p>
      <w:r>
        <w:rPr>
          <w:b/>
        </w:rPr>
        <w:t>Quantification of Adjustments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Adjustment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Impact on Rate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Water depth premium</w:t>
            </w:r>
            <w:r>
              <w:t xml:space="preserve"> (2,200m vs. 1,800m avg)</w:t>
            </w:r>
          </w:p>
        </w:tc>
        <w:tc>
          <w:tcPr>
            <w:tcW w:type="dxa" w:w="4320"/>
          </w:tcPr>
          <w:p>
            <w:r/>
            <w:r>
              <w:t>+5%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Age/specification</w:t>
            </w:r>
            <w:r>
              <w:t xml:space="preserve"> (5 years vs. 10 years old)</w:t>
            </w:r>
          </w:p>
        </w:tc>
        <w:tc>
          <w:tcPr>
            <w:tcW w:type="dxa" w:w="4320"/>
          </w:tcPr>
          <w:p>
            <w:r/>
            <w:r>
              <w:t>+3%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Storage capacity premium</w:t>
            </w:r>
          </w:p>
        </w:tc>
        <w:tc>
          <w:tcPr>
            <w:tcW w:type="dxa" w:w="4320"/>
          </w:tcPr>
          <w:p>
            <w:r/>
            <w:r>
              <w:t>+2%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Market tightness</w:t>
            </w:r>
            <w:r>
              <w:t xml:space="preserve"> (2024 demand spike)</w:t>
            </w:r>
          </w:p>
        </w:tc>
        <w:tc>
          <w:tcPr>
            <w:tcW w:type="dxa" w:w="4320"/>
          </w:tcPr>
          <w:p>
            <w:r/>
            <w:r>
              <w:t>+5%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 adjustment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+15%</w:t>
            </w:r>
          </w:p>
        </w:tc>
      </w:tr>
    </w:tbl>
    <w:p/>
    <w:p>
      <w:r>
        <w:rPr>
          <w:b/>
        </w:rPr>
        <w:t>Adjusted Arm's Length Range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Base range: $630K - $650K per 1,000 bopd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Adjusted range: ($630K × 1.15) to ($650K × 1.15) = $725K - $748K per 1,000 bopd</w:t>
      </w:r>
    </w:p>
    <w:p/>
    <w:p>
      <w:r>
        <w:rPr>
          <w:b/>
        </w:rPr>
        <w:t>Related-Party Rate</w:t>
      </w:r>
      <w:r>
        <w:t>: $750K per 1,000 bopd</w:t>
      </w:r>
    </w:p>
    <w:p>
      <w:r>
        <w:rPr>
          <w:b/>
        </w:rPr>
        <w:t>Revised Conclusion</w:t>
      </w:r>
      <w:r>
        <w:t xml:space="preserve">: The related-party rate of </w:t>
      </w:r>
      <w:r>
        <w:rPr>
          <w:b/>
        </w:rPr>
        <w:t>$750K</w:t>
      </w:r>
      <w:r>
        <w:t xml:space="preserve"> is </w:t>
      </w:r>
      <w:r>
        <w:rPr>
          <w:b/>
        </w:rPr>
        <w:t>at the upper bound</w:t>
      </w:r>
      <w:r>
        <w:t xml:space="preserve"> of the adjusted arm's length range. With robust documentation, the rate can be </w:t>
      </w:r>
      <w:r>
        <w:rPr>
          <w:b/>
        </w:rPr>
        <w:t>defended as arm's length</w:t>
      </w:r>
      <w:r>
        <w:t>.</w:t>
      </w:r>
    </w:p>
    <w:p>
      <w:r>
        <w:rPr>
          <w:b/>
        </w:rPr>
        <w:t>Step 3: Tax Impact if RFB Disallows $20 Million</w:t>
      </w:r>
    </w:p>
    <w:p>
      <w:r>
        <w:rPr>
          <w:b/>
        </w:rPr>
        <w:t>Scenario</w:t>
      </w:r>
      <w:r>
        <w:t>: RFB disallows $20 million of the $90 million lease payment.</w:t>
      </w:r>
    </w:p>
    <w:p>
      <w:r>
        <w:rPr>
          <w:b/>
        </w:rPr>
        <w:t>Brazilian Tax Impact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Disallowed deduction = $20,000,000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Additional taxable income = $20,000,000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Brazil corporate tax at 34% = $6,800,000</w:t>
      </w:r>
    </w:p>
    <w:p/>
    <w:p>
      <w:r>
        <w:rPr>
          <w:b/>
        </w:rPr>
        <w:t>Interest and Penalties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Interest (assume 2 years at 10% p.a.) = $6,800,000 × 20% = $1,360,000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Penalties (20% of unpaid tax) = $6,800,000 × 20% = $1,360,000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additional cost = $6,800,000 + $1,360,000 + $1,360,000 = $9,520,000</w:t>
      </w:r>
    </w:p>
    <w:p/>
    <w:p>
      <w:r>
        <w:rPr>
          <w:b/>
        </w:rPr>
        <w:t>Recharacterization Issue</w:t>
      </w:r>
      <w:r>
        <w:t>:</w:t>
      </w:r>
    </w:p>
    <w:p>
      <w:r>
        <w:t xml:space="preserve">The RFB may </w:t>
      </w:r>
      <w:r>
        <w:rPr>
          <w:b/>
        </w:rPr>
        <w:t>recharacterize</w:t>
      </w:r>
      <w:r>
        <w:t xml:space="preserve"> the excess $20 million as:</w:t>
      </w:r>
    </w:p>
    <w:p>
      <w:pPr>
        <w:pStyle w:val="ListNumber"/>
      </w:pPr>
      <w:r>
        <w:rPr>
          <w:b/>
        </w:rPr>
        <w:t>Disguised dividend</w:t>
      </w:r>
      <w:r>
        <w:t xml:space="preserve">: Subject to </w:t>
      </w:r>
      <w:r>
        <w:rPr>
          <w:b/>
        </w:rPr>
        <w:t>0% WHT</w:t>
      </w:r>
      <w:r>
        <w:t xml:space="preserve"> (under Brazil-Singapore treaty for 70% ownership)</w:t>
      </w:r>
    </w:p>
    <w:p>
      <w:pPr>
        <w:pStyle w:val="ListNumber"/>
      </w:pPr>
      <w:r>
        <w:rPr>
          <w:b/>
        </w:rPr>
        <w:t>Management fee</w:t>
      </w:r>
      <w:r>
        <w:t xml:space="preserve">: Subject to </w:t>
      </w:r>
      <w:r>
        <w:rPr>
          <w:b/>
        </w:rPr>
        <w:t>15-25% WHT</w:t>
      </w:r>
    </w:p>
    <w:p>
      <w:pPr>
        <w:pStyle w:val="ListNumber"/>
      </w:pPr>
      <w:r>
        <w:rPr>
          <w:b/>
        </w:rPr>
        <w:t>Deemed profit distribution</w:t>
      </w:r>
      <w:r>
        <w:t>: Subject to 34% tax (already captured above)</w:t>
      </w:r>
    </w:p>
    <w:p>
      <w:r>
        <w:rPr>
          <w:b/>
        </w:rPr>
        <w:t>Most Likely</w:t>
      </w:r>
      <w:r>
        <w:t xml:space="preserve">: RFB treats it as a </w:t>
      </w:r>
      <w:r>
        <w:rPr>
          <w:b/>
        </w:rPr>
        <w:t>disallowed deduction</w:t>
      </w:r>
      <w:r>
        <w:t xml:space="preserve"> (increasing taxable income), not as a separate payment type. No additional WHT beyond the 15% already paid on the full $90 million lease payment.</w:t>
      </w:r>
    </w:p>
    <w:p>
      <w:r>
        <w:rPr>
          <w:b/>
        </w:rPr>
        <w:t>Step 4: Singapore Tax Impact</w:t>
      </w:r>
    </w:p>
    <w:p>
      <w:r>
        <w:rPr>
          <w:b/>
        </w:rPr>
        <w:t>OceanFloat Holdings</w:t>
      </w:r>
      <w:r>
        <w:t xml:space="preserve"> (Singapore):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Rental income = $90,000,000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Brazil WHT at 15% = $13,500,000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rental income = $76,500,000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Operating expenses (FPSO maintenance, insurance) = $20,000,000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Depreciation ($800M / 20 years) = $40,000,000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 in Singapore = $16,500,000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Singapore tax at 17% = $2,805,000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tax credit (Brazil WHT): $13,500,000 (limited to Singapore tax on foreign income)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Excess FTC = $13,500,000 - $2,805,000 = $10,695,000 (carried forward)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Singapore tax = $0</w:t>
      </w:r>
    </w:p>
    <w:p/>
    <w:p>
      <w:r>
        <w:rPr>
          <w:b/>
        </w:rPr>
        <w:t>Group Tax Position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Brazil tax (including 34% on disallowed amount) = $6,800,000 (additional)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Singapore tax = $0 (no change)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additional group tax from TP adjustment = $6,800,000 + penalties/interest = $9,520,000</w:t>
      </w:r>
    </w:p>
    <w:p/>
    <w:p>
      <w:pPr>
        <w:pStyle w:val="Heading3"/>
      </w:pPr>
      <w:r>
        <w:t>Recommendation</w:t>
      </w:r>
    </w:p>
    <w:p>
      <w:r>
        <w:rPr>
          <w:b/>
        </w:rPr>
        <w:t>Defense Strategy</w:t>
      </w:r>
      <w:r>
        <w:t>:</w:t>
      </w:r>
    </w:p>
    <w:p>
      <w:pPr>
        <w:pStyle w:val="ListNumber"/>
      </w:pPr>
      <w:r>
        <w:rPr>
          <w:b/>
        </w:rPr>
        <w:t>Prepare comprehensive TP documentation</w:t>
      </w:r>
      <w:r>
        <w:t>:</w:t>
      </w:r>
    </w:p>
    <w:p>
      <w:pPr>
        <w:pStyle w:val="ListBullet"/>
        <w:ind w:left="360"/>
      </w:pPr>
      <w:r>
        <w:rPr>
          <w:b/>
        </w:rPr>
        <w:t>Comparables analysis</w:t>
      </w:r>
      <w:r>
        <w:t xml:space="preserve"> with detailed adjustments for water depth, age, specifications</w:t>
      </w:r>
    </w:p>
    <w:p>
      <w:pPr>
        <w:pStyle w:val="ListBullet"/>
        <w:ind w:left="360"/>
      </w:pPr>
      <w:r>
        <w:rPr>
          <w:b/>
        </w:rPr>
        <w:t>Market analysis</w:t>
      </w:r>
      <w:r>
        <w:t xml:space="preserve"> demonstrating 2024 FPSO supply tightness and rate increases</w:t>
      </w:r>
    </w:p>
    <w:p>
      <w:pPr>
        <w:pStyle w:val="ListBullet"/>
        <w:ind w:left="360"/>
      </w:pPr>
      <w:r>
        <w:rPr>
          <w:b/>
        </w:rPr>
        <w:t>Independent valuation</w:t>
      </w:r>
      <w:r>
        <w:t>: Obtain third-party FPSO valuation report supporting $90M rate</w:t>
      </w:r>
    </w:p>
    <w:p>
      <w:pPr>
        <w:pStyle w:val="ListNumber"/>
      </w:pPr>
      <w:r>
        <w:rPr>
          <w:b/>
        </w:rPr>
        <w:t>Economic substance</w:t>
      </w:r>
      <w:r>
        <w:t>:</w:t>
      </w:r>
    </w:p>
    <w:p>
      <w:pPr>
        <w:pStyle w:val="ListBullet"/>
        <w:ind w:left="360"/>
      </w:pPr>
      <w:r>
        <w:t xml:space="preserve">Demonstrate that </w:t>
      </w:r>
      <w:r>
        <w:rPr>
          <w:b/>
        </w:rPr>
        <w:t>OceanFloat Holdings</w:t>
      </w:r>
      <w:r>
        <w:t xml:space="preserve"> has adequate substance in Singapore:</w:t>
      </w:r>
    </w:p>
    <w:p>
      <w:pPr>
        <w:pStyle w:val="ListBullet"/>
        <w:ind w:left="720"/>
      </w:pPr>
      <w:r>
        <w:t>Qualified employees managing FPSO portfolio</w:t>
      </w:r>
    </w:p>
    <w:p>
      <w:pPr>
        <w:pStyle w:val="ListBullet"/>
        <w:ind w:left="720"/>
      </w:pPr>
      <w:r>
        <w:t>Board meetings and strategic decisions in Singapore</w:t>
      </w:r>
    </w:p>
    <w:p>
      <w:pPr>
        <w:pStyle w:val="ListBullet"/>
        <w:ind w:left="720"/>
      </w:pPr>
      <w:r>
        <w:t>Real economic activity beyond mere ownership</w:t>
      </w:r>
    </w:p>
    <w:p>
      <w:pPr>
        <w:pStyle w:val="ListNumber"/>
      </w:pPr>
      <w:r>
        <w:rPr>
          <w:b/>
        </w:rPr>
        <w:t>Negotiate with RFB</w:t>
      </w:r>
      <w:r>
        <w:t>:</w:t>
      </w:r>
    </w:p>
    <w:p>
      <w:pPr>
        <w:pStyle w:val="ListBullet"/>
        <w:ind w:left="360"/>
      </w:pPr>
      <w:r>
        <w:t xml:space="preserve">Propose </w:t>
      </w:r>
      <w:r>
        <w:rPr>
          <w:b/>
        </w:rPr>
        <w:t>reduction to $85 million</w:t>
      </w:r>
      <w:r>
        <w:t xml:space="preserve"> (midpoint between $90M and RFB's $65-75M range)</w:t>
      </w:r>
    </w:p>
    <w:p>
      <w:pPr>
        <w:pStyle w:val="ListBullet"/>
        <w:ind w:left="360"/>
      </w:pPr>
      <w:r>
        <w:t xml:space="preserve">This represents a </w:t>
      </w:r>
      <w:r>
        <w:rPr>
          <w:b/>
        </w:rPr>
        <w:t>$5 million concession</w:t>
      </w:r>
      <w:r>
        <w:t xml:space="preserve"> vs. $20 million demanded</w:t>
      </w:r>
    </w:p>
    <w:p>
      <w:pPr>
        <w:pStyle w:val="ListBullet"/>
        <w:ind w:left="360"/>
      </w:pPr>
      <w:r>
        <w:t>Additional Brazil tax: $5M × 34% = $1.7M (vs. $6.8M if full adjustment accepted)</w:t>
      </w:r>
    </w:p>
    <w:p>
      <w:pPr>
        <w:pStyle w:val="ListNumber"/>
      </w:pPr>
      <w:r>
        <w:rPr>
          <w:b/>
        </w:rPr>
        <w:t>Consider Advance Pricing Agreement (APA)</w:t>
      </w:r>
      <w:r>
        <w:t>:</w:t>
      </w:r>
    </w:p>
    <w:p>
      <w:pPr>
        <w:pStyle w:val="ListBullet"/>
        <w:ind w:left="360"/>
      </w:pPr>
      <w:r>
        <w:t xml:space="preserve">Seek </w:t>
      </w:r>
      <w:r>
        <w:rPr>
          <w:b/>
        </w:rPr>
        <w:t>bilateral APA</w:t>
      </w:r>
      <w:r>
        <w:t xml:space="preserve"> with Brazilian and Singaporean tax authorities</w:t>
      </w:r>
    </w:p>
    <w:p>
      <w:pPr>
        <w:pStyle w:val="ListBullet"/>
        <w:ind w:left="360"/>
      </w:pPr>
      <w:r>
        <w:t>Locks in lease rate for future years, providing certainty</w:t>
      </w:r>
    </w:p>
    <w:p>
      <w:pPr>
        <w:pStyle w:val="ListNumber"/>
      </w:pPr>
      <w:r>
        <w:rPr>
          <w:b/>
        </w:rPr>
        <w:t>Alternative Structure</w:t>
      </w:r>
      <w:r>
        <w:t>:</w:t>
      </w:r>
    </w:p>
    <w:p>
      <w:pPr>
        <w:pStyle w:val="ListBullet"/>
        <w:ind w:left="360"/>
      </w:pPr>
      <w:r>
        <w:t xml:space="preserve">If TP disputes persist, consider </w:t>
      </w:r>
      <w:r>
        <w:rPr>
          <w:b/>
        </w:rPr>
        <w:t>restructuring</w:t>
      </w:r>
      <w:r>
        <w:t xml:space="preserve"> so that </w:t>
      </w:r>
      <w:r>
        <w:rPr>
          <w:b/>
        </w:rPr>
        <w:t>PetroBrasil owns</w:t>
      </w:r>
      <w:r>
        <w:t xml:space="preserve"> the FPSO and finances the purchase through </w:t>
      </w:r>
      <w:r>
        <w:rPr>
          <w:b/>
        </w:rPr>
        <w:t>debt</w:t>
      </w:r>
      <w:r>
        <w:t xml:space="preserve"> from OceanFloat</w:t>
      </w:r>
    </w:p>
    <w:p>
      <w:pPr>
        <w:pStyle w:val="ListBullet"/>
        <w:ind w:left="360"/>
      </w:pPr>
      <w:r>
        <w:t>Interest payments may be subject to lower WHT (10% under Brazil-Singapore treaty) vs. 15% on equipment rental</w:t>
      </w:r>
    </w:p>
    <w:p>
      <w:pPr>
        <w:pStyle w:val="ListBullet"/>
        <w:ind w:left="360"/>
      </w:pPr>
      <w:r>
        <w:rPr>
          <w:b/>
        </w:rPr>
        <w:t>Caution</w:t>
      </w:r>
      <w:r>
        <w:t xml:space="preserve">: Brazil's </w:t>
      </w:r>
      <w:r>
        <w:rPr>
          <w:b/>
        </w:rPr>
        <w:t>thin capitalization rules</w:t>
      </w:r>
      <w:r>
        <w:t xml:space="preserve"> limit interest deductibility</w:t>
      </w:r>
    </w:p>
    <w:p>
      <w:r>
        <w:rPr>
          <w:b/>
        </w:rPr>
        <w:t>Conclusion</w:t>
      </w:r>
      <w:r>
        <w:t xml:space="preserve">: The </w:t>
      </w:r>
      <w:r>
        <w:rPr>
          <w:b/>
        </w:rPr>
        <w:t>$90 million rate is defensible</w:t>
      </w:r>
      <w:r>
        <w:t xml:space="preserve"> with proper documentation and adjustments. However, to mitigate audit risk and potential penalties, consider </w:t>
      </w:r>
      <w:r>
        <w:rPr>
          <w:b/>
        </w:rPr>
        <w:t>proactively reducing</w:t>
      </w:r>
      <w:r>
        <w:t xml:space="preserve"> the rate to $85 million and seeking an APA for future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