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40 Leasing and tax treaties</w:t>
      </w:r>
    </w:p>
    <w:p>
      <w:pPr>
        <w:pStyle w:val="Heading1"/>
      </w:pPr>
      <w:r>
        <w:t>40. Leasing and Tax Treaties</w:t>
      </w:r>
    </w:p>
    <w:p>
      <w:pPr>
        <w:pStyle w:val="Heading2"/>
      </w:pPr>
      <w:r>
        <w:t>Introduction</w:t>
      </w:r>
    </w:p>
    <w:p>
      <w:r>
        <w:t xml:space="preserve">The treatment of lease payments under double tax treaties is critical for determining </w:t>
      </w:r>
      <w:r>
        <w:rPr>
          <w:b/>
        </w:rPr>
        <w:t>withholding tax obligations</w:t>
      </w:r>
      <w:r>
        <w:t xml:space="preserve"> and </w:t>
      </w:r>
      <w:r>
        <w:rPr>
          <w:b/>
        </w:rPr>
        <w:t>source country taxing rights</w:t>
      </w:r>
      <w:r>
        <w:t xml:space="preserve">. The fundamental question is whether lease payments constitute </w:t>
      </w:r>
      <w:r>
        <w:rPr>
          <w:b/>
        </w:rPr>
        <w:t>royalties (Article 12)</w:t>
      </w:r>
      <w:r>
        <w:t xml:space="preserve">, which allows source country withholding tax, or </w:t>
      </w:r>
      <w:r>
        <w:rPr>
          <w:b/>
        </w:rPr>
        <w:t>business profits (Article 7)</w:t>
      </w:r>
      <w:r>
        <w:t>, which generally requires a permanent establishment for source taxation.</w:t>
      </w:r>
    </w:p>
    <w:p>
      <w:r>
        <w:t xml:space="preserve">The divergence between the </w:t>
      </w:r>
      <w:r>
        <w:rPr>
          <w:b/>
        </w:rPr>
        <w:t>OECD Model</w:t>
      </w:r>
      <w:r>
        <w:t xml:space="preserve"> (which removed equipment leasing from Article 12 in 1992) and the </w:t>
      </w:r>
      <w:r>
        <w:rPr>
          <w:b/>
        </w:rPr>
        <w:t>UN Model</w:t>
      </w:r>
      <w:r>
        <w:t xml:space="preserve"> (which retains equipment leasing as royalties) creates significant complexity for multinational oil and gas companies leasing equipment across borders.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Historical Evolution of Treaty Treatment</w:t>
      </w:r>
    </w:p>
    <w:p>
      <w:pPr>
        <w:pStyle w:val="Heading3"/>
      </w:pPr>
      <w:r>
        <w:t>1.1 Pre-1992 OECD Model</w:t>
      </w:r>
    </w:p>
    <w:p>
      <w:r>
        <w:t xml:space="preserve">Before 1992, </w:t>
      </w:r>
      <w:r>
        <w:rPr>
          <w:b/>
        </w:rPr>
        <w:t>Article 12(3)</w:t>
      </w:r>
      <w:r>
        <w:t xml:space="preserve"> of the OECD Model included:</w:t>
      </w:r>
    </w:p>
    <w:p>
      <w:r>
        <w:t xml:space="preserve">&gt; "...payments for the use of, or the right to use, industrial, commercial or scientific </w:t>
      </w:r>
      <w:r>
        <w:rPr>
          <w:b/>
        </w:rPr>
        <w:t>equipment</w:t>
      </w:r>
      <w:r>
        <w:t>."</w:t>
      </w:r>
    </w:p>
    <w:p>
      <w:r>
        <w:rPr>
          <w:b/>
        </w:rPr>
        <w:t>Impact</w:t>
      </w:r>
      <w:r>
        <w:t xml:space="preserve">: Equipment rental was treated as a </w:t>
      </w:r>
      <w:r>
        <w:rPr>
          <w:b/>
        </w:rPr>
        <w:t>royalty</w:t>
      </w:r>
      <w:r>
        <w:t>, allowing source countries to impose withholding tax (typically 5-15% under negotiated treaty rates).</w:t>
      </w:r>
    </w:p>
    <w:p>
      <w:pPr>
        <w:pStyle w:val="Heading3"/>
      </w:pPr>
      <w:r>
        <w:t>1.2 1992 OECD Amendment</w:t>
      </w:r>
    </w:p>
    <w:p>
      <w:r>
        <w:t xml:space="preserve">In 1992, the OECD </w:t>
      </w:r>
      <w:r>
        <w:rPr>
          <w:b/>
        </w:rPr>
        <w:t>deleted</w:t>
      </w:r>
      <w:r>
        <w:t xml:space="preserve"> the equipment leasing provision from Article 12, based on the rationale that:</w:t>
      </w:r>
    </w:p>
    <w:p>
      <w:pPr>
        <w:pStyle w:val="ListBullet"/>
      </w:pPr>
      <w:r>
        <w:t xml:space="preserve">Equipment leasing is an </w:t>
      </w:r>
      <w:r>
        <w:rPr>
          <w:b/>
        </w:rPr>
        <w:t>active business</w:t>
      </w:r>
      <w:r>
        <w:t xml:space="preserve"> activity, not passive income</w:t>
      </w:r>
    </w:p>
    <w:p>
      <w:pPr>
        <w:pStyle w:val="ListBullet"/>
      </w:pPr>
      <w:r>
        <w:t xml:space="preserve">Differs fundamentally from </w:t>
      </w:r>
      <w:r>
        <w:rPr>
          <w:b/>
        </w:rPr>
        <w:t>know-how licensing</w:t>
      </w:r>
      <w:r>
        <w:t xml:space="preserve"> or IP royalties</w:t>
      </w:r>
    </w:p>
    <w:p>
      <w:pPr>
        <w:pStyle w:val="ListBullet"/>
      </w:pPr>
      <w:r>
        <w:t xml:space="preserve">Should be treated as </w:t>
      </w:r>
      <w:r>
        <w:rPr>
          <w:b/>
        </w:rPr>
        <w:t>business profits (Article 7)</w:t>
      </w:r>
      <w:r>
        <w:t>, taxable only if a PE exists</w:t>
      </w:r>
    </w:p>
    <w:p>
      <w:r>
        <w:rPr>
          <w:b/>
        </w:rPr>
        <w:t>Result</w:t>
      </w:r>
      <w:r>
        <w:t>: Under post-1992 OECD Model treaties, equipment rental payments are:</w:t>
      </w:r>
    </w:p>
    <w:p>
      <w:pPr>
        <w:pStyle w:val="ListBullet"/>
      </w:pPr>
      <w:r>
        <w:rPr>
          <w:b/>
        </w:rPr>
        <w:t>Not subject to withholding tax</w:t>
      </w:r>
      <w:r>
        <w:t xml:space="preserve"> (unless the treaty explicitly provides otherwise)</w:t>
      </w:r>
    </w:p>
    <w:p>
      <w:pPr>
        <w:pStyle w:val="ListBullet"/>
      </w:pPr>
      <w:r>
        <w:t xml:space="preserve">Taxable </w:t>
      </w:r>
      <w:r>
        <w:rPr>
          <w:b/>
        </w:rPr>
        <w:t>only in the lessor's residence country</w:t>
      </w:r>
      <w:r>
        <w:t xml:space="preserve"> (unless the lessor has a PE in the source country)</w:t>
      </w:r>
    </w:p>
    <w:p>
      <w:pPr>
        <w:pStyle w:val="Heading3"/>
      </w:pPr>
      <w:r>
        <w:t>1.3 UN Model Retains Equipment Leasing</w:t>
      </w:r>
    </w:p>
    <w:p>
      <w:r>
        <w:t xml:space="preserve">The </w:t>
      </w:r>
      <w:r>
        <w:rPr>
          <w:b/>
        </w:rPr>
        <w:t>UN Model</w:t>
      </w:r>
      <w:r>
        <w:t xml:space="preserve"> continues to include equipment leasing in Article 12(3):</w:t>
      </w:r>
    </w:p>
    <w:p>
      <w:r>
        <w:t>&gt; "...payments...for the use of, or the right to use, industrial, commercial, or scientific equipment..."</w:t>
      </w:r>
    </w:p>
    <w:p>
      <w:r>
        <w:rPr>
          <w:b/>
        </w:rPr>
        <w:t>Rationale</w:t>
      </w:r>
      <w:r>
        <w:t>: Source countries (typically capital-importing developing countries) seek to retain taxing rights over significant equipment rental flows, particularly in capital-intensive sectors like oil and gas.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Key Treaty Classification Issues</w:t>
      </w:r>
    </w:p>
    <w:p>
      <w:pPr>
        <w:pStyle w:val="Heading3"/>
      </w:pPr>
      <w:r>
        <w:t>2.1 Equipment Rental vs. Services</w:t>
      </w:r>
    </w:p>
    <w:p>
      <w:r>
        <w:rPr>
          <w:b/>
        </w:rPr>
        <w:t>Issue</w:t>
      </w:r>
      <w:r>
        <w:t xml:space="preserve">: When a lessor provides not only equipment but also </w:t>
      </w:r>
      <w:r>
        <w:rPr>
          <w:b/>
        </w:rPr>
        <w:t>operational services</w:t>
      </w:r>
      <w:r>
        <w:t xml:space="preserve"> (e.g., crewed drilling rig, operated FPSO), is the payment for equipment (royalty) or services (business profits)?</w:t>
      </w:r>
    </w:p>
    <w:p>
      <w:r>
        <w:rPr>
          <w:b/>
        </w:rPr>
        <w:t>OECD Commentary Guidance</w:t>
      </w:r>
      <w:r>
        <w:t>:</w:t>
      </w:r>
    </w:p>
    <w:p>
      <w:pPr>
        <w:pStyle w:val="ListBullet"/>
      </w:pPr>
      <w:r>
        <w:t xml:space="preserve">If the </w:t>
      </w:r>
      <w:r>
        <w:rPr>
          <w:b/>
        </w:rPr>
        <w:t>predominant character</w:t>
      </w:r>
      <w:r>
        <w:t xml:space="preserve"> is the </w:t>
      </w:r>
      <w:r>
        <w:rPr>
          <w:b/>
        </w:rPr>
        <w:t>provision of equipment</w:t>
      </w:r>
      <w:r>
        <w:t>, treat as royalty (if treaty includes equipment in Article 12)</w:t>
      </w:r>
    </w:p>
    <w:p>
      <w:pPr>
        <w:pStyle w:val="ListBullet"/>
      </w:pPr>
      <w:r>
        <w:t xml:space="preserve">If the </w:t>
      </w:r>
      <w:r>
        <w:rPr>
          <w:b/>
        </w:rPr>
        <w:t>predominant character</w:t>
      </w:r>
      <w:r>
        <w:t xml:space="preserve"> is </w:t>
      </w:r>
      <w:r>
        <w:rPr>
          <w:b/>
        </w:rPr>
        <w:t>human expertise and services</w:t>
      </w:r>
      <w:r>
        <w:t>, treat as business profits (Article 7)</w:t>
      </w:r>
    </w:p>
    <w:p>
      <w:r>
        <w:rPr>
          <w:b/>
        </w:rPr>
        <w:t>Example</w:t>
      </w:r>
      <w:r>
        <w:t>:</w:t>
      </w:r>
    </w:p>
    <w:p>
      <w:pPr>
        <w:pStyle w:val="ListBullet"/>
      </w:pPr>
      <w:r>
        <w:rPr>
          <w:b/>
        </w:rPr>
        <w:t>Bare boat charter</w:t>
      </w:r>
      <w:r>
        <w:t xml:space="preserve"> (rig only, no crew): Equipment rental</w:t>
      </w:r>
    </w:p>
    <w:p>
      <w:pPr>
        <w:pStyle w:val="ListBullet"/>
      </w:pPr>
      <w:r>
        <w:rPr>
          <w:b/>
        </w:rPr>
        <w:t>Operated rig</w:t>
      </w:r>
      <w:r>
        <w:t xml:space="preserve"> (rig + crew + drilling services): Primarily services → Article 7</w:t>
      </w:r>
    </w:p>
    <w:p>
      <w:pPr>
        <w:pStyle w:val="Heading3"/>
      </w:pPr>
      <w:r>
        <w:t>2.2 Lease vs. Sale (Finance Lease)</w:t>
      </w:r>
    </w:p>
    <w:p>
      <w:r>
        <w:rPr>
          <w:b/>
        </w:rPr>
        <w:t>Issue</w:t>
      </w:r>
      <w:r>
        <w:t xml:space="preserve">: If a "lease" is economically a </w:t>
      </w:r>
      <w:r>
        <w:rPr>
          <w:b/>
        </w:rPr>
        <w:t>disguised sale</w:t>
      </w:r>
      <w:r>
        <w:t xml:space="preserve"> (finance lease with transfer of ownership), is the payment rent or installment purchase price?</w:t>
      </w:r>
    </w:p>
    <w:p>
      <w:r>
        <w:rPr>
          <w:b/>
        </w:rPr>
        <w:t>Treaty Treatment</w:t>
      </w:r>
      <w:r>
        <w:t>:</w:t>
      </w:r>
    </w:p>
    <w:p>
      <w:pPr>
        <w:pStyle w:val="ListBullet"/>
      </w:pPr>
      <w:r>
        <w:rPr>
          <w:b/>
        </w:rPr>
        <w:t>True lease</w:t>
      </w:r>
      <w:r>
        <w:t xml:space="preserve"> (lessor retains substantial risks and rewards): Royalty (if equipment in Article 12) or business profits</w:t>
      </w:r>
    </w:p>
    <w:p>
      <w:pPr>
        <w:pStyle w:val="ListBullet"/>
      </w:pPr>
      <w:r>
        <w:rPr>
          <w:b/>
        </w:rPr>
        <w:t>Finance lease</w:t>
      </w:r>
      <w:r>
        <w:t xml:space="preserve"> (lessee obtains substantially all benefits and risks): Treated as </w:t>
      </w:r>
      <w:r>
        <w:rPr>
          <w:b/>
        </w:rPr>
        <w:t>sale</w:t>
      </w:r>
      <w:r>
        <w:t xml:space="preserve"> followed by debt payments</w:t>
      </w:r>
    </w:p>
    <w:p>
      <w:pPr>
        <w:pStyle w:val="ListBullet"/>
        <w:ind w:left="360"/>
      </w:pPr>
      <w:r>
        <w:t>Purchase price: Capital transaction (no WHT under most treaties)</w:t>
      </w:r>
    </w:p>
    <w:p>
      <w:pPr>
        <w:pStyle w:val="ListBullet"/>
        <w:ind w:left="360"/>
      </w:pPr>
      <w:r>
        <w:t>Interest component: Article 11 (Interest), subject to WHT per treaty rate</w:t>
      </w:r>
    </w:p>
    <w:p>
      <w:r>
        <w:rPr>
          <w:b/>
        </w:rPr>
        <w:t>Indicators of Finance Lease</w:t>
      </w:r>
      <w:r>
        <w:t>:</w:t>
      </w:r>
    </w:p>
    <w:p>
      <w:pPr>
        <w:pStyle w:val="ListBullet"/>
      </w:pPr>
      <w:r>
        <w:t>Transfer of ownership or bargain purchase option at lease end</w:t>
      </w:r>
    </w:p>
    <w:p>
      <w:pPr>
        <w:pStyle w:val="ListBullet"/>
      </w:pPr>
      <w:r>
        <w:t>Lease term covers major part of asset's useful life (≥75%)</w:t>
      </w:r>
    </w:p>
    <w:p>
      <w:pPr>
        <w:pStyle w:val="ListBullet"/>
      </w:pPr>
      <w:r>
        <w:t>Present value of payments approximates asset's fair value (≥90%)</w:t>
      </w:r>
    </w:p>
    <w:p>
      <w:pPr>
        <w:pStyle w:val="Heading3"/>
      </w:pPr>
      <w:r>
        <w:t>2.3 Immovable Property vs. Equipment</w:t>
      </w:r>
    </w:p>
    <w:p>
      <w:r>
        <w:rPr>
          <w:b/>
        </w:rPr>
        <w:t>Article 6 (Income from Immovable Property)</w:t>
      </w:r>
      <w:r>
        <w:t xml:space="preserve">: Source country has </w:t>
      </w:r>
      <w:r>
        <w:rPr>
          <w:b/>
        </w:rPr>
        <w:t>full taxing rights</w:t>
      </w:r>
      <w:r>
        <w:t xml:space="preserve"> over income from immovable property, regardless of PE.</w:t>
      </w:r>
    </w:p>
    <w:p>
      <w:r>
        <w:rPr>
          <w:b/>
        </w:rPr>
        <w:t>Issue</w:t>
      </w:r>
      <w:r>
        <w:t xml:space="preserve">: Are </w:t>
      </w:r>
      <w:r>
        <w:rPr>
          <w:b/>
        </w:rPr>
        <w:t>fixed installations</w:t>
      </w:r>
      <w:r>
        <w:t xml:space="preserve"> (offshore platforms, refineries, pipelines) immovable property or equipment?</w:t>
      </w:r>
    </w:p>
    <w:p>
      <w:r>
        <w:rPr>
          <w:b/>
        </w:rPr>
        <w:t>OECD Commentary</w:t>
      </w:r>
      <w:r>
        <w:t>:</w:t>
      </w:r>
    </w:p>
    <w:p>
      <w:pPr>
        <w:pStyle w:val="ListBullet"/>
      </w:pPr>
      <w:r>
        <w:t xml:space="preserve">Property is </w:t>
      </w:r>
      <w:r>
        <w:rPr>
          <w:b/>
        </w:rPr>
        <w:t>immovable</w:t>
      </w:r>
      <w:r>
        <w:t xml:space="preserve"> if it cannot be moved without destruction or substantial damage</w:t>
      </w:r>
    </w:p>
    <w:p>
      <w:pPr>
        <w:pStyle w:val="ListBullet"/>
      </w:pPr>
      <w:r>
        <w:rPr>
          <w:b/>
        </w:rPr>
        <w:t>Offshore platforms</w:t>
      </w:r>
      <w:r>
        <w:t xml:space="preserve">: Generally treated as </w:t>
      </w:r>
      <w:r>
        <w:rPr>
          <w:b/>
        </w:rPr>
        <w:t>movable</w:t>
      </w:r>
      <w:r>
        <w:t xml:space="preserve"> (can be towed to different locations), thus equipment</w:t>
      </w:r>
    </w:p>
    <w:p>
      <w:pPr>
        <w:pStyle w:val="ListBullet"/>
      </w:pPr>
      <w:r>
        <w:rPr>
          <w:b/>
        </w:rPr>
        <w:t>Pipelines</w:t>
      </w:r>
      <w:r>
        <w:t xml:space="preserve">: Generally treated as </w:t>
      </w:r>
      <w:r>
        <w:rPr>
          <w:b/>
        </w:rPr>
        <w:t>immovable</w:t>
      </w:r>
      <w:r>
        <w:t xml:space="preserve"> property</w:t>
      </w:r>
    </w:p>
    <w:p>
      <w:r>
        <w:rPr>
          <w:b/>
        </w:rPr>
        <w:t>Example</w:t>
      </w:r>
      <w:r>
        <w:t xml:space="preserve">: Rental of a </w:t>
      </w:r>
      <w:r>
        <w:rPr>
          <w:b/>
        </w:rPr>
        <w:t>fixed offshore production platform</w:t>
      </w:r>
      <w:r>
        <w:t xml:space="preserve"> may be treated as income from immovable property (Article 6), allowing full source country taxation.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Practical Treaty Analysis</w:t>
      </w:r>
    </w:p>
    <w:p>
      <w:pPr>
        <w:pStyle w:val="Heading3"/>
      </w:pPr>
      <w:r>
        <w:t>3.1 Treaty-by-Treaty Approach Required</w:t>
      </w:r>
    </w:p>
    <w:p>
      <w:r>
        <w:rPr>
          <w:b/>
        </w:rPr>
        <w:t>Step 1</w:t>
      </w:r>
      <w:r>
        <w:t xml:space="preserve">: Identify the </w:t>
      </w:r>
      <w:r>
        <w:rPr>
          <w:b/>
        </w:rPr>
        <w:t>specific bilateral treaty</w:t>
      </w:r>
      <w:r>
        <w:t xml:space="preserve"> between lessor's residence country and source country</w:t>
      </w:r>
    </w:p>
    <w:p>
      <w:r>
        <w:rPr>
          <w:b/>
        </w:rPr>
        <w:t>Step 2</w:t>
      </w:r>
      <w:r>
        <w:t xml:space="preserve">: Examine </w:t>
      </w:r>
      <w:r>
        <w:rPr>
          <w:b/>
        </w:rPr>
        <w:t>Article 12</w:t>
      </w:r>
      <w:r>
        <w:t xml:space="preserve"> to determine if equipment leasing is included:</w:t>
      </w:r>
    </w:p>
    <w:p>
      <w:pPr>
        <w:pStyle w:val="ListBullet"/>
      </w:pPr>
      <w:r>
        <w:rPr>
          <w:b/>
        </w:rPr>
        <w:t>If equipment included</w:t>
      </w:r>
      <w:r>
        <w:t>: Payment is a royalty, subject to treaty WHT rate (typically 5-15%)</w:t>
      </w:r>
    </w:p>
    <w:p>
      <w:pPr>
        <w:pStyle w:val="ListBullet"/>
      </w:pPr>
      <w:r>
        <w:rPr>
          <w:b/>
        </w:rPr>
        <w:t>If equipment excluded</w:t>
      </w:r>
      <w:r>
        <w:t>: Payment falls under Article 7 (Business Profits)</w:t>
      </w:r>
    </w:p>
    <w:p>
      <w:r>
        <w:rPr>
          <w:b/>
        </w:rPr>
        <w:t>Step 3</w:t>
      </w:r>
      <w:r>
        <w:t xml:space="preserve">: If Article 7 applies, assess whether lessor has a </w:t>
      </w:r>
      <w:r>
        <w:rPr>
          <w:b/>
        </w:rPr>
        <w:t>PE</w:t>
      </w:r>
      <w:r>
        <w:t xml:space="preserve"> in source country:</w:t>
      </w:r>
    </w:p>
    <w:p>
      <w:pPr>
        <w:pStyle w:val="ListBullet"/>
      </w:pPr>
      <w:r>
        <w:rPr>
          <w:b/>
        </w:rPr>
        <w:t>No PE</w:t>
      </w:r>
      <w:r>
        <w:t>: Source country cannot tax (exclusive residence taxation)</w:t>
      </w:r>
    </w:p>
    <w:p>
      <w:pPr>
        <w:pStyle w:val="ListBullet"/>
      </w:pPr>
      <w:r>
        <w:rPr>
          <w:b/>
        </w:rPr>
        <w:t>PE exists</w:t>
      </w:r>
      <w:r>
        <w:t xml:space="preserve">: Source country taxes </w:t>
      </w:r>
      <w:r>
        <w:rPr>
          <w:b/>
        </w:rPr>
        <w:t>net profit attributable to PE</w:t>
      </w:r>
    </w:p>
    <w:p>
      <w:pPr>
        <w:pStyle w:val="Heading3"/>
      </w:pPr>
      <w:r>
        <w:t>3.2 Common Treaty Positions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Lessor Country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Source Country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Equipment in Article 12?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WHT Rate (if applicable)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Norway</w:t>
            </w:r>
          </w:p>
        </w:tc>
        <w:tc>
          <w:tcPr>
            <w:tcW w:type="dxa" w:w="2160"/>
          </w:tcPr>
          <w:p>
            <w:r/>
            <w:r>
              <w:t>Angola</w:t>
            </w:r>
          </w:p>
        </w:tc>
        <w:tc>
          <w:tcPr>
            <w:tcW w:type="dxa" w:w="2160"/>
          </w:tcPr>
          <w:p>
            <w:r/>
            <w:r>
              <w:t>Yes (UN Model-based)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Norway</w:t>
            </w:r>
          </w:p>
        </w:tc>
        <w:tc>
          <w:tcPr>
            <w:tcW w:type="dxa" w:w="2160"/>
          </w:tcPr>
          <w:p>
            <w:r/>
            <w:r>
              <w:t>UK</w:t>
            </w:r>
          </w:p>
        </w:tc>
        <w:tc>
          <w:tcPr>
            <w:tcW w:type="dxa" w:w="2160"/>
          </w:tcPr>
          <w:p>
            <w:r/>
            <w:r>
              <w:t>No (OECD Model-based)</w:t>
            </w:r>
          </w:p>
        </w:tc>
        <w:tc>
          <w:tcPr>
            <w:tcW w:type="dxa" w:w="2160"/>
          </w:tcPr>
          <w:p>
            <w:r/>
            <w:r>
              <w:t>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U.S.</w:t>
            </w:r>
          </w:p>
        </w:tc>
        <w:tc>
          <w:tcPr>
            <w:tcW w:type="dxa" w:w="2160"/>
          </w:tcPr>
          <w:p>
            <w:r/>
            <w:r>
              <w:t>UK</w:t>
            </w:r>
          </w:p>
        </w:tc>
        <w:tc>
          <w:tcPr>
            <w:tcW w:type="dxa" w:w="2160"/>
          </w:tcPr>
          <w:p>
            <w:r/>
            <w:r>
              <w:t>No (post-1992 OECD)</w:t>
            </w:r>
          </w:p>
        </w:tc>
        <w:tc>
          <w:tcPr>
            <w:tcW w:type="dxa" w:w="2160"/>
          </w:tcPr>
          <w:p>
            <w:r/>
            <w:r>
              <w:t>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U.S.</w:t>
            </w:r>
          </w:p>
        </w:tc>
        <w:tc>
          <w:tcPr>
            <w:tcW w:type="dxa" w:w="2160"/>
          </w:tcPr>
          <w:p>
            <w:r/>
            <w:r>
              <w:t>Nigeria</w:t>
            </w:r>
          </w:p>
        </w:tc>
        <w:tc>
          <w:tcPr>
            <w:tcW w:type="dxa" w:w="2160"/>
          </w:tcPr>
          <w:p>
            <w:r/>
            <w:r>
              <w:t>Yes (older treaty)</w:t>
            </w:r>
          </w:p>
        </w:tc>
        <w:tc>
          <w:tcPr>
            <w:tcW w:type="dxa" w:w="2160"/>
          </w:tcPr>
          <w:p>
            <w:r/>
            <w:r>
              <w:t>7.5%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Singapore</w:t>
            </w:r>
          </w:p>
        </w:tc>
        <w:tc>
          <w:tcPr>
            <w:tcW w:type="dxa" w:w="2160"/>
          </w:tcPr>
          <w:p>
            <w:r/>
            <w:r>
              <w:t>Brazil</w:t>
            </w:r>
          </w:p>
        </w:tc>
        <w:tc>
          <w:tcPr>
            <w:tcW w:type="dxa" w:w="2160"/>
          </w:tcPr>
          <w:p>
            <w:r/>
            <w:r>
              <w:t>Yes (UN Model influence)</w:t>
            </w:r>
          </w:p>
        </w:tc>
        <w:tc>
          <w:tcPr>
            <w:tcW w:type="dxa" w:w="2160"/>
          </w:tcPr>
          <w:p>
            <w:r/>
            <w:r>
              <w:t>15%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Netherlands</w:t>
            </w:r>
          </w:p>
        </w:tc>
        <w:tc>
          <w:tcPr>
            <w:tcW w:type="dxa" w:w="2160"/>
          </w:tcPr>
          <w:p>
            <w:r/>
            <w:r>
              <w:t>Indonesia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</w:tr>
    </w:tbl>
    <w:p/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Interaction with Domestic Law</w:t>
      </w:r>
    </w:p>
    <w:p>
      <w:pPr>
        <w:pStyle w:val="Heading3"/>
      </w:pPr>
      <w:r>
        <w:t>4.1 Treaty Override of Domestic WHT</w:t>
      </w:r>
    </w:p>
    <w:p>
      <w:r>
        <w:rPr>
          <w:b/>
        </w:rPr>
        <w:t>General Rule</w:t>
      </w:r>
      <w:r>
        <w:t xml:space="preserve">: Treaties </w:t>
      </w:r>
      <w:r>
        <w:rPr>
          <w:b/>
        </w:rPr>
        <w:t>reduce or eliminate</w:t>
      </w:r>
      <w:r>
        <w:t xml:space="preserve"> domestic withholding tax rates, but do not </w:t>
      </w:r>
      <w:r>
        <w:rPr>
          <w:b/>
        </w:rPr>
        <w:t>increase</w:t>
      </w:r>
      <w:r>
        <w:t xml:space="preserve"> them.</w:t>
      </w:r>
    </w:p>
    <w:p>
      <w:r>
        <w:rPr>
          <w:b/>
        </w:rPr>
        <w:t>Example</w:t>
      </w:r>
      <w:r>
        <w:t>:</w:t>
      </w:r>
    </w:p>
    <w:p>
      <w:pPr>
        <w:pStyle w:val="ListBullet"/>
      </w:pPr>
      <w:r>
        <w:rPr>
          <w:b/>
        </w:rPr>
        <w:t>Angola domestic law</w:t>
      </w:r>
      <w:r>
        <w:t>: 10% WHT on equipment rental</w:t>
      </w:r>
    </w:p>
    <w:p>
      <w:pPr>
        <w:pStyle w:val="ListBullet"/>
      </w:pPr>
      <w:r>
        <w:rPr>
          <w:b/>
        </w:rPr>
        <w:t>Angola-Norway treaty</w:t>
      </w:r>
      <w:r>
        <w:t>: 10% WHT on royalties (equipment included)</w:t>
      </w:r>
    </w:p>
    <w:p>
      <w:pPr>
        <w:pStyle w:val="ListBullet"/>
      </w:pPr>
      <w:r>
        <w:rPr>
          <w:b/>
        </w:rPr>
        <w:t>Result</w:t>
      </w:r>
      <w:r>
        <w:t>: Treaty rate applies (10%)</w:t>
      </w:r>
    </w:p>
    <w:p>
      <w:r>
        <w:rPr>
          <w:b/>
        </w:rPr>
        <w:t>Example 2</w:t>
      </w:r>
      <w:r>
        <w:t>:</w:t>
      </w:r>
    </w:p>
    <w:p>
      <w:pPr>
        <w:pStyle w:val="ListBullet"/>
      </w:pPr>
      <w:r>
        <w:rPr>
          <w:b/>
        </w:rPr>
        <w:t>UK domestic law</w:t>
      </w:r>
      <w:r>
        <w:t>: No WHT on equipment rental</w:t>
      </w:r>
    </w:p>
    <w:p>
      <w:pPr>
        <w:pStyle w:val="ListBullet"/>
      </w:pPr>
      <w:r>
        <w:rPr>
          <w:b/>
        </w:rPr>
        <w:t>UK-Norway treaty</w:t>
      </w:r>
      <w:r>
        <w:t>: Equipment excluded from Article 12</w:t>
      </w:r>
    </w:p>
    <w:p>
      <w:pPr>
        <w:pStyle w:val="ListBullet"/>
      </w:pPr>
      <w:r>
        <w:rPr>
          <w:b/>
        </w:rPr>
        <w:t>Result</w:t>
      </w:r>
      <w:r>
        <w:t>: 0% WHT (domestic law already favorable; treaty confirms)</w:t>
      </w:r>
    </w:p>
    <w:p>
      <w:pPr>
        <w:pStyle w:val="Heading3"/>
      </w:pPr>
      <w:r>
        <w:t>4.2 Most Favored Nation (MFN) Clauses</w:t>
      </w:r>
    </w:p>
    <w:p>
      <w:r>
        <w:t xml:space="preserve">Some treaties include </w:t>
      </w:r>
      <w:r>
        <w:rPr>
          <w:b/>
        </w:rPr>
        <w:t>MFN clauses</w:t>
      </w:r>
      <w:r>
        <w:t xml:space="preserve"> providing that if the source country grants more favorable treatment to a third country, the favorable treatment automatically extends to the treaty partner.</w:t>
      </w:r>
    </w:p>
    <w:p>
      <w:r>
        <w:rPr>
          <w:b/>
        </w:rPr>
        <w:t>Example</w:t>
      </w:r>
      <w:r>
        <w:t>:</w:t>
      </w:r>
    </w:p>
    <w:p>
      <w:pPr>
        <w:pStyle w:val="ListBullet"/>
      </w:pPr>
      <w:r>
        <w:rPr>
          <w:b/>
        </w:rPr>
        <w:t>Country A-Source Country treaty</w:t>
      </w:r>
      <w:r>
        <w:t>: 10% WHT on equipment rental</w:t>
      </w:r>
    </w:p>
    <w:p>
      <w:pPr>
        <w:pStyle w:val="ListBullet"/>
      </w:pPr>
      <w:r>
        <w:rPr>
          <w:b/>
        </w:rPr>
        <w:t>MFN clause</w:t>
      </w:r>
      <w:r>
        <w:t xml:space="preserve"> in treaty</w:t>
      </w:r>
    </w:p>
    <w:p>
      <w:pPr>
        <w:pStyle w:val="ListBullet"/>
      </w:pPr>
      <w:r>
        <w:rPr>
          <w:b/>
        </w:rPr>
        <w:t>Country B-Source Country treaty</w:t>
      </w:r>
      <w:r>
        <w:t xml:space="preserve"> (negotiated later): 5% WHT on equipment rental</w:t>
      </w:r>
    </w:p>
    <w:p>
      <w:pPr>
        <w:pStyle w:val="ListBullet"/>
      </w:pPr>
      <w:r>
        <w:rPr>
          <w:b/>
        </w:rPr>
        <w:t>Result</w:t>
      </w:r>
      <w:r>
        <w:t xml:space="preserve">: Country A lessor may claim </w:t>
      </w:r>
      <w:r>
        <w:rPr>
          <w:b/>
        </w:rPr>
        <w:t>5% rate</w:t>
      </w:r>
      <w:r>
        <w:t xml:space="preserve"> under MFN clause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Beneficial Ownership and Treaty Shopping</w:t>
      </w:r>
    </w:p>
    <w:p>
      <w:pPr>
        <w:pStyle w:val="Heading3"/>
      </w:pPr>
      <w:r>
        <w:t>5.1 Beneficial Ownership Requirement</w:t>
      </w:r>
    </w:p>
    <w:p>
      <w:r>
        <w:t xml:space="preserve">To claim treaty benefits, the lessor must be the </w:t>
      </w:r>
      <w:r>
        <w:rPr>
          <w:b/>
        </w:rPr>
        <w:t>beneficial owner</w:t>
      </w:r>
      <w:r>
        <w:t xml:space="preserve"> of the rental income, not merely a conduit or agent.</w:t>
      </w:r>
    </w:p>
    <w:p>
      <w:r>
        <w:rPr>
          <w:b/>
        </w:rPr>
        <w:t>OECD Commentary</w:t>
      </w:r>
      <w:r>
        <w:t xml:space="preserve">: Beneficial owner is the person who has </w:t>
      </w:r>
      <w:r>
        <w:rPr>
          <w:b/>
        </w:rPr>
        <w:t>full right to use and enjoy</w:t>
      </w:r>
      <w:r>
        <w:t xml:space="preserve"> the income and is not obligated to pass it on to another person.</w:t>
      </w:r>
    </w:p>
    <w:p>
      <w:r>
        <w:rPr>
          <w:b/>
        </w:rPr>
        <w:t>Example - Treaty Shopping Denied</w:t>
      </w:r>
      <w:r>
        <w:t>:</w:t>
      </w:r>
    </w:p>
    <w:p>
      <w:r>
        <w:t xml:space="preserve">A U.S. drilling contractor establishes a </w:t>
      </w:r>
      <w:r>
        <w:rPr>
          <w:b/>
        </w:rPr>
        <w:t>Netherlands subsidiary</w:t>
      </w:r>
      <w:r>
        <w:t xml:space="preserve"> to own drilling rigs and lease them to operating entities worldwide. The Netherlands subsidiary:</w:t>
      </w:r>
    </w:p>
    <w:p>
      <w:pPr>
        <w:pStyle w:val="ListBullet"/>
      </w:pPr>
      <w:r>
        <w:t>Has no employees (all management in U.S.)</w:t>
      </w:r>
    </w:p>
    <w:p>
      <w:pPr>
        <w:pStyle w:val="ListBullet"/>
      </w:pPr>
      <w:r>
        <w:t>Immediately pays all rental income to U.S. parent as "management fees"</w:t>
      </w:r>
    </w:p>
    <w:p>
      <w:pPr>
        <w:pStyle w:val="ListBullet"/>
      </w:pPr>
      <w:r>
        <w:t>Has no decision-making authority</w:t>
      </w:r>
    </w:p>
    <w:p>
      <w:r>
        <w:rPr>
          <w:b/>
        </w:rPr>
        <w:t>Result</w:t>
      </w:r>
      <w:r>
        <w:t xml:space="preserve">: Netherlands subsidiary is </w:t>
      </w:r>
      <w:r>
        <w:rPr>
          <w:b/>
        </w:rPr>
        <w:t>not the beneficial owner</w:t>
      </w:r>
      <w:r>
        <w:t xml:space="preserve">. Treaty benefits may be </w:t>
      </w:r>
      <w:r>
        <w:rPr>
          <w:b/>
        </w:rPr>
        <w:t>denied</w:t>
      </w:r>
      <w:r>
        <w:t>, and source countries may impose full domestic WHT.</w:t>
      </w:r>
    </w:p>
    <w:p>
      <w:pPr>
        <w:pStyle w:val="Heading3"/>
      </w:pPr>
      <w:r>
        <w:t>5.2 Limitation on Benefits</w:t>
      </w:r>
    </w:p>
    <w:p>
      <w:r>
        <w:t xml:space="preserve">Many U.S. treaties include </w:t>
      </w:r>
      <w:r>
        <w:rPr>
          <w:b/>
        </w:rPr>
        <w:t>Limitation on Benefits (LOB) provisions</w:t>
      </w:r>
      <w:r>
        <w:t xml:space="preserve"> requiring that the treaty claimant:</w:t>
      </w:r>
    </w:p>
    <w:p>
      <w:pPr>
        <w:pStyle w:val="ListBullet"/>
      </w:pPr>
      <w:r>
        <w:t xml:space="preserve">Is a </w:t>
      </w:r>
      <w:r>
        <w:rPr>
          <w:b/>
        </w:rPr>
        <w:t>qualified person</w:t>
      </w:r>
      <w:r>
        <w:t xml:space="preserve"> (meets ownership and base erosion tests), OR</w:t>
      </w:r>
    </w:p>
    <w:p>
      <w:pPr>
        <w:pStyle w:val="ListBullet"/>
      </w:pPr>
      <w:r>
        <w:t xml:space="preserve">Engages in </w:t>
      </w:r>
      <w:r>
        <w:rPr>
          <w:b/>
        </w:rPr>
        <w:t>active trade or business</w:t>
      </w:r>
      <w:r>
        <w:t xml:space="preserve"> related to the income</w:t>
      </w:r>
    </w:p>
    <w:p>
      <w:r>
        <w:rPr>
          <w:b/>
        </w:rPr>
        <w:t>Application to Leasing</w:t>
      </w:r>
      <w:r>
        <w:t>:</w:t>
      </w:r>
    </w:p>
    <w:p>
      <w:r>
        <w:t>A Cayman Islands company establishing a Netherlands subsidiary solely to benefit from favorable Netherlands treaty rates may fail the LOB test if it:</w:t>
      </w:r>
    </w:p>
    <w:p>
      <w:pPr>
        <w:pStyle w:val="ListBullet"/>
      </w:pPr>
      <w:r>
        <w:t>Is not a qualified person (owned by Cayman parent, not Netherlands residents)</w:t>
      </w:r>
    </w:p>
    <w:p>
      <w:pPr>
        <w:pStyle w:val="ListBullet"/>
      </w:pPr>
      <w:r>
        <w:t>Is not engaged in active business in Netherlands (no substance)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WORKED EXAMPLE: Multi-Jurisdiction Lease Structure and Treaty Optimization</w:t>
      </w:r>
    </w:p>
    <w:p>
      <w:pPr>
        <w:pStyle w:val="Heading3"/>
      </w:pPr>
      <w:r>
        <w:t>Facts</w:t>
      </w:r>
    </w:p>
    <w:p>
      <w:r>
        <w:rPr>
          <w:b/>
        </w:rPr>
        <w:t>GlobalDrill Corporation</w:t>
      </w:r>
      <w:r>
        <w:t xml:space="preserve">, a U.S.-based drilling contractor, owns 5 ultra-deepwater drillships valued at </w:t>
      </w:r>
      <w:r>
        <w:rPr>
          <w:b/>
        </w:rPr>
        <w:t>$2.5 billion</w:t>
      </w:r>
      <w:r>
        <w:t xml:space="preserve"> ($ 500 million each). The company leases these drillships to operators in multiple jurisdictions: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Lease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Operator Country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Annual Lease Payment</w:t>
            </w:r>
          </w:p>
        </w:tc>
      </w:tr>
      <w:tr>
        <w:tc>
          <w:tcPr>
            <w:tcW w:type="dxa" w:w="2160"/>
          </w:tcPr>
          <w:p>
            <w:r/>
            <w:r>
              <w:t>Drillship A</w:t>
            </w:r>
          </w:p>
        </w:tc>
        <w:tc>
          <w:tcPr>
            <w:tcW w:type="dxa" w:w="2160"/>
          </w:tcPr>
          <w:p>
            <w:r/>
            <w:r>
              <w:t>North Sea Operator</w:t>
            </w:r>
          </w:p>
        </w:tc>
        <w:tc>
          <w:tcPr>
            <w:tcW w:type="dxa" w:w="2160"/>
          </w:tcPr>
          <w:p>
            <w:r/>
            <w:r>
              <w:t>Norway</w:t>
            </w:r>
          </w:p>
        </w:tc>
        <w:tc>
          <w:tcPr>
            <w:tcW w:type="dxa" w:w="2160"/>
          </w:tcPr>
          <w:p>
            <w:r/>
            <w:r>
              <w:t>$80 million</w:t>
            </w:r>
          </w:p>
        </w:tc>
      </w:tr>
      <w:tr>
        <w:tc>
          <w:tcPr>
            <w:tcW w:type="dxa" w:w="2160"/>
          </w:tcPr>
          <w:p>
            <w:r/>
            <w:r>
              <w:t>Drillship B</w:t>
            </w:r>
          </w:p>
        </w:tc>
        <w:tc>
          <w:tcPr>
            <w:tcW w:type="dxa" w:w="2160"/>
          </w:tcPr>
          <w:p>
            <w:r/>
            <w:r>
              <w:t>West Africa Operator</w:t>
            </w:r>
          </w:p>
        </w:tc>
        <w:tc>
          <w:tcPr>
            <w:tcW w:type="dxa" w:w="2160"/>
          </w:tcPr>
          <w:p>
            <w:r/>
            <w:r>
              <w:t>Angola</w:t>
            </w:r>
          </w:p>
        </w:tc>
        <w:tc>
          <w:tcPr>
            <w:tcW w:type="dxa" w:w="2160"/>
          </w:tcPr>
          <w:p>
            <w:r/>
            <w:r>
              <w:t>$75 million</w:t>
            </w:r>
          </w:p>
        </w:tc>
      </w:tr>
      <w:tr>
        <w:tc>
          <w:tcPr>
            <w:tcW w:type="dxa" w:w="2160"/>
          </w:tcPr>
          <w:p>
            <w:r/>
            <w:r>
              <w:t>Drillship C</w:t>
            </w:r>
          </w:p>
        </w:tc>
        <w:tc>
          <w:tcPr>
            <w:tcW w:type="dxa" w:w="2160"/>
          </w:tcPr>
          <w:p>
            <w:r/>
            <w:r>
              <w:t>South America Operator</w:t>
            </w:r>
          </w:p>
        </w:tc>
        <w:tc>
          <w:tcPr>
            <w:tcW w:type="dxa" w:w="2160"/>
          </w:tcPr>
          <w:p>
            <w:r/>
            <w:r>
              <w:t>Brazil</w:t>
            </w:r>
          </w:p>
        </w:tc>
        <w:tc>
          <w:tcPr>
            <w:tcW w:type="dxa" w:w="2160"/>
          </w:tcPr>
          <w:p>
            <w:r/>
            <w:r>
              <w:t>$70 million</w:t>
            </w:r>
          </w:p>
        </w:tc>
      </w:tr>
      <w:tr>
        <w:tc>
          <w:tcPr>
            <w:tcW w:type="dxa" w:w="2160"/>
          </w:tcPr>
          <w:p>
            <w:r/>
            <w:r>
              <w:t>Drillship D</w:t>
            </w:r>
          </w:p>
        </w:tc>
        <w:tc>
          <w:tcPr>
            <w:tcW w:type="dxa" w:w="2160"/>
          </w:tcPr>
          <w:p>
            <w:r/>
            <w:r>
              <w:t>Southeast Asia Operator</w:t>
            </w:r>
          </w:p>
        </w:tc>
        <w:tc>
          <w:tcPr>
            <w:tcW w:type="dxa" w:w="2160"/>
          </w:tcPr>
          <w:p>
            <w:r/>
            <w:r>
              <w:t>Indonesia</w:t>
            </w:r>
          </w:p>
        </w:tc>
        <w:tc>
          <w:tcPr>
            <w:tcW w:type="dxa" w:w="2160"/>
          </w:tcPr>
          <w:p>
            <w:r/>
            <w:r>
              <w:t>$75 million</w:t>
            </w:r>
          </w:p>
        </w:tc>
      </w:tr>
      <w:tr>
        <w:tc>
          <w:tcPr>
            <w:tcW w:type="dxa" w:w="2160"/>
          </w:tcPr>
          <w:p>
            <w:r/>
            <w:r>
              <w:t>Drillship E</w:t>
            </w:r>
          </w:p>
        </w:tc>
        <w:tc>
          <w:tcPr>
            <w:tcW w:type="dxa" w:w="2160"/>
          </w:tcPr>
          <w:p>
            <w:r/>
            <w:r>
              <w:t>Gulf of Mexico Operator</w:t>
            </w:r>
          </w:p>
        </w:tc>
        <w:tc>
          <w:tcPr>
            <w:tcW w:type="dxa" w:w="2160"/>
          </w:tcPr>
          <w:p>
            <w:r/>
            <w:r>
              <w:t>U.S.</w:t>
            </w:r>
          </w:p>
        </w:tc>
        <w:tc>
          <w:tcPr>
            <w:tcW w:type="dxa" w:w="2160"/>
          </w:tcPr>
          <w:p>
            <w:r/>
            <w:r>
              <w:t>$80 million</w:t>
            </w:r>
          </w:p>
        </w:tc>
      </w:tr>
    </w:tbl>
    <w:p/>
    <w:p>
      <w:r>
        <w:rPr>
          <w:b/>
        </w:rPr>
        <w:t>Total Annual Rental Income</w:t>
      </w:r>
      <w:r>
        <w:t>: $380 million</w:t>
      </w:r>
    </w:p>
    <w:p>
      <w:r>
        <w:rPr>
          <w:b/>
        </w:rPr>
        <w:t>Current Structure</w:t>
      </w:r>
      <w:r>
        <w:t xml:space="preserve">: All drillships owned by </w:t>
      </w:r>
      <w:r>
        <w:rPr>
          <w:b/>
        </w:rPr>
        <w:t>GlobalDrill Corporation (U.S.)</w:t>
      </w:r>
      <w:r>
        <w:t>, which directly leases to operators.</w:t>
      </w:r>
    </w:p>
    <w:p>
      <w:r>
        <w:rPr>
          <w:b/>
        </w:rPr>
        <w:t>Withholding Tax Rates</w:t>
      </w:r>
      <w:r>
        <w:t xml:space="preserve"> (on equipment rental to U.S. lessor):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Country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Domestic WHT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Treaty WHT (U.S. Treaty)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Equipment in Article 12?</w:t>
            </w:r>
          </w:p>
        </w:tc>
      </w:tr>
      <w:tr>
        <w:tc>
          <w:tcPr>
            <w:tcW w:type="dxa" w:w="2160"/>
          </w:tcPr>
          <w:p>
            <w:r/>
            <w:r>
              <w:t>Norway</w:t>
            </w:r>
          </w:p>
        </w:tc>
        <w:tc>
          <w:tcPr>
            <w:tcW w:type="dxa" w:w="2160"/>
          </w:tcPr>
          <w:p>
            <w:r/>
            <w:r>
              <w:t>0%</w:t>
            </w:r>
          </w:p>
        </w:tc>
        <w:tc>
          <w:tcPr>
            <w:tcW w:type="dxa" w:w="2160"/>
          </w:tcPr>
          <w:p>
            <w:r/>
            <w:r>
              <w:t>0%</w:t>
            </w:r>
          </w:p>
        </w:tc>
        <w:tc>
          <w:tcPr>
            <w:tcW w:type="dxa" w:w="2160"/>
          </w:tcPr>
          <w:p>
            <w:r/>
            <w:r>
              <w:t>No (post-1992 OECD)</w:t>
            </w:r>
          </w:p>
        </w:tc>
      </w:tr>
      <w:tr>
        <w:tc>
          <w:tcPr>
            <w:tcW w:type="dxa" w:w="2160"/>
          </w:tcPr>
          <w:p>
            <w:r/>
            <w:r>
              <w:t>Angola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Yes (UN Model-based)</w:t>
            </w:r>
          </w:p>
        </w:tc>
      </w:tr>
      <w:tr>
        <w:tc>
          <w:tcPr>
            <w:tcW w:type="dxa" w:w="2160"/>
          </w:tcPr>
          <w:p>
            <w:r/>
            <w:r>
              <w:t>Brazil</w:t>
            </w:r>
          </w:p>
        </w:tc>
        <w:tc>
          <w:tcPr>
            <w:tcW w:type="dxa" w:w="2160"/>
          </w:tcPr>
          <w:p>
            <w:r/>
            <w:r>
              <w:t>15%</w:t>
            </w:r>
          </w:p>
        </w:tc>
        <w:tc>
          <w:tcPr>
            <w:tcW w:type="dxa" w:w="2160"/>
          </w:tcPr>
          <w:p>
            <w:r/>
            <w:r>
              <w:t>15%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Indonesia</w:t>
            </w:r>
          </w:p>
        </w:tc>
        <w:tc>
          <w:tcPr>
            <w:tcW w:type="dxa" w:w="2160"/>
          </w:tcPr>
          <w:p>
            <w:r/>
            <w:r>
              <w:t>20%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</w:tr>
      <w:tr>
        <w:tc>
          <w:tcPr>
            <w:tcW w:type="dxa" w:w="2160"/>
          </w:tcPr>
          <w:p>
            <w:r/>
            <w:r>
              <w:t>U.S.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Domestic income</w:t>
            </w:r>
          </w:p>
        </w:tc>
      </w:tr>
    </w:tbl>
    <w:p/>
    <w:p>
      <w:r>
        <w:rPr>
          <w:b/>
        </w:rPr>
        <w:t>Proposed Restructuring</w:t>
      </w:r>
      <w:r>
        <w:t xml:space="preserve">: Establish a </w:t>
      </w:r>
      <w:r>
        <w:rPr>
          <w:b/>
        </w:rPr>
        <w:t>Netherlands B.V. leasing subsidiary</w:t>
      </w:r>
      <w:r>
        <w:t xml:space="preserve"> to own the drillships and lease them to operators. Netherlands has favorable treaty rates with many countries.</w:t>
      </w:r>
    </w:p>
    <w:p>
      <w:r>
        <w:rPr>
          <w:b/>
        </w:rPr>
        <w:t>Netherlands Treaty WHT Rates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Netherlands Treaty WHT on Equipment Rental</w:t>
            </w:r>
          </w:p>
        </w:tc>
      </w:tr>
      <w:tr>
        <w:tc>
          <w:tcPr>
            <w:tcW w:type="dxa" w:w="4320"/>
          </w:tcPr>
          <w:p>
            <w:r/>
            <w:r>
              <w:t>Norway</w:t>
            </w:r>
          </w:p>
        </w:tc>
        <w:tc>
          <w:tcPr>
            <w:tcW w:type="dxa" w:w="4320"/>
          </w:tcPr>
          <w:p>
            <w:r/>
            <w:r>
              <w:t>0% (equipment excluded from Article 12)</w:t>
            </w:r>
          </w:p>
        </w:tc>
      </w:tr>
      <w:tr>
        <w:tc>
          <w:tcPr>
            <w:tcW w:type="dxa" w:w="4320"/>
          </w:tcPr>
          <w:p>
            <w:r/>
            <w:r>
              <w:t>Angola</w:t>
            </w:r>
          </w:p>
        </w:tc>
        <w:tc>
          <w:tcPr>
            <w:tcW w:type="dxa" w:w="4320"/>
          </w:tcPr>
          <w:p>
            <w:r/>
            <w:r>
              <w:t>10% (same as U.S. treaty)</w:t>
            </w:r>
          </w:p>
        </w:tc>
      </w:tr>
      <w:tr>
        <w:tc>
          <w:tcPr>
            <w:tcW w:type="dxa" w:w="4320"/>
          </w:tcPr>
          <w:p>
            <w:r/>
            <w:r>
              <w:t>Brazil</w:t>
            </w:r>
          </w:p>
        </w:tc>
        <w:tc>
          <w:tcPr>
            <w:tcW w:type="dxa" w:w="4320"/>
          </w:tcPr>
          <w:p>
            <w:r/>
            <w:r>
              <w:t>15% (same as U.S. treaty)</w:t>
            </w:r>
          </w:p>
        </w:tc>
      </w:tr>
      <w:tr>
        <w:tc>
          <w:tcPr>
            <w:tcW w:type="dxa" w:w="4320"/>
          </w:tcPr>
          <w:p>
            <w:r/>
            <w:r>
              <w:t>Indonesia</w:t>
            </w:r>
          </w:p>
        </w:tc>
        <w:tc>
          <w:tcPr>
            <w:tcW w:type="dxa" w:w="4320"/>
          </w:tcPr>
          <w:p>
            <w:r/>
            <w:r>
              <w:t>5% (favorable rate)</w:t>
            </w:r>
          </w:p>
        </w:tc>
      </w:tr>
    </w:tbl>
    <w:p/>
    <w:p>
      <w:pPr>
        <w:pStyle w:val="Heading3"/>
      </w:pPr>
      <w:r>
        <w:t>Required</w:t>
      </w:r>
    </w:p>
    <w:p>
      <w:pPr>
        <w:pStyle w:val="ListNumber"/>
      </w:pPr>
      <w:r>
        <w:t xml:space="preserve">Calculate </w:t>
      </w:r>
      <w:r>
        <w:rPr>
          <w:b/>
        </w:rPr>
        <w:t>total withholding taxes</w:t>
      </w:r>
      <w:r>
        <w:t xml:space="preserve"> under current U.S. ownership structure</w:t>
      </w:r>
    </w:p>
    <w:p>
      <w:pPr>
        <w:pStyle w:val="ListNumber"/>
      </w:pPr>
      <w:r>
        <w:t xml:space="preserve">Calculate </w:t>
      </w:r>
      <w:r>
        <w:rPr>
          <w:b/>
        </w:rPr>
        <w:t>total withholding taxes</w:t>
      </w:r>
      <w:r>
        <w:t xml:space="preserve"> under proposed Netherlands structure</w:t>
      </w:r>
    </w:p>
    <w:p>
      <w:pPr>
        <w:pStyle w:val="ListNumber"/>
      </w:pPr>
      <w:r>
        <w:t xml:space="preserve">Assess </w:t>
      </w:r>
      <w:r>
        <w:rPr>
          <w:b/>
        </w:rPr>
        <w:t>substance requirements</w:t>
      </w:r>
      <w:r>
        <w:t xml:space="preserve"> for Netherlands subsidiary to claim treaty benefits</w:t>
      </w:r>
    </w:p>
    <w:p>
      <w:pPr>
        <w:pStyle w:val="ListNumber"/>
      </w:pPr>
      <w:r>
        <w:t>Evaluate whether the restructuring is economically justified</w:t>
      </w:r>
    </w:p>
    <w:p>
      <w:pPr>
        <w:pStyle w:val="Heading3"/>
      </w:pPr>
      <w:r>
        <w:t>Analysis</w:t>
      </w:r>
    </w:p>
    <w:p>
      <w:r>
        <w:rPr>
          <w:b/>
        </w:rPr>
        <w:t>Step 1: Current Structure - U.S. Ownership</w:t>
      </w:r>
    </w:p>
    <w:p>
      <w:r>
        <w:rPr>
          <w:b/>
        </w:rPr>
        <w:t>Withholding Taxes by Country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Norway: $80M × 0% =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Angola: $75M × 10% = $7.5M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Brazil: $70M × 15% = $10.5M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Indonesia: $75M × 10% = $7.5M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U.S.: $80M × 0% (domestic) =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WHT = $25.5 million</w:t>
      </w:r>
    </w:p>
    <w:p/>
    <w:p>
      <w:r>
        <w:rPr>
          <w:b/>
        </w:rPr>
        <w:t>U.S. Tax Calculation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rental income = $380M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Operating expenses (maintenance, crew, insurance) = $80M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Depreciation (5 drillships, $500M each, 7-year MACRS) = Assume $180M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 = $120M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 at 21% = $25.2M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Credit (FTC) - WHT paid = $25.5M (exceeds U.S. tax, so fully creditable)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U.S. tax =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Group Tax = $25.5M (all foreign WHT)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 = 6.7% on gross income</w:t>
      </w:r>
    </w:p>
    <w:p/>
    <w:p>
      <w:r>
        <w:rPr>
          <w:b/>
        </w:rPr>
        <w:t>Step 2: Proposed Structure - Netherlands Ownership</w:t>
      </w:r>
    </w:p>
    <w:p>
      <w:r>
        <w:rPr>
          <w:b/>
        </w:rPr>
        <w:t>Withholding Taxes by Country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Norway: $80M × 0% =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Angola: $75M × 10% = $7.5M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Brazil: $70M × 15% = $10.5M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Indonesia: $75M × 5% = $3.75M (savings vs. U.S. treaty)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U.S.: $80M × 0% =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WHT = $21.75 million (savings of $3.75M vs. U.S. structure)</w:t>
      </w:r>
    </w:p>
    <w:p/>
    <w:p>
      <w:r>
        <w:rPr>
          <w:b/>
        </w:rPr>
        <w:t>Netherlands Tax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rental income = $380M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WHT = $21.75M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income = $358.25M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Operating expenses = $80M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Depreciation = $180M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 = $98.25M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corporate tax at 25.8% = $25.35M</w:t>
      </w:r>
    </w:p>
    <w:p/>
    <w:p>
      <w:r>
        <w:rPr>
          <w:b/>
        </w:rPr>
        <w:t>Dividend to U.S. Parent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After-tax income = $98.25M - $25.35M = $72.9M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WHT on dividends to U.S. = 0% (treaty exemption for 10%+ ownership)</w:t>
      </w:r>
    </w:p>
    <w:p/>
    <w:p>
      <w:r>
        <w:rPr>
          <w:b/>
        </w:rPr>
        <w:t>U.S. Tax (Global Intangible Low-Taxed Income (GILTI) Inclusion)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Controlled Foreign Corporation (CFC) net income = $72.9M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Less: 10% × Qualified Business Asset Investment (QBAI) (tangible assets: assume $2.5B drillships) = $250M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GILTI = MAX(0, $72.9M - $250M) = $0 (negative, no GILTI inclusion)</w:t>
      </w:r>
    </w:p>
    <w:p/>
    <w:p>
      <w:r>
        <w:rPr>
          <w:b/>
        </w:rPr>
        <w:t>Note</w:t>
      </w:r>
      <w:r>
        <w:t xml:space="preserve">: The large QBAI deduction (drillships are tangible assets) </w:t>
      </w:r>
      <w:r>
        <w:rPr>
          <w:b/>
        </w:rPr>
        <w:t>eliminates GILTI tax</w:t>
      </w:r>
      <w:r>
        <w:t>.</w:t>
      </w:r>
    </w:p>
    <w:p>
      <w:r>
        <w:rPr>
          <w:b/>
        </w:rPr>
        <w:t>Total Group Tax (Netherlands Structure)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WHT = $21.75M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Netherlands tax = $25.35M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 =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= $47.1M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 = 12.4% on gross income</w:t>
      </w:r>
    </w:p>
    <w:p/>
    <w:p>
      <w:r>
        <w:rPr>
          <w:b/>
        </w:rPr>
        <w:t>Step 3: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Structure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Total Annual Tax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Effective 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U.S. ownership</w:t>
            </w:r>
          </w:p>
        </w:tc>
        <w:tc>
          <w:tcPr>
            <w:tcW w:type="dxa" w:w="2880"/>
          </w:tcPr>
          <w:p>
            <w:r/>
            <w:r>
              <w:t>$25.5M</w:t>
            </w:r>
          </w:p>
        </w:tc>
        <w:tc>
          <w:tcPr>
            <w:tcW w:type="dxa" w:w="2880"/>
          </w:tcPr>
          <w:p>
            <w:r/>
            <w:r>
              <w:t>6.7%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Netherlands ownership</w:t>
            </w:r>
          </w:p>
        </w:tc>
        <w:tc>
          <w:tcPr>
            <w:tcW w:type="dxa" w:w="2880"/>
          </w:tcPr>
          <w:p>
            <w:r/>
            <w:r>
              <w:t>$47.1M</w:t>
            </w:r>
          </w:p>
        </w:tc>
        <w:tc>
          <w:tcPr>
            <w:tcW w:type="dxa" w:w="2880"/>
          </w:tcPr>
          <w:p>
            <w:r/>
            <w:r>
              <w:t>12.4%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Additional cost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+$21.6M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+5.7%</w:t>
            </w:r>
          </w:p>
        </w:tc>
      </w:tr>
    </w:tbl>
    <w:p/>
    <w:p>
      <w:r>
        <w:rPr>
          <w:b/>
        </w:rPr>
        <w:t>Conclusion</w:t>
      </w:r>
      <w:r>
        <w:t xml:space="preserve">: The Netherlands structure </w:t>
      </w:r>
      <w:r>
        <w:rPr>
          <w:b/>
        </w:rPr>
        <w:t>increases</w:t>
      </w:r>
      <w:r>
        <w:t xml:space="preserve"> total tax by $21.6 million annually!</w:t>
      </w:r>
    </w:p>
    <w:p>
      <w:r>
        <w:rPr>
          <w:b/>
        </w:rPr>
        <w:t>Why?</w:t>
      </w:r>
    </w:p>
    <w:p>
      <w:pPr>
        <w:pStyle w:val="ListBullet"/>
      </w:pPr>
      <w:r>
        <w:rPr>
          <w:b/>
        </w:rPr>
        <w:t>WHT savings</w:t>
      </w:r>
      <w:r>
        <w:t>: Only $3.75M (Indonesia rate reduction from 10% to 5%)</w:t>
      </w:r>
    </w:p>
    <w:p>
      <w:pPr>
        <w:pStyle w:val="ListBullet"/>
      </w:pPr>
      <w:r>
        <w:rPr>
          <w:b/>
        </w:rPr>
        <w:t>Netherlands corporate tax</w:t>
      </w:r>
      <w:r>
        <w:t>: Additional $25.35M (25.8% on net income)</w:t>
      </w:r>
    </w:p>
    <w:p>
      <w:pPr>
        <w:pStyle w:val="ListBullet"/>
      </w:pPr>
      <w:r>
        <w:rPr>
          <w:b/>
        </w:rPr>
        <w:t>U.S. Foreign Tax Credit (FTC)</w:t>
      </w:r>
      <w:r>
        <w:t>: Under current structure, U.S. tax is fully offset by FTC; Netherlands structure adds Netherlands tax that is not fully creditable</w:t>
      </w:r>
    </w:p>
    <w:p>
      <w:r>
        <w:rPr>
          <w:b/>
        </w:rPr>
        <w:t>Step 4: Substance Requirements</w:t>
      </w:r>
    </w:p>
    <w:p>
      <w:r>
        <w:t>For Netherlands B.V. to claim treaty benefits, it must:</w:t>
      </w:r>
    </w:p>
    <w:p>
      <w:pPr>
        <w:pStyle w:val="ListBullet"/>
      </w:pPr>
      <w:r>
        <w:t xml:space="preserve">Have </w:t>
      </w:r>
      <w:r>
        <w:rPr>
          <w:b/>
        </w:rPr>
        <w:t>qualified employees</w:t>
      </w:r>
      <w:r>
        <w:t xml:space="preserve"> (minimum 2-3 FTEs) with leasing expertise</w:t>
      </w:r>
    </w:p>
    <w:p>
      <w:pPr>
        <w:pStyle w:val="ListBullet"/>
      </w:pPr>
      <w:r>
        <w:t xml:space="preserve">Maintain </w:t>
      </w:r>
      <w:r>
        <w:rPr>
          <w:b/>
        </w:rPr>
        <w:t>adequate office space</w:t>
      </w:r>
      <w:r>
        <w:t xml:space="preserve"> in Netherlands</w:t>
      </w:r>
    </w:p>
    <w:p>
      <w:pPr>
        <w:pStyle w:val="ListBullet"/>
      </w:pPr>
      <w:r>
        <w:t xml:space="preserve">Make </w:t>
      </w:r>
      <w:r>
        <w:rPr>
          <w:b/>
        </w:rPr>
        <w:t>key decisions</w:t>
      </w:r>
      <w:r>
        <w:t xml:space="preserve"> in Netherlands (board meetings, lease negotiations)</w:t>
      </w:r>
    </w:p>
    <w:p>
      <w:pPr>
        <w:pStyle w:val="ListBullet"/>
      </w:pPr>
      <w:r>
        <w:t xml:space="preserve">Incur </w:t>
      </w:r>
      <w:r>
        <w:rPr>
          <w:b/>
        </w:rPr>
        <w:t>adequate operating expenses</w:t>
      </w:r>
      <w:r>
        <w:t xml:space="preserve"> (salaries, rent, professional fees)</w:t>
      </w:r>
    </w:p>
    <w:p>
      <w:r>
        <w:rPr>
          <w:b/>
        </w:rPr>
        <w:t>Estimated Substance Costs</w:t>
      </w:r>
      <w:r>
        <w:t>: $1-2 million per year</w:t>
      </w:r>
    </w:p>
    <w:p>
      <w:r>
        <w:rPr>
          <w:b/>
        </w:rPr>
        <w:t>Step 5: Recommendation</w:t>
      </w:r>
    </w:p>
    <w:p>
      <w:r>
        <w:rPr>
          <w:b/>
        </w:rPr>
        <w:t>Do NOT restructure</w:t>
      </w:r>
      <w:r>
        <w:t xml:space="preserve"> through Netherlands B.V. because:</w:t>
      </w:r>
    </w:p>
    <w:p>
      <w:pPr>
        <w:pStyle w:val="ListNumber"/>
      </w:pPr>
      <w:r>
        <w:rPr>
          <w:b/>
        </w:rPr>
        <w:t>Increased tax cost</w:t>
      </w:r>
      <w:r>
        <w:t>: $21.6M per year additional tax</w:t>
      </w:r>
    </w:p>
    <w:p>
      <w:pPr>
        <w:pStyle w:val="ListNumber"/>
      </w:pPr>
      <w:r>
        <w:rPr>
          <w:b/>
        </w:rPr>
        <w:t>Limited WHT savings</w:t>
      </w:r>
      <w:r>
        <w:t>: Only $3.75M savings on Indonesia leases</w:t>
      </w:r>
    </w:p>
    <w:p>
      <w:pPr>
        <w:pStyle w:val="ListNumber"/>
      </w:pPr>
      <w:r>
        <w:rPr>
          <w:b/>
        </w:rPr>
        <w:t>Substance costs</w:t>
      </w:r>
      <w:r>
        <w:t>: Additional $1-2M per year for compliance</w:t>
      </w:r>
    </w:p>
    <w:p>
      <w:pPr>
        <w:pStyle w:val="ListNumber"/>
      </w:pPr>
      <w:r>
        <w:rPr>
          <w:b/>
        </w:rPr>
        <w:t>Complexity</w:t>
      </w:r>
      <w:r>
        <w:t>: Increased transfer pricing documentation, Country-by-Country Reporting (CbCR), administrative burden</w:t>
      </w:r>
    </w:p>
    <w:p>
      <w:r>
        <w:rPr>
          <w:b/>
        </w:rPr>
        <w:t>Alternative Approach</w:t>
      </w:r>
      <w:r>
        <w:t>:</w:t>
      </w:r>
    </w:p>
    <w:p>
      <w:r>
        <w:t xml:space="preserve">If seeking to reduce Indonesia WHT, consider establishing a </w:t>
      </w:r>
      <w:r>
        <w:rPr>
          <w:b/>
        </w:rPr>
        <w:t>Singapore leasing subsidiary</w:t>
      </w:r>
      <w:r>
        <w:t xml:space="preserve"> for the Indonesia lease only:</w:t>
      </w:r>
    </w:p>
    <w:p>
      <w:pPr>
        <w:pStyle w:val="ListBullet"/>
      </w:pPr>
      <w:r>
        <w:rPr>
          <w:b/>
        </w:rPr>
        <w:t>Singapore-Indonesia treaty</w:t>
      </w:r>
      <w:r>
        <w:t>: 5% WHT on equipment rental (same as Netherlands)</w:t>
      </w:r>
    </w:p>
    <w:p>
      <w:pPr>
        <w:pStyle w:val="ListBullet"/>
      </w:pPr>
      <w:r>
        <w:rPr>
          <w:b/>
        </w:rPr>
        <w:t>Singapore corporate tax</w:t>
      </w:r>
      <w:r>
        <w:t>: 17% (lower than Netherlands 25.8%)</w:t>
      </w:r>
    </w:p>
    <w:p>
      <w:pPr>
        <w:pStyle w:val="ListBullet"/>
      </w:pPr>
      <w:r>
        <w:rPr>
          <w:b/>
        </w:rPr>
        <w:t>Potential GILTI exposure</w:t>
      </w:r>
      <w:r>
        <w:t>: But with large tangible assets (drillships), QBAI deduction likely eliminates GILTI</w:t>
      </w:r>
    </w:p>
    <w:p>
      <w:r>
        <w:rPr>
          <w:b/>
        </w:rPr>
        <w:t>Selective Restructuring Analysis</w:t>
      </w:r>
      <w:r>
        <w:t xml:space="preserve"> (Singapore for Indonesia lease only):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Indonesia WHT savings: ($75M × 10%) - ($75M × 5%) = $3.75M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Singapore tax: Taxable income ~$40M × 17% = $6.8M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GILTI: Eliminated by QBAI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Additional annual tax: ~$3M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But substance requirements simpler for single-asset structure</w:t>
      </w:r>
    </w:p>
    <w:p/>
    <w:p>
      <w:r>
        <w:rPr>
          <w:b/>
        </w:rPr>
        <w:t>Conclusion</w:t>
      </w:r>
      <w:r>
        <w:t xml:space="preserve">: Even selective restructuring is not attractive given the modest WHT savings and additional corporate tax/compliance costs. </w:t>
      </w:r>
      <w:r>
        <w:rPr>
          <w:b/>
        </w:rPr>
        <w:t>Maintain U.S. ownership</w:t>
      </w:r>
      <w:r>
        <w:t xml:space="preserve"> of all drillships.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