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41 Sale and leaseback</w:t>
      </w:r>
    </w:p>
    <w:p>
      <w:pPr>
        <w:pStyle w:val="Heading1"/>
      </w:pPr>
      <w:r>
        <w:t>41. Sale and Leaseback</w:t>
      </w:r>
    </w:p>
    <w:p>
      <w:pPr>
        <w:pStyle w:val="Heading2"/>
      </w:pPr>
      <w:r>
        <w:t>Introduction</w:t>
      </w:r>
    </w:p>
    <w:p>
      <w:r>
        <w:t xml:space="preserve">A </w:t>
      </w:r>
      <w:r>
        <w:rPr>
          <w:b/>
        </w:rPr>
        <w:t>sale and leaseback</w:t>
      </w:r>
      <w:r>
        <w:t xml:space="preserve"> transaction involves an asset owner (seller-lessee) selling an asset to a buyer (buyer-lessor) and simultaneously leasing it back. This financing technique is widely used in the oil and gas sector to </w:t>
      </w:r>
      <w:r>
        <w:rPr>
          <w:b/>
        </w:rPr>
        <w:t>unlock capital</w:t>
      </w:r>
      <w:r>
        <w:t xml:space="preserve"> tied up in assets (drilling rigs, production facilities, pipelines, FPSOs) while maintaining operational control through the leaseback.</w:t>
      </w:r>
    </w:p>
    <w:p>
      <w:r>
        <w:t xml:space="preserve">The tax implications are complex, as tax authorities scrutinize whether the transaction represents a </w:t>
      </w:r>
      <w:r>
        <w:rPr>
          <w:b/>
        </w:rPr>
        <w:t>genuine sale</w:t>
      </w:r>
      <w:r>
        <w:t xml:space="preserve"> or a </w:t>
      </w:r>
      <w:r>
        <w:rPr>
          <w:b/>
        </w:rPr>
        <w:t>disguised financing arrangement</w:t>
      </w:r>
      <w:r>
        <w:t>. If recharacterized as financing, the tax benefits (immediate gain recognition, rental expense deductions) may be denied.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Commercial Rationale</w:t>
      </w:r>
    </w:p>
    <w:p>
      <w:pPr>
        <w:pStyle w:val="Heading3"/>
      </w:pPr>
      <w:r>
        <w:t>1.1 Benefits for Seller-Lessee</w:t>
      </w:r>
    </w:p>
    <w:p>
      <w:r>
        <w:rPr>
          <w:b/>
        </w:rPr>
        <w:t>Liquidity</w:t>
      </w:r>
      <w:r>
        <w:t>: Immediate cash injection from asset sale without losing operational use</w:t>
      </w:r>
    </w:p>
    <w:p>
      <w:r>
        <w:rPr>
          <w:b/>
        </w:rPr>
        <w:t>Off-balance sheet financing</w:t>
      </w:r>
      <w:r>
        <w:t xml:space="preserve"> (pre-International Financial Reporting Standards (IFRS) 16 / Accounting Standards Codification (ASC) 842): Historically removed assets and liabilities from balance sheet, improving financial ratios</w:t>
      </w:r>
    </w:p>
    <w:p>
      <w:r>
        <w:rPr>
          <w:b/>
        </w:rPr>
        <w:t>Tax benefits</w:t>
      </w:r>
      <w:r>
        <w:t>:</w:t>
      </w:r>
    </w:p>
    <w:p>
      <w:pPr>
        <w:pStyle w:val="ListBullet"/>
      </w:pPr>
      <w:r>
        <w:rPr>
          <w:b/>
        </w:rPr>
        <w:t>Immediate gain recognition</w:t>
      </w:r>
      <w:r>
        <w:t>: If asset sold at a gain, gain is recognized (potentially at favorable capital gains rates)</w:t>
      </w:r>
    </w:p>
    <w:p>
      <w:pPr>
        <w:pStyle w:val="ListBullet"/>
      </w:pPr>
      <w:r>
        <w:rPr>
          <w:b/>
        </w:rPr>
        <w:t>Rental deductions</w:t>
      </w:r>
      <w:r>
        <w:t>: Lease payments are fully deductible (may exceed depreciation deductions on retained ownership)</w:t>
      </w:r>
    </w:p>
    <w:p>
      <w:r>
        <w:rPr>
          <w:b/>
        </w:rPr>
        <w:t>Example</w:t>
      </w:r>
      <w:r>
        <w:t>:</w:t>
      </w:r>
    </w:p>
    <w:p>
      <w:r>
        <w:t>An operator owns a production facility with:</w:t>
      </w:r>
    </w:p>
    <w:p>
      <w:pPr>
        <w:pStyle w:val="ListBullet"/>
      </w:pPr>
      <w:r>
        <w:rPr>
          <w:b/>
        </w:rPr>
        <w:t>Original cost</w:t>
      </w:r>
      <w:r>
        <w:t>: $100 million</w:t>
      </w:r>
    </w:p>
    <w:p>
      <w:pPr>
        <w:pStyle w:val="ListBullet"/>
      </w:pPr>
      <w:r>
        <w:rPr>
          <w:b/>
        </w:rPr>
        <w:t>Accumulated depreciation</w:t>
      </w:r>
      <w:r>
        <w:t>: $40 million</w:t>
      </w:r>
    </w:p>
    <w:p>
      <w:pPr>
        <w:pStyle w:val="ListBullet"/>
      </w:pPr>
      <w:r>
        <w:rPr>
          <w:b/>
        </w:rPr>
        <w:t>Net book value</w:t>
      </w:r>
      <w:r>
        <w:t>: $60 million</w:t>
      </w:r>
    </w:p>
    <w:p>
      <w:pPr>
        <w:pStyle w:val="ListBullet"/>
      </w:pPr>
      <w:r>
        <w:rPr>
          <w:b/>
        </w:rPr>
        <w:t>Fair market value</w:t>
      </w:r>
      <w:r>
        <w:t>: $150 million</w:t>
      </w:r>
    </w:p>
    <w:p>
      <w:pPr>
        <w:pStyle w:val="ListBullet"/>
      </w:pPr>
      <w:r>
        <w:rPr>
          <w:b/>
        </w:rPr>
        <w:t>Annual depreciation</w:t>
      </w:r>
      <w:r>
        <w:t xml:space="preserve"> (if retained): $5 million</w:t>
      </w:r>
    </w:p>
    <w:p>
      <w:r>
        <w:rPr>
          <w:b/>
        </w:rPr>
        <w:t>Sale and leaseback</w:t>
      </w:r>
      <w:r>
        <w:t>:</w:t>
      </w:r>
    </w:p>
    <w:p>
      <w:pPr>
        <w:pStyle w:val="ListBullet"/>
      </w:pPr>
      <w:r>
        <w:rPr>
          <w:b/>
        </w:rPr>
        <w:t>Sale price</w:t>
      </w:r>
      <w:r>
        <w:t>: $150 million (cash received)</w:t>
      </w:r>
    </w:p>
    <w:p>
      <w:pPr>
        <w:pStyle w:val="ListBullet"/>
      </w:pPr>
      <w:r>
        <w:rPr>
          <w:b/>
        </w:rPr>
        <w:t>Gain on sale</w:t>
      </w:r>
      <w:r>
        <w:t>: $150M - $60M = $90 million</w:t>
      </w:r>
    </w:p>
    <w:p>
      <w:pPr>
        <w:pStyle w:val="ListBullet"/>
      </w:pPr>
      <w:r>
        <w:rPr>
          <w:b/>
        </w:rPr>
        <w:t>Annual lease payment</w:t>
      </w:r>
      <w:r>
        <w:t>: $20 million (deductible)</w:t>
      </w:r>
    </w:p>
    <w:p>
      <w:r>
        <w:rPr>
          <w:b/>
        </w:rPr>
        <w:t>Tax comparison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Annual Deduction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Gain Recognition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Retain ownership</w:t>
            </w:r>
          </w:p>
        </w:tc>
        <w:tc>
          <w:tcPr>
            <w:tcW w:type="dxa" w:w="2880"/>
          </w:tcPr>
          <w:p>
            <w:r/>
            <w:r>
              <w:t>$5M depreciation</w:t>
            </w:r>
          </w:p>
        </w:tc>
        <w:tc>
          <w:tcPr>
            <w:tcW w:type="dxa" w:w="2880"/>
          </w:tcPr>
          <w:p>
            <w:r/>
            <w:r>
              <w:t>No gain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Sale and leaseback</w:t>
            </w:r>
          </w:p>
        </w:tc>
        <w:tc>
          <w:tcPr>
            <w:tcW w:type="dxa" w:w="2880"/>
          </w:tcPr>
          <w:p>
            <w:r/>
            <w:r>
              <w:t>$20M rental expense</w:t>
            </w:r>
          </w:p>
        </w:tc>
        <w:tc>
          <w:tcPr>
            <w:tcW w:type="dxa" w:w="2880"/>
          </w:tcPr>
          <w:p>
            <w:r/>
            <w:r>
              <w:t>$90M gain (year 1)</w:t>
            </w:r>
          </w:p>
        </w:tc>
      </w:tr>
    </w:tbl>
    <w:p/>
    <w:p>
      <w:r>
        <w:t xml:space="preserve">If the gain is taxed at </w:t>
      </w:r>
      <w:r>
        <w:rPr>
          <w:b/>
        </w:rPr>
        <w:t>capital gains rate</w:t>
      </w:r>
      <w:r>
        <w:t xml:space="preserve"> (lower than ordinary income) and the </w:t>
      </w:r>
      <w:r>
        <w:rPr>
          <w:b/>
        </w:rPr>
        <w:t>rental deduction</w:t>
      </w:r>
      <w:r>
        <w:t xml:space="preserve"> offsets high-taxed operating income, the transaction can be tax-advantageous.</w:t>
      </w:r>
    </w:p>
    <w:p>
      <w:pPr>
        <w:pStyle w:val="Heading3"/>
      </w:pPr>
      <w:r>
        <w:t>1.2 Benefits for Buyer-Lessor</w:t>
      </w:r>
    </w:p>
    <w:p>
      <w:r>
        <w:rPr>
          <w:b/>
        </w:rPr>
        <w:t>Investment return</w:t>
      </w:r>
      <w:r>
        <w:t>: Earns rental income with security of asset ownership</w:t>
      </w:r>
    </w:p>
    <w:p>
      <w:r>
        <w:rPr>
          <w:b/>
        </w:rPr>
        <w:t>Depreciation deductions</w:t>
      </w:r>
      <w:r>
        <w:t>: Buyer depreciates asset based on purchase price (stepped-up basis)</w:t>
      </w:r>
    </w:p>
    <w:p>
      <w:r>
        <w:rPr>
          <w:b/>
        </w:rPr>
        <w:t>Residual value</w:t>
      </w:r>
      <w:r>
        <w:t>: Retains asset at lease end (or exercises purchase option)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Tax Treatment - True Sale vs. Financing</w:t>
      </w:r>
    </w:p>
    <w:p>
      <w:pPr>
        <w:pStyle w:val="Heading3"/>
      </w:pPr>
      <w:r>
        <w:t>2.1 True Sale</w:t>
      </w:r>
    </w:p>
    <w:p>
      <w:r>
        <w:t xml:space="preserve">For tax purposes, a </w:t>
      </w:r>
      <w:r>
        <w:rPr>
          <w:b/>
        </w:rPr>
        <w:t>true sale</w:t>
      </w:r>
      <w:r>
        <w:t xml:space="preserve"> occurs if:</w:t>
      </w:r>
    </w:p>
    <w:p>
      <w:pPr>
        <w:pStyle w:val="ListBullet"/>
      </w:pPr>
      <w:r>
        <w:rPr>
          <w:b/>
        </w:rPr>
        <w:t>Legal title</w:t>
      </w:r>
      <w:r>
        <w:t xml:space="preserve"> and </w:t>
      </w:r>
      <w:r>
        <w:rPr>
          <w:b/>
        </w:rPr>
        <w:t>substantially all risks and rewards</w:t>
      </w:r>
      <w:r>
        <w:t xml:space="preserve"> of ownership transfer to buyer</w:t>
      </w:r>
    </w:p>
    <w:p>
      <w:pPr>
        <w:pStyle w:val="ListBullet"/>
      </w:pPr>
      <w:r>
        <w:rPr>
          <w:b/>
        </w:rPr>
        <w:t>Seller-lessee</w:t>
      </w:r>
      <w:r>
        <w:t xml:space="preserve"> has no continuing ownership interest (no repurchase obligation or option at below FMV)</w:t>
      </w:r>
    </w:p>
    <w:p>
      <w:pPr>
        <w:pStyle w:val="ListBullet"/>
      </w:pPr>
      <w:r>
        <w:rPr>
          <w:b/>
        </w:rPr>
        <w:t>Transaction has economic substance</w:t>
      </w:r>
      <w:r>
        <w:t xml:space="preserve"> (not purely tax-motivated)</w:t>
      </w:r>
    </w:p>
    <w:p>
      <w:r>
        <w:rPr>
          <w:b/>
        </w:rPr>
        <w:t>Tax Consequences</w:t>
      </w:r>
      <w:r>
        <w:t>:</w:t>
      </w:r>
    </w:p>
    <w:p>
      <w:r>
        <w:rPr>
          <w:b/>
        </w:rPr>
        <w:t>Seller-Lessee</w:t>
      </w:r>
      <w:r>
        <w:t>:</w:t>
      </w:r>
    </w:p>
    <w:p>
      <w:pPr>
        <w:pStyle w:val="ListNumber"/>
      </w:pPr>
      <w:r>
        <w:rPr>
          <w:b/>
        </w:rPr>
        <w:t>Recognize gain or loss</w:t>
      </w:r>
      <w:r>
        <w:t xml:space="preserve"> on sale: Sale price - Net book value</w:t>
      </w:r>
    </w:p>
    <w:p>
      <w:pPr>
        <w:pStyle w:val="ListNumber"/>
      </w:pPr>
      <w:r>
        <w:rPr>
          <w:b/>
        </w:rPr>
        <w:t>Deduct lease payments</w:t>
      </w:r>
      <w:r>
        <w:t xml:space="preserve"> as ordinary business expenses</w:t>
      </w:r>
    </w:p>
    <w:p>
      <w:pPr>
        <w:pStyle w:val="ListNumber"/>
      </w:pPr>
      <w:r>
        <w:rPr>
          <w:b/>
        </w:rPr>
        <w:t>No depreciation</w:t>
      </w:r>
      <w:r>
        <w:t xml:space="preserve"> (no longer owns asset)</w:t>
      </w:r>
    </w:p>
    <w:p>
      <w:r>
        <w:rPr>
          <w:b/>
        </w:rPr>
        <w:t>Buyer-Lessor</w:t>
      </w:r>
      <w:r>
        <w:t>:</w:t>
      </w:r>
    </w:p>
    <w:p>
      <w:pPr>
        <w:pStyle w:val="ListNumber"/>
      </w:pPr>
      <w:r>
        <w:rPr>
          <w:b/>
        </w:rPr>
        <w:t>Capitalize asset</w:t>
      </w:r>
      <w:r>
        <w:t xml:space="preserve"> at purchase price (stepped-up basis)</w:t>
      </w:r>
    </w:p>
    <w:p>
      <w:pPr>
        <w:pStyle w:val="ListNumber"/>
      </w:pPr>
      <w:r>
        <w:rPr>
          <w:b/>
        </w:rPr>
        <w:t>Recognize rental income</w:t>
      </w:r>
    </w:p>
    <w:p>
      <w:pPr>
        <w:pStyle w:val="ListNumber"/>
      </w:pPr>
      <w:r>
        <w:rPr>
          <w:b/>
        </w:rPr>
        <w:t>Depreciate asset</w:t>
      </w:r>
      <w:r>
        <w:t xml:space="preserve"> over its useful life</w:t>
      </w:r>
    </w:p>
    <w:p>
      <w:pPr>
        <w:pStyle w:val="Heading3"/>
      </w:pPr>
      <w:r>
        <w:t>2.2 Disguised Financing (Failed Sale)</w:t>
      </w:r>
    </w:p>
    <w:p>
      <w:r>
        <w:t xml:space="preserve">If the transaction </w:t>
      </w:r>
      <w:r>
        <w:rPr>
          <w:b/>
        </w:rPr>
        <w:t>lacks economic substance</w:t>
      </w:r>
      <w:r>
        <w:t xml:space="preserve">, tax authorities may recharacterize it as a </w:t>
      </w:r>
      <w:r>
        <w:rPr>
          <w:b/>
        </w:rPr>
        <w:t>secured loan</w:t>
      </w:r>
      <w:r>
        <w:t>:</w:t>
      </w:r>
    </w:p>
    <w:p>
      <w:r>
        <w:rPr>
          <w:b/>
        </w:rPr>
        <w:t>Indicators of Financing</w:t>
      </w:r>
      <w:r>
        <w:t>:</w:t>
      </w:r>
    </w:p>
    <w:p>
      <w:pPr>
        <w:pStyle w:val="ListBullet"/>
      </w:pPr>
      <w:r>
        <w:rPr>
          <w:b/>
        </w:rPr>
        <w:t>Repurchase obligation</w:t>
      </w:r>
      <w:r>
        <w:t xml:space="preserve"> or </w:t>
      </w:r>
      <w:r>
        <w:rPr>
          <w:b/>
        </w:rPr>
        <w:t>fixed-price repurchase option</w:t>
      </w:r>
      <w:r>
        <w:t xml:space="preserve"> at below FMV</w:t>
      </w:r>
    </w:p>
    <w:p>
      <w:pPr>
        <w:pStyle w:val="ListBullet"/>
      </w:pPr>
      <w:r>
        <w:rPr>
          <w:b/>
        </w:rPr>
        <w:t>Seller-lessee retains substantial risks</w:t>
      </w:r>
      <w:r>
        <w:t xml:space="preserve"> (e.g., responsible for all maintenance, insurance, obsolescence)</w:t>
      </w:r>
    </w:p>
    <w:p>
      <w:pPr>
        <w:pStyle w:val="ListBullet"/>
      </w:pPr>
      <w:r>
        <w:rPr>
          <w:b/>
        </w:rPr>
        <w:t>Lease term</w:t>
      </w:r>
      <w:r>
        <w:t xml:space="preserve"> covers substantially all of asset's useful life</w:t>
      </w:r>
    </w:p>
    <w:p>
      <w:pPr>
        <w:pStyle w:val="ListBullet"/>
      </w:pPr>
      <w:r>
        <w:rPr>
          <w:b/>
        </w:rPr>
        <w:t>Lease payments</w:t>
      </w:r>
      <w:r>
        <w:t xml:space="preserve"> approximate debt service (principal + interest)</w:t>
      </w:r>
    </w:p>
    <w:p>
      <w:r>
        <w:rPr>
          <w:b/>
        </w:rPr>
        <w:t>Tax Consequences (Recharacterized as Financing)</w:t>
      </w:r>
      <w:r>
        <w:t>:</w:t>
      </w:r>
    </w:p>
    <w:p>
      <w:r>
        <w:rPr>
          <w:b/>
        </w:rPr>
        <w:t>Seller-Lessee</w:t>
      </w:r>
      <w:r>
        <w:t>:</w:t>
      </w:r>
    </w:p>
    <w:p>
      <w:pPr>
        <w:pStyle w:val="ListNumber"/>
      </w:pPr>
      <w:r>
        <w:rPr>
          <w:b/>
        </w:rPr>
        <w:t>No gain recognition</w:t>
      </w:r>
      <w:r>
        <w:t xml:space="preserve"> on "sale" (treated as receipt of loan proceeds)</w:t>
      </w:r>
    </w:p>
    <w:p>
      <w:pPr>
        <w:pStyle w:val="ListNumber"/>
      </w:pPr>
      <w:r>
        <w:t xml:space="preserve">Asset remains on seller's books; </w:t>
      </w:r>
      <w:r>
        <w:rPr>
          <w:b/>
        </w:rPr>
        <w:t>continue depreciation</w:t>
      </w:r>
    </w:p>
    <w:p>
      <w:pPr>
        <w:pStyle w:val="ListNumber"/>
      </w:pPr>
      <w:r>
        <w:t>Lease payments bifurcated:</w:t>
      </w:r>
    </w:p>
    <w:p>
      <w:pPr>
        <w:pStyle w:val="ListBullet"/>
        <w:ind w:left="360"/>
      </w:pPr>
      <w:r>
        <w:rPr>
          <w:b/>
        </w:rPr>
        <w:t>Interest component</w:t>
      </w:r>
      <w:r>
        <w:t>: Deductible</w:t>
      </w:r>
    </w:p>
    <w:p>
      <w:pPr>
        <w:pStyle w:val="ListBullet"/>
        <w:ind w:left="360"/>
      </w:pPr>
      <w:r>
        <w:rPr>
          <w:b/>
        </w:rPr>
        <w:t>Principal component</w:t>
      </w:r>
      <w:r>
        <w:t>: Non-deductible loan repayment</w:t>
      </w:r>
    </w:p>
    <w:p>
      <w:r>
        <w:rPr>
          <w:b/>
        </w:rPr>
        <w:t>Buyer-Lessor</w:t>
      </w:r>
      <w:r>
        <w:t>:</w:t>
      </w:r>
    </w:p>
    <w:p>
      <w:pPr>
        <w:pStyle w:val="ListNumber"/>
      </w:pPr>
      <w:r>
        <w:rPr>
          <w:b/>
        </w:rPr>
        <w:t>No asset acquisition</w:t>
      </w:r>
      <w:r>
        <w:t xml:space="preserve"> (treated as loan to seller)</w:t>
      </w:r>
    </w:p>
    <w:p>
      <w:pPr>
        <w:pStyle w:val="ListNumber"/>
      </w:pPr>
      <w:r>
        <w:t xml:space="preserve">Rental income recharacterized as </w:t>
      </w:r>
      <w:r>
        <w:rPr>
          <w:b/>
        </w:rPr>
        <w:t>interest income</w:t>
      </w:r>
    </w:p>
    <w:p>
      <w:pPr>
        <w:pStyle w:val="Heading3"/>
      </w:pPr>
      <w:r>
        <w:t>2.3 IRS Factors for Sale Treatment</w:t>
      </w:r>
    </w:p>
    <w:p>
      <w:r>
        <w:t xml:space="preserve">The </w:t>
      </w:r>
      <w:r>
        <w:rPr>
          <w:b/>
        </w:rPr>
        <w:t>Internal Revenue Service (IRS)</w:t>
      </w:r>
      <w:r>
        <w:t xml:space="preserve"> considers the following factors (no single factor determinative):</w:t>
      </w:r>
    </w:p>
    <w:p>
      <w:pPr>
        <w:pStyle w:val="ListNumber"/>
      </w:pPr>
      <w:r>
        <w:rPr>
          <w:b/>
        </w:rPr>
        <w:t>Transfer of legal title</w:t>
      </w:r>
      <w:r>
        <w:t>: Clear, unconditional transfer?</w:t>
      </w:r>
    </w:p>
    <w:p>
      <w:pPr>
        <w:pStyle w:val="ListNumber"/>
      </w:pPr>
      <w:r>
        <w:rPr>
          <w:b/>
        </w:rPr>
        <w:t>Transfer of benefits and burdens</w:t>
      </w:r>
      <w:r>
        <w:t>: Who bears risk of loss, obsolescence, and receives residual value?</w:t>
      </w:r>
    </w:p>
    <w:p>
      <w:pPr>
        <w:pStyle w:val="ListNumber"/>
      </w:pPr>
      <w:r>
        <w:rPr>
          <w:b/>
        </w:rPr>
        <w:t>Seller's continuing involvement</w:t>
      </w:r>
      <w:r>
        <w:t>: Does seller retain control or have right to reacquire?</w:t>
      </w:r>
    </w:p>
    <w:p>
      <w:pPr>
        <w:pStyle w:val="ListNumber"/>
      </w:pPr>
      <w:r>
        <w:rPr>
          <w:b/>
        </w:rPr>
        <w:t>Terms of repurchase</w:t>
      </w:r>
      <w:r>
        <w:t>: If repurchase option exists, is it at FMV or fixed price?</w:t>
      </w:r>
    </w:p>
    <w:p>
      <w:pPr>
        <w:pStyle w:val="ListNumber"/>
      </w:pPr>
      <w:r>
        <w:rPr>
          <w:b/>
        </w:rPr>
        <w:t>Arm's length terms</w:t>
      </w:r>
      <w:r>
        <w:t>: Are lease payments and sale price consistent with FMV?</w:t>
      </w:r>
    </w:p>
    <w:p>
      <w:pPr>
        <w:pStyle w:val="ListNumber"/>
      </w:pPr>
      <w:r>
        <w:rPr>
          <w:b/>
        </w:rPr>
        <w:t>Business purpose</w:t>
      </w:r>
      <w:r>
        <w:t>: Is there a genuine business reason beyond tax benefits?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Timing of Gain Recognition</w:t>
      </w:r>
    </w:p>
    <w:p>
      <w:pPr>
        <w:pStyle w:val="Heading3"/>
      </w:pPr>
      <w:r>
        <w:t>3.1 Immediate Recognition (True Sale)</w:t>
      </w:r>
    </w:p>
    <w:p>
      <w:r>
        <w:t xml:space="preserve">If the transaction qualifies as a </w:t>
      </w:r>
      <w:r>
        <w:rPr>
          <w:b/>
        </w:rPr>
        <w:t>true sale</w:t>
      </w:r>
      <w:r>
        <w:t xml:space="preserve">, the gain is </w:t>
      </w:r>
      <w:r>
        <w:rPr>
          <w:b/>
        </w:rPr>
        <w:t>immediately recognizable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Gain = Sale price - Adjusted basis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= Gain × Applicable tax rate (capital gains or ordinary income)</w:t>
      </w:r>
    </w:p>
    <w:p/>
    <w:p>
      <w:r>
        <w:rPr>
          <w:b/>
        </w:rPr>
        <w:t>Capital Gains Treatment</w:t>
      </w:r>
      <w:r>
        <w:t xml:space="preserve">: If the asset is a </w:t>
      </w:r>
      <w:r>
        <w:rPr>
          <w:b/>
        </w:rPr>
        <w:t>capital asset</w:t>
      </w:r>
      <w:r>
        <w:t xml:space="preserve"> or </w:t>
      </w:r>
      <w:r>
        <w:rPr>
          <w:b/>
        </w:rPr>
        <w:t>Section 1231 property</w:t>
      </w:r>
      <w:r>
        <w:t xml:space="preserve"> held for more than one year, gain may qualify for favorable </w:t>
      </w:r>
      <w:r>
        <w:rPr>
          <w:b/>
        </w:rPr>
        <w:t>long-term capital gains rates</w:t>
      </w:r>
      <w:r>
        <w:t xml:space="preserve"> (lower than ordinary income rates).</w:t>
      </w:r>
    </w:p>
    <w:p>
      <w:r>
        <w:rPr>
          <w:b/>
        </w:rPr>
        <w:t>Section 1245 Recapture</w:t>
      </w:r>
      <w:r>
        <w:t xml:space="preserve">: For </w:t>
      </w:r>
      <w:r>
        <w:rPr>
          <w:b/>
        </w:rPr>
        <w:t>depreciable personal property</w:t>
      </w:r>
      <w:r>
        <w:t xml:space="preserve"> (equipment, machinery), </w:t>
      </w:r>
      <w:r>
        <w:rPr>
          <w:b/>
        </w:rPr>
        <w:t>accumulated depreciation</w:t>
      </w:r>
      <w:r>
        <w:t xml:space="preserve"> is recaptured as </w:t>
      </w:r>
      <w:r>
        <w:rPr>
          <w:b/>
        </w:rPr>
        <w:t>ordinary income</w:t>
      </w:r>
      <w:r>
        <w:t>; only appreciation above original cost receives capital gains treatment.</w:t>
      </w:r>
    </w:p>
    <w:p>
      <w:pPr>
        <w:pStyle w:val="Heading3"/>
      </w:pPr>
      <w:r>
        <w:t>3.2 Deferred Recognition (Failed Sale)</w:t>
      </w:r>
    </w:p>
    <w:p>
      <w:r>
        <w:t xml:space="preserve">If recharacterized as </w:t>
      </w:r>
      <w:r>
        <w:rPr>
          <w:b/>
        </w:rPr>
        <w:t>financing</w:t>
      </w:r>
      <w:r>
        <w:t>, no gain is recognized. The seller continues to own the asset for tax purposes and depreciates it.</w:t>
      </w:r>
    </w:p>
    <w:p>
      <w:pPr>
        <w:pStyle w:val="Heading3"/>
      </w:pPr>
      <w:r>
        <w:t>3.3 Partial Gain Recognition (Proportionate Leaseback)</w:t>
      </w:r>
    </w:p>
    <w:p>
      <w:r>
        <w:t xml:space="preserve">In some jurisdictions, if the </w:t>
      </w:r>
      <w:r>
        <w:rPr>
          <w:b/>
        </w:rPr>
        <w:t>leaseback term</w:t>
      </w:r>
      <w:r>
        <w:t xml:space="preserve"> is significantly shorter than the asset's remaining useful life, </w:t>
      </w:r>
      <w:r>
        <w:rPr>
          <w:b/>
        </w:rPr>
        <w:t>partial gain recognition</w:t>
      </w:r>
      <w:r>
        <w:t xml:space="preserve"> may apply: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Immediate gain = Total gain × (1 - PV of leaseback / FMV)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Deferred gain = Total gain - Immediate gain</w:t>
      </w:r>
    </w:p>
    <w:p/>
    <w:p>
      <w:r>
        <w:t xml:space="preserve">The deferred portion is </w:t>
      </w:r>
      <w:r>
        <w:rPr>
          <w:b/>
        </w:rPr>
        <w:t>amortized</w:t>
      </w:r>
      <w:r>
        <w:t xml:space="preserve"> over the lease term and offsets rental deductions.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Transfer Pricing Considerations</w:t>
      </w:r>
    </w:p>
    <w:p>
      <w:pPr>
        <w:pStyle w:val="Heading3"/>
      </w:pPr>
      <w:r>
        <w:t>4.1 Related-Party Transactions</w:t>
      </w:r>
    </w:p>
    <w:p>
      <w:r>
        <w:t xml:space="preserve">When sale and leaseback occurs between </w:t>
      </w:r>
      <w:r>
        <w:rPr>
          <w:b/>
        </w:rPr>
        <w:t>related parties</w:t>
      </w:r>
      <w:r>
        <w:t xml:space="preserve"> (e.g., parent company sells asset to subsidiary, then leases it back), </w:t>
      </w:r>
      <w:r>
        <w:rPr>
          <w:b/>
        </w:rPr>
        <w:t>transfer pricing rules</w:t>
      </w:r>
      <w:r>
        <w:t xml:space="preserve"> require:</w:t>
      </w:r>
    </w:p>
    <w:p>
      <w:pPr>
        <w:pStyle w:val="ListBullet"/>
      </w:pPr>
      <w:r>
        <w:rPr>
          <w:b/>
        </w:rPr>
        <w:t>Sale price</w:t>
      </w:r>
      <w:r>
        <w:t xml:space="preserve"> must be at </w:t>
      </w:r>
      <w:r>
        <w:rPr>
          <w:b/>
        </w:rPr>
        <w:t>fair market value</w:t>
      </w:r>
      <w:r>
        <w:t xml:space="preserve"> (arm's length)</w:t>
      </w:r>
    </w:p>
    <w:p>
      <w:pPr>
        <w:pStyle w:val="ListBullet"/>
      </w:pPr>
      <w:r>
        <w:rPr>
          <w:b/>
        </w:rPr>
        <w:t>Lease payments</w:t>
      </w:r>
      <w:r>
        <w:t xml:space="preserve"> must be at </w:t>
      </w:r>
      <w:r>
        <w:rPr>
          <w:b/>
        </w:rPr>
        <w:t>arm's length rates</w:t>
      </w:r>
    </w:p>
    <w:p>
      <w:r>
        <w:rPr>
          <w:b/>
        </w:rPr>
        <w:t>Risk</w:t>
      </w:r>
      <w:r>
        <w:t>: Tax authorities may challenge:</w:t>
      </w:r>
    </w:p>
    <w:p>
      <w:pPr>
        <w:pStyle w:val="ListBullet"/>
      </w:pPr>
      <w:r>
        <w:rPr>
          <w:b/>
        </w:rPr>
        <w:t>Inflated sale price</w:t>
      </w:r>
      <w:r>
        <w:t xml:space="preserve"> (artificially increasing gain, shifting profits to low-tax buyer jurisdiction)</w:t>
      </w:r>
    </w:p>
    <w:p>
      <w:pPr>
        <w:pStyle w:val="ListBullet"/>
      </w:pPr>
      <w:r>
        <w:rPr>
          <w:b/>
        </w:rPr>
        <w:t>Excessive lease payments</w:t>
      </w:r>
      <w:r>
        <w:t xml:space="preserve"> (shifting profits from lessee to lessor)</w:t>
      </w:r>
    </w:p>
    <w:p>
      <w:r>
        <w:rPr>
          <w:b/>
        </w:rPr>
        <w:t>Documentation</w:t>
      </w:r>
      <w:r>
        <w:t xml:space="preserve">: Requires </w:t>
      </w:r>
      <w:r>
        <w:rPr>
          <w:b/>
        </w:rPr>
        <w:t>independent valuation</w:t>
      </w:r>
      <w:r>
        <w:t xml:space="preserve"> of asset and </w:t>
      </w:r>
      <w:r>
        <w:rPr>
          <w:b/>
        </w:rPr>
        <w:t>comparable lease rate analysis</w:t>
      </w:r>
      <w:r>
        <w:t>.</w:t>
      </w:r>
    </w:p>
    <w:p>
      <w:pPr>
        <w:pStyle w:val="Heading3"/>
      </w:pPr>
      <w:r>
        <w:t>4.2 Cross-Border Transactions</w:t>
      </w:r>
    </w:p>
    <w:p>
      <w:r>
        <w:rPr>
          <w:b/>
        </w:rPr>
        <w:t>Withholding Tax</w:t>
      </w:r>
      <w:r>
        <w:t xml:space="preserve">: Lease payments from seller-lessee (in one country) to buyer-lessor (in another country) may be subject to </w:t>
      </w:r>
      <w:r>
        <w:rPr>
          <w:b/>
        </w:rPr>
        <w:t>withholding tax</w:t>
      </w:r>
      <w:r>
        <w:t xml:space="preserve"> (see Chapter 40 on Leasing and Tax Treaties).</w:t>
      </w:r>
    </w:p>
    <w:p>
      <w:r>
        <w:rPr>
          <w:b/>
        </w:rPr>
        <w:t>Exit Tax</w:t>
      </w:r>
      <w:r>
        <w:t xml:space="preserve">: If the sale involves transfer of asset from one jurisdiction to another, </w:t>
      </w:r>
      <w:r>
        <w:rPr>
          <w:b/>
        </w:rPr>
        <w:t>exit taxation</w:t>
      </w:r>
      <w:r>
        <w:t xml:space="preserve"> may apply (deemed disposition at FMV).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Accounting vs. Tax Treatment</w:t>
      </w:r>
    </w:p>
    <w:p>
      <w:pPr>
        <w:pStyle w:val="Heading3"/>
      </w:pPr>
      <w:r>
        <w:t>5.1 IFRS 16 / ASC 842</w:t>
      </w:r>
    </w:p>
    <w:p>
      <w:r>
        <w:t xml:space="preserve">Under </w:t>
      </w:r>
      <w:r>
        <w:rPr>
          <w:b/>
        </w:rPr>
        <w:t>IFRS 16 (Leases)</w:t>
      </w:r>
      <w:r>
        <w:t xml:space="preserve"> and </w:t>
      </w:r>
      <w:r>
        <w:rPr>
          <w:b/>
        </w:rPr>
        <w:t>ASC 842 (Leases)</w:t>
      </w:r>
      <w:r>
        <w:t xml:space="preserve"> (effective 2019), sale and leaseback accounting depends on whether the transfer qualifies as a </w:t>
      </w:r>
      <w:r>
        <w:rPr>
          <w:b/>
        </w:rPr>
        <w:t>sale</w:t>
      </w:r>
      <w:r>
        <w:t xml:space="preserve"> under revenue recognition standards (IFRS 15 (Revenue from Contracts with Customers) / ASC 606 (Revenue from Contracts with Customers)):</w:t>
      </w:r>
    </w:p>
    <w:p>
      <w:r>
        <w:rPr>
          <w:b/>
        </w:rPr>
        <w:t>If qualifies as a sale</w:t>
      </w:r>
      <w:r>
        <w:t>:</w:t>
      </w:r>
    </w:p>
    <w:p>
      <w:pPr>
        <w:pStyle w:val="ListBullet"/>
      </w:pPr>
      <w:r>
        <w:rPr>
          <w:b/>
        </w:rPr>
        <w:t>Seller-lessee</w:t>
      </w:r>
      <w:r>
        <w:t>: Recognizes gain (limited to rights transferred to buyer; retains retained interest)</w:t>
      </w:r>
    </w:p>
    <w:p>
      <w:pPr>
        <w:pStyle w:val="ListBullet"/>
      </w:pPr>
      <w:r>
        <w:rPr>
          <w:b/>
        </w:rPr>
        <w:t>Leaseback</w:t>
      </w:r>
      <w:r>
        <w:t>: Recognized as a new lease (ROU asset and lease liability)</w:t>
      </w:r>
    </w:p>
    <w:p>
      <w:r>
        <w:rPr>
          <w:b/>
        </w:rPr>
        <w:t>If does not qualify as a sale</w:t>
      </w:r>
      <w:r>
        <w:t>:</w:t>
      </w:r>
    </w:p>
    <w:p>
      <w:pPr>
        <w:pStyle w:val="ListBullet"/>
      </w:pPr>
      <w:r>
        <w:rPr>
          <w:b/>
        </w:rPr>
        <w:t>Seller-lessee</w:t>
      </w:r>
      <w:r>
        <w:t xml:space="preserve">: No gain recognition; transaction treated as </w:t>
      </w:r>
      <w:r>
        <w:rPr>
          <w:b/>
        </w:rPr>
        <w:t>financing arrangement</w:t>
      </w:r>
    </w:p>
    <w:p>
      <w:pPr>
        <w:pStyle w:val="ListBullet"/>
      </w:pPr>
      <w:r>
        <w:t xml:space="preserve">Asset remains on books; cash received is a </w:t>
      </w:r>
      <w:r>
        <w:rPr>
          <w:b/>
        </w:rPr>
        <w:t>financial liability</w:t>
      </w:r>
    </w:p>
    <w:p>
      <w:r>
        <w:rPr>
          <w:b/>
        </w:rPr>
        <w:t>Key Condition</w:t>
      </w:r>
      <w:r>
        <w:t xml:space="preserve">: Buyer must obtain </w:t>
      </w:r>
      <w:r>
        <w:rPr>
          <w:b/>
        </w:rPr>
        <w:t>control</w:t>
      </w:r>
      <w:r>
        <w:t xml:space="preserve"> of the asset (not merely a security interest).</w:t>
      </w:r>
    </w:p>
    <w:p>
      <w:pPr>
        <w:pStyle w:val="Heading3"/>
      </w:pPr>
      <w:r>
        <w:t>5.2 Tax-Book Differences</w:t>
      </w:r>
    </w:p>
    <w:p>
      <w:r>
        <w:rPr>
          <w:b/>
        </w:rPr>
        <w:t>Tax treatment</w:t>
      </w:r>
      <w:r>
        <w:t xml:space="preserve"> may diverge from </w:t>
      </w:r>
      <w:r>
        <w:rPr>
          <w:b/>
        </w:rPr>
        <w:t>accounting treatment</w:t>
      </w:r>
      <w:r>
        <w:t>:</w:t>
      </w:r>
    </w:p>
    <w:p>
      <w:pPr>
        <w:pStyle w:val="ListBullet"/>
      </w:pPr>
      <w:r>
        <w:t xml:space="preserve">A transaction that is a </w:t>
      </w:r>
      <w:r>
        <w:rPr>
          <w:b/>
        </w:rPr>
        <w:t>sale for accounting purposes</w:t>
      </w:r>
      <w:r>
        <w:t xml:space="preserve"> (IFRS 15 / ASC 606 met) may be </w:t>
      </w:r>
      <w:r>
        <w:rPr>
          <w:b/>
        </w:rPr>
        <w:t>financing for tax purposes</w:t>
      </w:r>
      <w:r>
        <w:t xml:space="preserve"> (IRS factors not satisfied)</w:t>
      </w:r>
    </w:p>
    <w:p>
      <w:pPr>
        <w:pStyle w:val="ListBullet"/>
      </w:pPr>
      <w:r>
        <w:t xml:space="preserve">Conversely, a transaction that is </w:t>
      </w:r>
      <w:r>
        <w:rPr>
          <w:b/>
        </w:rPr>
        <w:t>financing for accounting</w:t>
      </w:r>
      <w:r>
        <w:t xml:space="preserve"> may be a </w:t>
      </w:r>
      <w:r>
        <w:rPr>
          <w:b/>
        </w:rPr>
        <w:t>sale for tax</w:t>
      </w:r>
      <w:r>
        <w:t xml:space="preserve"> (if tax authorities accept genuine transfer of risks and rewards)</w:t>
      </w:r>
    </w:p>
    <w:p>
      <w:r>
        <w:rPr>
          <w:b/>
        </w:rPr>
        <w:t>Consequence</w:t>
      </w:r>
      <w:r>
        <w:t xml:space="preserve">: Creates </w:t>
      </w:r>
      <w:r>
        <w:rPr>
          <w:b/>
        </w:rPr>
        <w:t>temporary differences</w:t>
      </w:r>
      <w:r>
        <w:t xml:space="preserve"> requiring deferred tax accounting.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EXAMPLE: Sale and Leaseback of Production Facility</w:t>
      </w:r>
    </w:p>
    <w:p>
      <w:pPr>
        <w:pStyle w:val="Heading3"/>
      </w:pPr>
      <w:r>
        <w:t>Facts</w:t>
      </w:r>
    </w:p>
    <w:p>
      <w:r>
        <w:rPr>
          <w:b/>
        </w:rPr>
        <w:t>TropicOil Inc.</w:t>
      </w:r>
      <w:r>
        <w:t xml:space="preserve">, a U.S.-based E&amp;P company, owns a </w:t>
      </w:r>
      <w:r>
        <w:rPr>
          <w:b/>
        </w:rPr>
        <w:t>natural gas processing facility</w:t>
      </w:r>
      <w:r>
        <w:t xml:space="preserve"> in Texas with the following characteristics:</w:t>
      </w:r>
    </w:p>
    <w:p>
      <w:pPr>
        <w:pStyle w:val="ListBullet"/>
      </w:pPr>
      <w:r>
        <w:rPr>
          <w:b/>
        </w:rPr>
        <w:t>Original cost</w:t>
      </w:r>
      <w:r>
        <w:t>: $200 million (placed in service 10 years ago)</w:t>
      </w:r>
    </w:p>
    <w:p>
      <w:pPr>
        <w:pStyle w:val="ListBullet"/>
      </w:pPr>
      <w:r>
        <w:rPr>
          <w:b/>
        </w:rPr>
        <w:t>Accumulated MACRS depreciation</w:t>
      </w:r>
      <w:r>
        <w:t>: $140 million</w:t>
      </w:r>
    </w:p>
    <w:p>
      <w:pPr>
        <w:pStyle w:val="ListBullet"/>
      </w:pPr>
      <w:r>
        <w:rPr>
          <w:b/>
        </w:rPr>
        <w:t>Adjusted tax basis</w:t>
      </w:r>
      <w:r>
        <w:t>: $60 million</w:t>
      </w:r>
    </w:p>
    <w:p>
      <w:pPr>
        <w:pStyle w:val="ListBullet"/>
      </w:pPr>
      <w:r>
        <w:rPr>
          <w:b/>
        </w:rPr>
        <w:t>Fair market value</w:t>
      </w:r>
      <w:r>
        <w:t>: $180 million</w:t>
      </w:r>
    </w:p>
    <w:p>
      <w:r>
        <w:rPr>
          <w:b/>
        </w:rPr>
        <w:t>Transaction Structure</w:t>
      </w:r>
      <w:r>
        <w:t>:</w:t>
      </w:r>
    </w:p>
    <w:p>
      <w:r>
        <w:t xml:space="preserve">TropicOil sells the facility to </w:t>
      </w:r>
      <w:r>
        <w:rPr>
          <w:b/>
        </w:rPr>
        <w:t>GasLease Capital LLC</w:t>
      </w:r>
      <w:r>
        <w:t xml:space="preserve">, an unrelated third-party leasing company, for </w:t>
      </w:r>
      <w:r>
        <w:rPr>
          <w:b/>
        </w:rPr>
        <w:t>$180 million cash</w:t>
      </w:r>
      <w:r>
        <w:t>. Simultaneously, TropicOil leases the facility back under the following terms:</w:t>
      </w:r>
    </w:p>
    <w:p>
      <w:pPr>
        <w:pStyle w:val="ListBullet"/>
      </w:pPr>
      <w:r>
        <w:rPr>
          <w:b/>
        </w:rPr>
        <w:t>Lease type</w:t>
      </w:r>
      <w:r>
        <w:t>: Operating lease (GasLease retains ownership)</w:t>
      </w:r>
    </w:p>
    <w:p>
      <w:pPr>
        <w:pStyle w:val="ListBullet"/>
      </w:pPr>
      <w:r>
        <w:rPr>
          <w:b/>
        </w:rPr>
        <w:t>Lease term</w:t>
      </w:r>
      <w:r>
        <w:t>: 12 years</w:t>
      </w:r>
    </w:p>
    <w:p>
      <w:pPr>
        <w:pStyle w:val="ListBullet"/>
      </w:pPr>
      <w:r>
        <w:rPr>
          <w:b/>
        </w:rPr>
        <w:t>Annual lease payment</w:t>
      </w:r>
      <w:r>
        <w:t>: $22 million</w:t>
      </w:r>
    </w:p>
    <w:p>
      <w:pPr>
        <w:pStyle w:val="ListBullet"/>
      </w:pPr>
      <w:r>
        <w:rPr>
          <w:b/>
        </w:rPr>
        <w:t>Purchase option at end</w:t>
      </w:r>
      <w:r>
        <w:t xml:space="preserve">: TropicOil has option to repurchase at </w:t>
      </w:r>
      <w:r>
        <w:rPr>
          <w:b/>
        </w:rPr>
        <w:t>fair market value</w:t>
      </w:r>
      <w:r>
        <w:t xml:space="preserve"> (not fixed price)</w:t>
      </w:r>
    </w:p>
    <w:p>
      <w:pPr>
        <w:pStyle w:val="ListBullet"/>
      </w:pPr>
      <w:r>
        <w:rPr>
          <w:b/>
        </w:rPr>
        <w:t>Maintenance</w:t>
      </w:r>
      <w:r>
        <w:t>: TropicOil responsible for routine maintenance; GasLease responsible for major capital expenditures</w:t>
      </w:r>
    </w:p>
    <w:p>
      <w:r>
        <w:rPr>
          <w:b/>
        </w:rPr>
        <w:t>Remaining Useful Life</w:t>
      </w:r>
      <w:r>
        <w:t>: 20 years</w:t>
      </w:r>
    </w:p>
    <w:p>
      <w:r>
        <w:rPr>
          <w:b/>
        </w:rPr>
        <w:t>Tax Rates</w:t>
      </w:r>
      <w:r>
        <w:t>:</w:t>
      </w:r>
    </w:p>
    <w:p>
      <w:pPr>
        <w:pStyle w:val="ListBullet"/>
      </w:pPr>
      <w:r>
        <w:rPr>
          <w:b/>
        </w:rPr>
        <w:t>U.S. corporate tax</w:t>
      </w:r>
      <w:r>
        <w:t>: 21%</w:t>
      </w:r>
    </w:p>
    <w:p>
      <w:pPr>
        <w:pStyle w:val="ListBullet"/>
      </w:pPr>
      <w:r>
        <w:rPr>
          <w:b/>
        </w:rPr>
        <w:t>Long-term capital gains</w:t>
      </w:r>
      <w:r>
        <w:t>: 21% (same rate for corporations; no preferential rate)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Determine whether the transaction qualifies as a </w:t>
      </w:r>
      <w:r>
        <w:rPr>
          <w:b/>
        </w:rPr>
        <w:t>true sale</w:t>
      </w:r>
      <w:r>
        <w:t xml:space="preserve"> for tax purposes</w:t>
      </w:r>
    </w:p>
    <w:p>
      <w:pPr>
        <w:pStyle w:val="ListNumber"/>
      </w:pPr>
      <w:r>
        <w:t xml:space="preserve">Calculate the </w:t>
      </w:r>
      <w:r>
        <w:rPr>
          <w:b/>
        </w:rPr>
        <w:t>immediate tax impact</w:t>
      </w:r>
      <w:r>
        <w:t xml:space="preserve"> on TropicOil</w:t>
      </w:r>
    </w:p>
    <w:p>
      <w:pPr>
        <w:pStyle w:val="ListNumber"/>
      </w:pPr>
      <w:r>
        <w:t xml:space="preserve">Calculate the </w:t>
      </w:r>
      <w:r>
        <w:rPr>
          <w:b/>
        </w:rPr>
        <w:t>annual tax benefit</w:t>
      </w:r>
      <w:r>
        <w:t xml:space="preserve"> from rental deductions vs. retained ownership</w:t>
      </w:r>
    </w:p>
    <w:p>
      <w:pPr>
        <w:pStyle w:val="ListNumber"/>
      </w:pPr>
      <w:r>
        <w:t xml:space="preserve">Evaluate the </w:t>
      </w:r>
      <w:r>
        <w:rPr>
          <w:b/>
        </w:rPr>
        <w:t>net present value</w:t>
      </w:r>
      <w:r>
        <w:t xml:space="preserve"> of tax benefits (assume 8% discount rate)</w:t>
      </w:r>
    </w:p>
    <w:p>
      <w:pPr>
        <w:pStyle w:val="Heading3"/>
      </w:pPr>
      <w:r>
        <w:t>Analysis</w:t>
      </w:r>
    </w:p>
    <w:p>
      <w:r>
        <w:rPr>
          <w:b/>
        </w:rPr>
        <w:t>Step 1: True Sale Qualification</w:t>
      </w:r>
    </w:p>
    <w:p>
      <w:r>
        <w:rPr>
          <w:b/>
        </w:rPr>
        <w:t>IRS Factors Analysis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Supports Sale?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Legal title transfer</w:t>
            </w:r>
          </w:p>
        </w:tc>
        <w:tc>
          <w:tcPr>
            <w:tcW w:type="dxa" w:w="2880"/>
          </w:tcPr>
          <w:p>
            <w:r/>
            <w:r>
              <w:t>Full transfer to GasLease</w:t>
            </w:r>
          </w:p>
        </w:tc>
        <w:tc>
          <w:tcPr>
            <w:tcW w:type="dxa" w:w="2880"/>
          </w:tcPr>
          <w:p>
            <w:r/>
            <w:r>
              <w:t>✓ 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Benefits and burdens</w:t>
            </w:r>
          </w:p>
        </w:tc>
        <w:tc>
          <w:tcPr>
            <w:tcW w:type="dxa" w:w="2880"/>
          </w:tcPr>
          <w:p>
            <w:r/>
            <w:r>
              <w:t>GasLease bears residual value risk, major capital expenditures</w:t>
            </w:r>
          </w:p>
        </w:tc>
        <w:tc>
          <w:tcPr>
            <w:tcW w:type="dxa" w:w="2880"/>
          </w:tcPr>
          <w:p>
            <w:r/>
            <w:r>
              <w:t>✓ 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Seller's continuing involvement</w:t>
            </w:r>
          </w:p>
        </w:tc>
        <w:tc>
          <w:tcPr>
            <w:tcW w:type="dxa" w:w="2880"/>
          </w:tcPr>
          <w:p>
            <w:r/>
            <w:r>
              <w:t>TropicOil operates facility (typical for leaseback)</w:t>
            </w:r>
          </w:p>
        </w:tc>
        <w:tc>
          <w:tcPr>
            <w:tcW w:type="dxa" w:w="2880"/>
          </w:tcPr>
          <w:p>
            <w:r/>
            <w:r>
              <w:t>Neutral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Repurchase option</w:t>
            </w:r>
          </w:p>
        </w:tc>
        <w:tc>
          <w:tcPr>
            <w:tcW w:type="dxa" w:w="2880"/>
          </w:tcPr>
          <w:p>
            <w:r/>
            <w:r>
              <w:t xml:space="preserve">At </w:t>
            </w:r>
            <w:r>
              <w:rPr>
                <w:b/>
              </w:rPr>
              <w:t>FMV</w:t>
            </w:r>
            <w:r>
              <w:t xml:space="preserve"> (not fixed), optional</w:t>
            </w:r>
          </w:p>
        </w:tc>
        <w:tc>
          <w:tcPr>
            <w:tcW w:type="dxa" w:w="2880"/>
          </w:tcPr>
          <w:p>
            <w:r/>
            <w:r>
              <w:t>✓ 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Arm's length terms</w:t>
            </w:r>
          </w:p>
        </w:tc>
        <w:tc>
          <w:tcPr>
            <w:tcW w:type="dxa" w:w="2880"/>
          </w:tcPr>
          <w:p>
            <w:r/>
            <w:r>
              <w:t>Unrelated parties, negotiated terms</w:t>
            </w:r>
          </w:p>
        </w:tc>
        <w:tc>
          <w:tcPr>
            <w:tcW w:type="dxa" w:w="2880"/>
          </w:tcPr>
          <w:p>
            <w:r/>
            <w:r>
              <w:t>✓ 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Lease term</w:t>
            </w:r>
          </w:p>
        </w:tc>
        <w:tc>
          <w:tcPr>
            <w:tcW w:type="dxa" w:w="2880"/>
          </w:tcPr>
          <w:p>
            <w:r/>
            <w:r>
              <w:t>12 years (60% of 20-year useful life)</w:t>
            </w:r>
          </w:p>
        </w:tc>
        <w:tc>
          <w:tcPr>
            <w:tcW w:type="dxa" w:w="2880"/>
          </w:tcPr>
          <w:p>
            <w:r/>
            <w:r>
              <w:t>✓ Yes (not substantially all)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Business purpose</w:t>
            </w:r>
          </w:p>
        </w:tc>
        <w:tc>
          <w:tcPr>
            <w:tcW w:type="dxa" w:w="2880"/>
          </w:tcPr>
          <w:p>
            <w:r/>
            <w:r>
              <w:t>Genuine liquidity need (cash for drilling capex)</w:t>
            </w:r>
          </w:p>
        </w:tc>
        <w:tc>
          <w:tcPr>
            <w:tcW w:type="dxa" w:w="2880"/>
          </w:tcPr>
          <w:p>
            <w:r/>
            <w:r>
              <w:t>✓ Yes</w:t>
            </w:r>
          </w:p>
        </w:tc>
      </w:tr>
    </w:tbl>
    <w:p/>
    <w:p>
      <w:r>
        <w:rPr>
          <w:b/>
        </w:rPr>
        <w:t>Conclusion</w:t>
      </w:r>
      <w:r>
        <w:t xml:space="preserve">: The transaction </w:t>
      </w:r>
      <w:r>
        <w:rPr>
          <w:b/>
        </w:rPr>
        <w:t>qualifies as a true sale</w:t>
      </w:r>
      <w:r>
        <w:t xml:space="preserve"> for tax purposes:</w:t>
      </w:r>
    </w:p>
    <w:p>
      <w:pPr>
        <w:pStyle w:val="ListBullet"/>
      </w:pPr>
      <w:r>
        <w:t>Clear transfer of legal title and substantial risks</w:t>
      </w:r>
    </w:p>
    <w:p>
      <w:pPr>
        <w:pStyle w:val="ListBullet"/>
      </w:pPr>
      <w:r>
        <w:t>Repurchase option at FMV (not a financing disguise)</w:t>
      </w:r>
    </w:p>
    <w:p>
      <w:pPr>
        <w:pStyle w:val="ListBullet"/>
      </w:pPr>
      <w:r>
        <w:t>Lease term (60%) does not cover substantially all useful life</w:t>
      </w:r>
    </w:p>
    <w:p>
      <w:pPr>
        <w:pStyle w:val="ListBullet"/>
      </w:pPr>
      <w:r>
        <w:t>Genuine business purpose (TropicOil needs capital for drilling program)</w:t>
      </w:r>
    </w:p>
    <w:p>
      <w:r>
        <w:rPr>
          <w:b/>
        </w:rPr>
        <w:t>Step 2: Immediate Tax Impact</w:t>
      </w:r>
    </w:p>
    <w:p>
      <w:r>
        <w:rPr>
          <w:b/>
        </w:rPr>
        <w:t>Gain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Sale price = $180,000,000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Adjusted basis = $60,000,000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gain = $120,000,000</w:t>
      </w:r>
    </w:p>
    <w:p/>
    <w:p>
      <w:r>
        <w:rPr>
          <w:b/>
        </w:rPr>
        <w:t>Section 1245 Recapture Analysis</w:t>
      </w:r>
      <w:r>
        <w:t>:</w:t>
      </w:r>
    </w:p>
    <w:p>
      <w:r>
        <w:t xml:space="preserve">Processing facility is </w:t>
      </w:r>
      <w:r>
        <w:rPr>
          <w:b/>
        </w:rPr>
        <w:t>Section 1245 property</w:t>
      </w:r>
      <w:r>
        <w:t xml:space="preserve"> (depreciable tangible personal property). Accumulated depreciation is </w:t>
      </w:r>
      <w:r>
        <w:rPr>
          <w:b/>
        </w:rPr>
        <w:t>recaptured as ordinary income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1245 recapture (ordinary income) = MIN(Accumulated depreciation, Gain)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MIN($140M, $120M) =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 $120M gain is ordinary income (recapture)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gain = $0</w:t>
      </w:r>
    </w:p>
    <w:p/>
    <w:p>
      <w:r>
        <w:rPr>
          <w:b/>
        </w:rPr>
        <w:t>Tax on Gain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Ordinary income =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at 21% = $25,200,000</w:t>
      </w:r>
    </w:p>
    <w:p/>
    <w:p>
      <w:r>
        <w:rPr>
          <w:b/>
        </w:rPr>
        <w:t>After-Tax Cash Flow (Year 0)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Sale proceeds = $180,000,000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Tax on gain = $25,200,000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= $154,800,000</w:t>
      </w:r>
    </w:p>
    <w:p/>
    <w:p>
      <w:r>
        <w:rPr>
          <w:b/>
        </w:rPr>
        <w:t>Step 3: Annual Tax Benefit - Leaseback vs. Retained Ownership</w:t>
      </w:r>
    </w:p>
    <w:p>
      <w:r>
        <w:rPr>
          <w:b/>
        </w:rPr>
        <w:t>Scenario A: Sale and Leaseback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lease payment = $22,000,000 (fully deductible)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benefit = $22,000,000 × 21% = $4,620,000 per year</w:t>
      </w:r>
    </w:p>
    <w:p/>
    <w:p>
      <w:r>
        <w:rPr>
          <w:b/>
        </w:rPr>
        <w:t>Scenario B: Retained Ownership</w:t>
      </w:r>
    </w:p>
    <w:p>
      <w:r>
        <w:t xml:space="preserve">If TropicOil had </w:t>
      </w:r>
      <w:r>
        <w:rPr>
          <w:b/>
        </w:rPr>
        <w:t>retained ownership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depreciable basis = $60,000,000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useful life = 20 years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depreciation = $60,000,000 / 20 = $3,000,000 (straight-line)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benefit = $3,000,000 × 21% = $630,000 per year</w:t>
      </w:r>
    </w:p>
    <w:p/>
    <w:p>
      <w:r>
        <w:rPr>
          <w:b/>
        </w:rPr>
        <w:t>Incremental Annual Tax Benefit from Leaseback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Leaseback tax benefit = $4,620,000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Retained ownership tax benefit = $630,000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Incremental benefit = $3,990,000 per year (for 12 years)</w:t>
      </w:r>
    </w:p>
    <w:p/>
    <w:p>
      <w:r>
        <w:rPr>
          <w:b/>
        </w:rPr>
        <w:t>Step 4: Net Present Value Analysis</w:t>
      </w:r>
    </w:p>
    <w:p>
      <w:r>
        <w:rPr>
          <w:b/>
        </w:rPr>
        <w:t>Initial Tax Cost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tax on gain (Year 0) = $25,200,000</w:t>
      </w:r>
    </w:p>
    <w:p/>
    <w:p>
      <w:r>
        <w:rPr>
          <w:b/>
        </w:rPr>
        <w:t>Present Value of Incremental Tax Benefits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benefit = $3,990,000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Lease term = 12 years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Discount rate = 8%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factor (annuity, 12 years, 8%) = 7.536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incremental tax benefits = $3,990,000 × 7.536 = $30,069,000</w:t>
      </w:r>
    </w:p>
    <w:p/>
    <w:p>
      <w:r>
        <w:rPr>
          <w:b/>
        </w:rPr>
        <w:t>Net Tax Benefit (NPV)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incremental tax benefits = $30,069,000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PV of tax on gain = $25,200,000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NPV of tax benefits = $4,869,000</w:t>
      </w:r>
    </w:p>
    <w:p/>
    <w:p>
      <w:r>
        <w:rPr>
          <w:b/>
        </w:rPr>
        <w:t>Plus Cash Flow Benefit</w:t>
      </w:r>
      <w:r>
        <w:t>:</w:t>
      </w:r>
    </w:p>
    <w:p>
      <w:r>
        <w:t xml:space="preserve">The $154.8 million net cash received in Year 0 can be </w:t>
      </w:r>
      <w:r>
        <w:rPr>
          <w:b/>
        </w:rPr>
        <w:t>reinvested</w:t>
      </w:r>
      <w:r>
        <w:t xml:space="preserve"> in drilling projects with expected returns exceeding the 8% discount rate, generating additional value.</w:t>
      </w:r>
    </w:p>
    <w:p>
      <w:r>
        <w:rPr>
          <w:b/>
        </w:rPr>
        <w:t>Conclusion</w:t>
      </w:r>
      <w:r>
        <w:t xml:space="preserve">: The sale and leaseback is </w:t>
      </w:r>
      <w:r>
        <w:rPr>
          <w:b/>
        </w:rPr>
        <w:t>economically advantageous</w:t>
      </w:r>
      <w:r>
        <w:t xml:space="preserve"> from a tax perspective:</w:t>
      </w:r>
    </w:p>
    <w:p>
      <w:pPr>
        <w:pStyle w:val="ListBullet"/>
      </w:pPr>
      <w:r>
        <w:rPr>
          <w:b/>
        </w:rPr>
        <w:t>Net tax NPV</w:t>
      </w:r>
      <w:r>
        <w:t>: +$4.87 million</w:t>
      </w:r>
    </w:p>
    <w:p>
      <w:pPr>
        <w:pStyle w:val="ListBullet"/>
      </w:pPr>
      <w:r>
        <w:rPr>
          <w:b/>
        </w:rPr>
        <w:t>Immediate liquidity</w:t>
      </w:r>
      <w:r>
        <w:t>: $154.8 million to fund drilling program</w:t>
      </w:r>
    </w:p>
    <w:p>
      <w:pPr>
        <w:pStyle w:val="ListBullet"/>
      </w:pPr>
      <w:r>
        <w:rPr>
          <w:b/>
        </w:rPr>
        <w:t>Continued operational control</w:t>
      </w:r>
      <w:r>
        <w:t>: Through leaseback</w:t>
      </w:r>
    </w:p>
    <w:p>
      <w:pPr>
        <w:pStyle w:val="Heading3"/>
      </w:pPr>
      <w:r>
        <w:t>Recommendation</w:t>
      </w:r>
    </w:p>
    <w:p>
      <w:r>
        <w:rPr>
          <w:b/>
        </w:rPr>
        <w:t>Proceed with sale and leaseback</w:t>
      </w:r>
      <w:r>
        <w:t xml:space="preserve"> because:</w:t>
      </w:r>
    </w:p>
    <w:p>
      <w:pPr>
        <w:pStyle w:val="ListNumber"/>
      </w:pPr>
      <w:r>
        <w:rPr>
          <w:b/>
        </w:rPr>
        <w:t>Qualifies as true sale</w:t>
      </w:r>
      <w:r>
        <w:t>: Clear transfer of ownership and risks</w:t>
      </w:r>
    </w:p>
    <w:p>
      <w:pPr>
        <w:pStyle w:val="ListNumber"/>
      </w:pPr>
      <w:r>
        <w:rPr>
          <w:b/>
        </w:rPr>
        <w:t>Positive tax NPV</w:t>
      </w:r>
      <w:r>
        <w:t>: $4.87 million net benefit</w:t>
      </w:r>
    </w:p>
    <w:p>
      <w:pPr>
        <w:pStyle w:val="ListNumber"/>
      </w:pPr>
      <w:r>
        <w:rPr>
          <w:b/>
        </w:rPr>
        <w:t>Liquidity benefit</w:t>
      </w:r>
      <w:r>
        <w:t>: $154.8 million immediate cash for drilling capex</w:t>
      </w:r>
    </w:p>
    <w:p>
      <w:pPr>
        <w:pStyle w:val="ListNumber"/>
      </w:pPr>
      <w:r>
        <w:rPr>
          <w:b/>
        </w:rPr>
        <w:t>Operational continuity</w:t>
      </w:r>
      <w:r>
        <w:t>: 12-year leaseback ensures uninterrupted operations</w:t>
      </w:r>
    </w:p>
    <w:p>
      <w:pPr>
        <w:pStyle w:val="ListNumber"/>
      </w:pPr>
      <w:r>
        <w:rPr>
          <w:b/>
        </w:rPr>
        <w:t>Flexibility</w:t>
      </w:r>
      <w:r>
        <w:t>: Purchase option at FMV allows reacquisition if economically attractive</w:t>
      </w:r>
    </w:p>
    <w:p>
      <w:r>
        <w:rPr>
          <w:b/>
        </w:rPr>
        <w:t>Risk Considerations</w:t>
      </w:r>
      <w:r>
        <w:t>:</w:t>
      </w:r>
    </w:p>
    <w:p>
      <w:pPr>
        <w:pStyle w:val="ListBullet"/>
      </w:pPr>
      <w:r>
        <w:rPr>
          <w:b/>
        </w:rPr>
        <w:t>Lease payment escalation</w:t>
      </w:r>
      <w:r>
        <w:t>: If lease payments increase significantly in future years, may become burdensome</w:t>
      </w:r>
    </w:p>
    <w:p>
      <w:pPr>
        <w:pStyle w:val="ListBullet"/>
      </w:pPr>
      <w:r>
        <w:rPr>
          <w:b/>
        </w:rPr>
        <w:t>Market value risk</w:t>
      </w:r>
      <w:r>
        <w:t>: If facility value declines, TropicOil may not exercise repurchase option, losing long-term asset appreciation</w:t>
      </w:r>
    </w:p>
    <w:p>
      <w:pPr>
        <w:pStyle w:val="ListBullet"/>
      </w:pPr>
      <w:r>
        <w:rPr>
          <w:b/>
        </w:rPr>
        <w:t>Refinancing risk</w:t>
      </w:r>
      <w:r>
        <w:t>: At lease end (year 12), TropicOil must either repurchase or relocate operations</w:t>
      </w:r>
    </w:p>
    <w:p>
      <w:r>
        <w:rPr>
          <w:b/>
        </w:rPr>
        <w:t>Alternative</w:t>
      </w:r>
      <w:r>
        <w:t xml:space="preserve">: If TropicOil expects </w:t>
      </w:r>
      <w:r>
        <w:rPr>
          <w:b/>
        </w:rPr>
        <w:t>significant facility value appreciation</w:t>
      </w:r>
      <w:r>
        <w:t xml:space="preserve"> over 12 years and wants to retain that upside, </w:t>
      </w:r>
      <w:r>
        <w:rPr>
          <w:b/>
        </w:rPr>
        <w:t>debt financing</w:t>
      </w:r>
      <w:r>
        <w:t xml:space="preserve"> (mortgage loan) may be preferable to sale-leaseback, despite slightly higher annual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