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 Group leasing companies</w:t>
      </w:r>
    </w:p>
    <w:p>
      <w:pPr>
        <w:pStyle w:val="Heading1"/>
      </w:pPr>
      <w:r>
        <w:t>42. Group Leasing Companies</w:t>
      </w:r>
    </w:p>
    <w:p>
      <w:pPr>
        <w:pStyle w:val="Heading2"/>
      </w:pPr>
      <w:r>
        <w:t>Introduction</w:t>
      </w:r>
    </w:p>
    <w:p>
      <w:r>
        <w:t xml:space="preserve">Multinational oil and gas groups often establish </w:t>
      </w:r>
      <w:r>
        <w:rPr>
          <w:b/>
        </w:rPr>
        <w:t>dedicated leasing subsidiaries</w:t>
      </w:r>
      <w:r>
        <w:t xml:space="preserve"> to centralize ownership of high-value mobile equipment (drilling rigs, FPSOs, helicopters, seismic vessels) and lease these assets to operating entities within the group. This structure offers potential benefits including </w:t>
      </w:r>
      <w:r>
        <w:rPr>
          <w:b/>
        </w:rPr>
        <w:t>centralized asset management</w:t>
      </w:r>
      <w:r>
        <w:t xml:space="preserve">, </w:t>
      </w:r>
      <w:r>
        <w:rPr>
          <w:b/>
        </w:rPr>
        <w:t>treaty network access</w:t>
      </w:r>
      <w:r>
        <w:t xml:space="preserve">, </w:t>
      </w:r>
      <w:r>
        <w:rPr>
          <w:b/>
        </w:rPr>
        <w:t>VAT/customs optimization</w:t>
      </w:r>
      <w:r>
        <w:t xml:space="preserve">, and </w:t>
      </w:r>
      <w:r>
        <w:rPr>
          <w:b/>
        </w:rPr>
        <w:t>risk pooling</w:t>
      </w:r>
      <w:r>
        <w:t xml:space="preserve"> for financing.</w:t>
      </w:r>
    </w:p>
    <w:p>
      <w:r>
        <w:t xml:space="preserve">However, the tax treatment of </w:t>
      </w:r>
      <w:r>
        <w:rPr>
          <w:b/>
        </w:rPr>
        <w:t>related-party leases</w:t>
      </w:r>
      <w:r>
        <w:t xml:space="preserve"> is subject to intense scrutiny under </w:t>
      </w:r>
      <w:r>
        <w:rPr>
          <w:b/>
        </w:rPr>
        <w:t>transfer pricing rules</w:t>
      </w:r>
      <w:r>
        <w:t xml:space="preserve">, </w:t>
      </w:r>
      <w:r>
        <w:rPr>
          <w:b/>
        </w:rPr>
        <w:t>thin capitalization provisions</w:t>
      </w:r>
      <w:r>
        <w:t xml:space="preserve">, and </w:t>
      </w:r>
      <w:r>
        <w:rPr>
          <w:b/>
        </w:rPr>
        <w:t>anti-avoidance measures</w:t>
      </w:r>
      <w:r>
        <w:t xml:space="preserve">. Post-Base Erosion and Profit Shifting (BEPS), tax authorities focus on whether leasing subsidiaries have </w:t>
      </w:r>
      <w:r>
        <w:rPr>
          <w:b/>
        </w:rPr>
        <w:t>genuine economic substance</w:t>
      </w:r>
      <w:r>
        <w:t xml:space="preserve"> or are merely conduits for profit shifting.</w:t>
      </w:r>
    </w:p>
    <w:p>
      <w:pPr>
        <w:spacing w:before="120" w:after="120"/>
        <w:pBdr>
          <w:bottom w:val="single" w:sz="6" w:space="1" w:color="auto"/>
        </w:pBdr>
      </w:pPr>
    </w:p>
    <w:p>
      <w:pPr>
        <w:pStyle w:val="Heading2"/>
      </w:pPr>
      <w:r>
        <w:t>1. Rationale for Group Leasing Companies</w:t>
      </w:r>
    </w:p>
    <w:p>
      <w:pPr>
        <w:pStyle w:val="Heading3"/>
      </w:pPr>
      <w:r>
        <w:t>1.1 Centralized Asset Management</w:t>
      </w:r>
    </w:p>
    <w:p>
      <w:r>
        <w:rPr>
          <w:b/>
        </w:rPr>
        <w:t>Operational Efficiency</w:t>
      </w:r>
      <w:r>
        <w:t>: Single entity manages procurement, maintenance, deployment, and disposal of mobile assets across multiple operating jurisdictions.</w:t>
      </w:r>
    </w:p>
    <w:p>
      <w:r>
        <w:rPr>
          <w:b/>
        </w:rPr>
        <w:t>Economies of Scale</w:t>
      </w:r>
      <w:r>
        <w:t>: Bulk purchasing, standardized maintenance contracts, centralized technical expertise.</w:t>
      </w:r>
    </w:p>
    <w:p>
      <w:pPr>
        <w:pStyle w:val="Heading3"/>
      </w:pPr>
      <w:r>
        <w:t>1.2 Financing Optimization</w:t>
      </w:r>
    </w:p>
    <w:p>
      <w:r>
        <w:rPr>
          <w:b/>
        </w:rPr>
        <w:t>Capital Raising</w:t>
      </w:r>
      <w:r>
        <w:t>: Leasing subsidiary can raise debt secured by asset pool, often at lower cost than individual operating entities.</w:t>
      </w:r>
    </w:p>
    <w:p>
      <w:r>
        <w:rPr>
          <w:b/>
        </w:rPr>
        <w:t>Off-Balance Sheet</w:t>
      </w:r>
      <w:r>
        <w:t xml:space="preserve"> (Historical): Pre-International Financial Reporting Standards (IFRS) 16, operating leases allowed operating entities to keep assets off-balance sheet, improving financial ratios.</w:t>
      </w:r>
    </w:p>
    <w:p>
      <w:pPr>
        <w:pStyle w:val="Heading3"/>
      </w:pPr>
      <w:r>
        <w:t>1.3 Treaty Network Access</w:t>
      </w:r>
    </w:p>
    <w:p>
      <w:r>
        <w:rPr>
          <w:b/>
        </w:rPr>
        <w:t>Withholding Tax Optimization</w:t>
      </w:r>
      <w:r>
        <w:t>: Establishing leasing company in a jurisdiction with favorable treaty network can reduce withholding taxes on lease payments.</w:t>
      </w:r>
    </w:p>
    <w:p>
      <w:r>
        <w:rPr>
          <w:b/>
        </w:rPr>
        <w:t>Example</w:t>
      </w:r>
      <w:r>
        <w:t>: Netherlands leasing subsidiary benefits from:</w:t>
      </w:r>
    </w:p>
    <w:p>
      <w:pPr>
        <w:pStyle w:val="ListBullet"/>
      </w:pPr>
      <w:r>
        <w:rPr>
          <w:b/>
        </w:rPr>
        <w:t>0% WHT</w:t>
      </w:r>
      <w:r>
        <w:t xml:space="preserve"> under Netherlands treaties with Norway, UK (equipment excluded from Article 12)</w:t>
      </w:r>
    </w:p>
    <w:p>
      <w:pPr>
        <w:pStyle w:val="ListBullet"/>
      </w:pPr>
      <w:r>
        <w:rPr>
          <w:b/>
        </w:rPr>
        <w:t>Lower WHT rates</w:t>
      </w:r>
      <w:r>
        <w:t xml:space="preserve"> with various African and Asian countries</w:t>
      </w:r>
    </w:p>
    <w:p>
      <w:pPr>
        <w:pStyle w:val="Heading3"/>
      </w:pPr>
      <w:r>
        <w:t>1.4 VAT and Customs Optimization</w:t>
      </w:r>
    </w:p>
    <w:p>
      <w:r>
        <w:rPr>
          <w:b/>
        </w:rPr>
        <w:t>Cross-Border Equipment Movement</w:t>
      </w:r>
      <w:r>
        <w:t>: Leasing structure can facilitate temporary import/export of equipment with favorable customs treatment.</w:t>
      </w:r>
    </w:p>
    <w:p>
      <w:r>
        <w:rPr>
          <w:b/>
        </w:rPr>
        <w:t>VAT Efficiency</w:t>
      </w:r>
      <w:r>
        <w:t xml:space="preserve">: In EU, </w:t>
      </w:r>
      <w:r>
        <w:rPr>
          <w:b/>
        </w:rPr>
        <w:t>reverse charge mechanism</w:t>
      </w:r>
      <w:r>
        <w:t xml:space="preserve"> for B2B leasing reduces VAT cash flow burden.</w:t>
      </w:r>
    </w:p>
    <w:p>
      <w:pPr>
        <w:spacing w:before="120" w:after="120"/>
        <w:pBdr>
          <w:bottom w:val="single" w:sz="6" w:space="1" w:color="auto"/>
        </w:pBdr>
      </w:pPr>
    </w:p>
    <w:p>
      <w:pPr>
        <w:pStyle w:val="Heading2"/>
      </w:pPr>
      <w:r>
        <w:t>2. Tax Considerations and Risks</w:t>
      </w:r>
    </w:p>
    <w:p>
      <w:pPr>
        <w:pStyle w:val="Heading3"/>
      </w:pPr>
      <w:r>
        <w:t>2.1 Transfer Pricing</w:t>
      </w:r>
    </w:p>
    <w:p>
      <w:r>
        <w:rPr>
          <w:b/>
        </w:rPr>
        <w:t>Arm's Length Requirement</w:t>
      </w:r>
      <w:r>
        <w:t xml:space="preserve">: Lease payments between related parties must reflect </w:t>
      </w:r>
      <w:r>
        <w:rPr>
          <w:b/>
        </w:rPr>
        <w:t>arm's length rates</w:t>
      </w:r>
      <w:r>
        <w:t xml:space="preserve"> for comparable equipment in comparable circumstances.</w:t>
      </w:r>
    </w:p>
    <w:p>
      <w:r>
        <w:rPr>
          <w:b/>
        </w:rPr>
        <w:t>Documentation</w:t>
      </w:r>
      <w:r>
        <w:t>: Requires:</w:t>
      </w:r>
    </w:p>
    <w:p>
      <w:pPr>
        <w:pStyle w:val="ListBullet"/>
      </w:pPr>
      <w:r>
        <w:rPr>
          <w:b/>
        </w:rPr>
        <w:t>Functional analysis</w:t>
      </w:r>
      <w:r>
        <w:t>: Who bears risks (residual value, maintenance, obsolescence)?</w:t>
      </w:r>
    </w:p>
    <w:p>
      <w:pPr>
        <w:pStyle w:val="ListBullet"/>
      </w:pPr>
      <w:r>
        <w:rPr>
          <w:b/>
        </w:rPr>
        <w:t>Comparable analysis</w:t>
      </w:r>
      <w:r>
        <w:t>: Third-party lease rates for similar assets</w:t>
      </w:r>
    </w:p>
    <w:p>
      <w:pPr>
        <w:pStyle w:val="ListBullet"/>
      </w:pPr>
      <w:r>
        <w:rPr>
          <w:b/>
        </w:rPr>
        <w:t>Economic analysis</w:t>
      </w:r>
      <w:r>
        <w:t>: Application of Comparable Uncontrolled Price (CUP), Profit Split, or Transactional Net Margin Method (TNMM)</w:t>
      </w:r>
    </w:p>
    <w:p>
      <w:r>
        <w:rPr>
          <w:b/>
        </w:rPr>
        <w:t>Common Challenges</w:t>
      </w:r>
      <w:r>
        <w:t>:</w:t>
      </w:r>
    </w:p>
    <w:p>
      <w:pPr>
        <w:pStyle w:val="ListBullet"/>
      </w:pPr>
      <w:r>
        <w:rPr>
          <w:b/>
        </w:rPr>
        <w:t>Excessive lease rates</w:t>
      </w:r>
      <w:r>
        <w:t>: Operating entities deduct inflated lease payments, shifting profits to low-tax leasing company jurisdiction</w:t>
      </w:r>
    </w:p>
    <w:p>
      <w:pPr>
        <w:pStyle w:val="ListBullet"/>
      </w:pPr>
      <w:r>
        <w:rPr>
          <w:b/>
        </w:rPr>
        <w:t>Below-market rates</w:t>
      </w:r>
      <w:r>
        <w:t>: Profits retained in high-tax operating entities, but leasing company may be taxed on imputed income</w:t>
      </w:r>
    </w:p>
    <w:p>
      <w:pPr>
        <w:pStyle w:val="Heading3"/>
      </w:pPr>
      <w:r>
        <w:t>2.2 Thin Capitalization</w:t>
      </w:r>
    </w:p>
    <w:p>
      <w:r>
        <w:rPr>
          <w:b/>
        </w:rPr>
        <w:t>Issue</w:t>
      </w:r>
      <w:r>
        <w:t xml:space="preserve">: Leasing companies are typically </w:t>
      </w:r>
      <w:r>
        <w:rPr>
          <w:b/>
        </w:rPr>
        <w:t>asset-rich, equity-light</w:t>
      </w:r>
      <w:r>
        <w:t xml:space="preserve"> (high debt-to-equity ratios to finance equipment purchases).</w:t>
      </w:r>
    </w:p>
    <w:p>
      <w:r>
        <w:rPr>
          <w:b/>
        </w:rPr>
        <w:t>Thin Capitalization Rules</w:t>
      </w:r>
      <w:r>
        <w:t xml:space="preserve">: Limit </w:t>
      </w:r>
      <w:r>
        <w:rPr>
          <w:b/>
        </w:rPr>
        <w:t>interest deductibility</w:t>
      </w:r>
      <w:r>
        <w:t xml:space="preserve"> if debt-to-equity ratio exceeds thresholds (e.g., 3:1, 4:1).</w:t>
      </w:r>
    </w:p>
    <w:p>
      <w:r>
        <w:rPr>
          <w:b/>
        </w:rPr>
        <w:t>OECD BEPS Action 4</w:t>
      </w:r>
      <w:r>
        <w:t xml:space="preserve">: Interest limitation based on </w:t>
      </w:r>
      <w:r>
        <w:rPr>
          <w:b/>
        </w:rPr>
        <w:t>Earnings Before Interest, Taxes, Depreciation, and Amortization (EBITDA)</w:t>
      </w:r>
      <w:r>
        <w:t xml:space="preserve"> (typically 30% of tax EBITDA), replacing or supplementing traditional thin cap rules.</w:t>
      </w:r>
    </w:p>
    <w:p>
      <w:r>
        <w:rPr>
          <w:b/>
        </w:rPr>
        <w:t>Example</w:t>
      </w:r>
      <w:r>
        <w:t>:</w:t>
      </w:r>
    </w:p>
    <w:p>
      <w:pPr>
        <w:shd w:fill="F0F0F0"/>
        <w:spacing w:after="0" w:line="240" w:lineRule="auto"/>
      </w:pPr>
      <w:r>
        <w:rPr>
          <w:rFonts w:ascii="Courier New" w:hAnsi="Courier New"/>
          <w:sz w:val="20"/>
        </w:rPr>
        <w:t>Leasing subsidiary:</w:t>
      </w:r>
    </w:p>
    <w:p>
      <w:pPr>
        <w:shd w:fill="F0F0F0"/>
        <w:spacing w:after="0" w:line="240" w:lineRule="auto"/>
      </w:pPr>
      <w:r>
        <w:rPr>
          <w:rFonts w:ascii="Courier New" w:hAnsi="Courier New"/>
          <w:sz w:val="20"/>
        </w:rPr>
        <w:t>Assets (drilling rigs): $500M</w:t>
      </w:r>
    </w:p>
    <w:p>
      <w:pPr>
        <w:shd w:fill="F0F0F0"/>
        <w:spacing w:after="0" w:line="240" w:lineRule="auto"/>
      </w:pPr>
      <w:r>
        <w:rPr>
          <w:rFonts w:ascii="Courier New" w:hAnsi="Courier New"/>
          <w:sz w:val="20"/>
        </w:rPr>
        <w:t>Equity: $50M</w:t>
      </w:r>
    </w:p>
    <w:p>
      <w:pPr>
        <w:shd w:fill="F0F0F0"/>
        <w:spacing w:after="0" w:line="240" w:lineRule="auto"/>
      </w:pPr>
      <w:r>
        <w:rPr>
          <w:rFonts w:ascii="Courier New" w:hAnsi="Courier New"/>
          <w:sz w:val="20"/>
        </w:rPr>
        <w:t>Debt: $450M (debt-to-equity = 9:1)</w:t>
      </w:r>
    </w:p>
    <w:p>
      <w:pPr>
        <w:shd w:fill="F0F0F0"/>
        <w:spacing w:after="0" w:line="240" w:lineRule="auto"/>
      </w:pPr>
      <w:r>
        <w:rPr>
          <w:rFonts w:ascii="Courier New" w:hAnsi="Courier New"/>
          <w:sz w:val="20"/>
        </w:rPr>
        <w:t>Annual interest: $30M (6.67%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EBITDA: Lease income $80M - Operating expenses $20M = $60M</w:t>
      </w:r>
    </w:p>
    <w:p>
      <w:pPr>
        <w:shd w:fill="F0F0F0"/>
        <w:spacing w:after="0" w:line="240" w:lineRule="auto"/>
      </w:pPr>
      <w:r>
        <w:rPr>
          <w:rFonts w:ascii="Courier New" w:hAnsi="Courier New"/>
          <w:sz w:val="20"/>
        </w:rPr>
        <w:t>Interest deduction limit (30% EBITDA rule): $60M × 30% = $18M</w:t>
      </w:r>
    </w:p>
    <w:p>
      <w:pPr>
        <w:shd w:fill="F0F0F0"/>
        <w:spacing w:after="0" w:line="240" w:lineRule="auto"/>
      </w:pPr>
      <w:r>
        <w:rPr>
          <w:rFonts w:ascii="Courier New" w:hAnsi="Courier New"/>
          <w:sz w:val="20"/>
        </w:rPr>
        <w:t>Disallowed interest: $30M - $18M = $12M</w:t>
      </w:r>
    </w:p>
    <w:p/>
    <w:p>
      <w:pPr>
        <w:pStyle w:val="Heading3"/>
      </w:pPr>
      <w:r>
        <w:t>2.3 Substance Requirements</w:t>
      </w:r>
    </w:p>
    <w:p>
      <w:r>
        <w:rPr>
          <w:b/>
        </w:rPr>
        <w:t>Post-BEPS Scrutiny</w:t>
      </w:r>
      <w:r>
        <w:t xml:space="preserve">: Tax authorities examine whether leasing subsidiary has </w:t>
      </w:r>
      <w:r>
        <w:rPr>
          <w:b/>
        </w:rPr>
        <w:t>genuine economic activity</w:t>
      </w:r>
      <w:r>
        <w:t>:</w:t>
      </w:r>
    </w:p>
    <w:p>
      <w:pPr>
        <w:pStyle w:val="ListBullet"/>
      </w:pPr>
      <w:r>
        <w:rPr>
          <w:b/>
        </w:rPr>
        <w:t>Qualified personnel</w:t>
      </w:r>
      <w:r>
        <w:t>: Employees with asset management, procurement, and leasing expertise</w:t>
      </w:r>
    </w:p>
    <w:p>
      <w:pPr>
        <w:pStyle w:val="ListBullet"/>
      </w:pPr>
      <w:r>
        <w:rPr>
          <w:b/>
        </w:rPr>
        <w:t>Physical presence</w:t>
      </w:r>
      <w:r>
        <w:t>: Office space, equipment storage/maintenance facilities</w:t>
      </w:r>
    </w:p>
    <w:p>
      <w:pPr>
        <w:pStyle w:val="ListBullet"/>
      </w:pPr>
      <w:r>
        <w:rPr>
          <w:b/>
        </w:rPr>
        <w:t>Decision-making</w:t>
      </w:r>
      <w:r>
        <w:t>: Board meetings, lease negotiations, asset purchase decisions made locally</w:t>
      </w:r>
    </w:p>
    <w:p>
      <w:pPr>
        <w:pStyle w:val="ListBullet"/>
      </w:pPr>
      <w:r>
        <w:rPr>
          <w:b/>
        </w:rPr>
        <w:t>Operating expenses</w:t>
      </w:r>
      <w:r>
        <w:t>: Adequate costs incurred relative to income</w:t>
      </w:r>
    </w:p>
    <w:p>
      <w:r>
        <w:rPr>
          <w:b/>
        </w:rPr>
        <w:t>Red Flags</w:t>
      </w:r>
      <w:r>
        <w:t>:</w:t>
      </w:r>
    </w:p>
    <w:p>
      <w:pPr>
        <w:pStyle w:val="ListBullet"/>
      </w:pPr>
      <w:r>
        <w:t>All decisions made by parent company personnel</w:t>
      </w:r>
    </w:p>
    <w:p>
      <w:pPr>
        <w:pStyle w:val="ListBullet"/>
      </w:pPr>
      <w:r>
        <w:t>No employees (management outsourced to parent)</w:t>
      </w:r>
    </w:p>
    <w:p>
      <w:pPr>
        <w:pStyle w:val="ListBullet"/>
      </w:pPr>
      <w:r>
        <w:t>Minimal operating expenses (&lt; 3-5% of rental income)</w:t>
      </w:r>
    </w:p>
    <w:p>
      <w:pPr>
        <w:pStyle w:val="Heading3"/>
      </w:pPr>
      <w:r>
        <w:t>2.4 Controlled Foreign Corporation Rules</w:t>
      </w:r>
    </w:p>
    <w:p>
      <w:r>
        <w:t xml:space="preserve">If leasing subsidiary is in a </w:t>
      </w:r>
      <w:r>
        <w:rPr>
          <w:b/>
        </w:rPr>
        <w:t>low-tax jurisdiction</w:t>
      </w:r>
      <w:r>
        <w:t xml:space="preserve">, parent company may face </w:t>
      </w:r>
      <w:r>
        <w:rPr>
          <w:b/>
        </w:rPr>
        <w:t>Controlled Foreign Corporation (CFC) inclusion</w:t>
      </w:r>
      <w:r>
        <w:t xml:space="preserve"> (immediate taxation of subsidiary's passive income).</w:t>
      </w:r>
    </w:p>
    <w:p>
      <w:r>
        <w:rPr>
          <w:b/>
        </w:rPr>
        <w:t>Passive Income Classification</w:t>
      </w:r>
      <w:r>
        <w:t xml:space="preserve">: Equipment rental may be classified as </w:t>
      </w:r>
      <w:r>
        <w:rPr>
          <w:b/>
        </w:rPr>
        <w:t>passive income</w:t>
      </w:r>
      <w:r>
        <w:t xml:space="preserve"> under some CFC regimes (e.g., U.S. Subpart F), triggering immediate parent company taxation.</w:t>
      </w:r>
    </w:p>
    <w:p>
      <w:r>
        <w:rPr>
          <w:b/>
        </w:rPr>
        <w:t>Exception</w:t>
      </w:r>
      <w:r>
        <w:t xml:space="preserve">: If leasing subsidiary is </w:t>
      </w:r>
      <w:r>
        <w:rPr>
          <w:b/>
        </w:rPr>
        <w:t>actively engaged</w:t>
      </w:r>
      <w:r>
        <w:t xml:space="preserve"> in equipment leasing business with adequate substance, rental income may be </w:t>
      </w:r>
      <w:r>
        <w:rPr>
          <w:b/>
        </w:rPr>
        <w:t>active business income</w:t>
      </w:r>
      <w:r>
        <w:t>, exempt from CFC rules.</w:t>
      </w:r>
    </w:p>
    <w:p>
      <w:pPr>
        <w:spacing w:before="120" w:after="120"/>
        <w:pBdr>
          <w:bottom w:val="single" w:sz="6" w:space="1" w:color="auto"/>
        </w:pBdr>
      </w:pPr>
    </w:p>
    <w:p>
      <w:pPr>
        <w:pStyle w:val="Heading2"/>
      </w:pPr>
      <w:r>
        <w:t>3. Jurisdictional Considerations</w:t>
      </w:r>
    </w:p>
    <w:p>
      <w:pPr>
        <w:pStyle w:val="Heading3"/>
      </w:pPr>
      <w:r>
        <w:t>3.1 Favorable Leasing Jurisdictions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Jurisdiction</w:t>
            </w:r>
          </w:p>
        </w:tc>
        <w:tc>
          <w:tcPr>
            <w:tcW w:type="dxa" w:w="1728"/>
          </w:tcPr>
          <w:p>
            <w:r>
              <w:rPr>
                <w:b/>
              </w:rPr>
            </w:r>
            <w:r>
              <w:rPr>
                <w:b/>
              </w:rPr>
              <w:t>Corporate Tax Rate</w:t>
            </w:r>
          </w:p>
        </w:tc>
        <w:tc>
          <w:tcPr>
            <w:tcW w:type="dxa" w:w="1728"/>
          </w:tcPr>
          <w:p>
            <w:r>
              <w:rPr>
                <w:b/>
              </w:rPr>
            </w:r>
            <w:r>
              <w:rPr>
                <w:b/>
              </w:rPr>
              <w:t>Treaty Network</w:t>
            </w:r>
          </w:p>
        </w:tc>
        <w:tc>
          <w:tcPr>
            <w:tcW w:type="dxa" w:w="1728"/>
          </w:tcPr>
          <w:p>
            <w:r>
              <w:rPr>
                <w:b/>
              </w:rPr>
            </w:r>
            <w:r>
              <w:rPr>
                <w:b/>
              </w:rPr>
              <w:t>Substance Requirements</w:t>
            </w:r>
          </w:p>
        </w:tc>
        <w:tc>
          <w:tcPr>
            <w:tcW w:type="dxa" w:w="1728"/>
          </w:tcPr>
          <w:p>
            <w:r>
              <w:rPr>
                <w:b/>
              </w:rPr>
            </w:r>
            <w:r>
              <w:rPr>
                <w:b/>
              </w:rPr>
              <w:t>Key Features</w:t>
            </w:r>
          </w:p>
        </w:tc>
      </w:tr>
      <w:tr>
        <w:tc>
          <w:tcPr>
            <w:tcW w:type="dxa" w:w="1728"/>
          </w:tcPr>
          <w:p>
            <w:r/>
            <w:r>
              <w:rPr>
                <w:b/>
              </w:rPr>
              <w:t>Ireland</w:t>
            </w:r>
          </w:p>
        </w:tc>
        <w:tc>
          <w:tcPr>
            <w:tcW w:type="dxa" w:w="1728"/>
          </w:tcPr>
          <w:p>
            <w:r/>
            <w:r>
              <w:t>12.5%</w:t>
            </w:r>
          </w:p>
        </w:tc>
        <w:tc>
          <w:tcPr>
            <w:tcW w:type="dxa" w:w="1728"/>
          </w:tcPr>
          <w:p>
            <w:r/>
            <w:r>
              <w:t>Extensive</w:t>
            </w:r>
          </w:p>
        </w:tc>
        <w:tc>
          <w:tcPr>
            <w:tcW w:type="dxa" w:w="1728"/>
          </w:tcPr>
          <w:p>
            <w:r/>
            <w:r>
              <w:t>Moderate</w:t>
            </w:r>
          </w:p>
        </w:tc>
        <w:tc>
          <w:tcPr>
            <w:tcW w:type="dxa" w:w="1728"/>
          </w:tcPr>
          <w:p>
            <w:r/>
            <w:r>
              <w:t>EU access, skilled workforce</w:t>
            </w:r>
          </w:p>
        </w:tc>
      </w:tr>
      <w:tr>
        <w:tc>
          <w:tcPr>
            <w:tcW w:type="dxa" w:w="1728"/>
          </w:tcPr>
          <w:p>
            <w:r/>
            <w:r>
              <w:rPr>
                <w:b/>
              </w:rPr>
              <w:t>Singapore</w:t>
            </w:r>
          </w:p>
        </w:tc>
        <w:tc>
          <w:tcPr>
            <w:tcW w:type="dxa" w:w="1728"/>
          </w:tcPr>
          <w:p>
            <w:r/>
            <w:r>
              <w:t>17%</w:t>
            </w:r>
          </w:p>
        </w:tc>
        <w:tc>
          <w:tcPr>
            <w:tcW w:type="dxa" w:w="1728"/>
          </w:tcPr>
          <w:p>
            <w:r/>
            <w:r>
              <w:t>Extensive (Asia focus)</w:t>
            </w:r>
          </w:p>
        </w:tc>
        <w:tc>
          <w:tcPr>
            <w:tcW w:type="dxa" w:w="1728"/>
          </w:tcPr>
          <w:p>
            <w:r/>
            <w:r>
              <w:t>Moderate</w:t>
            </w:r>
          </w:p>
        </w:tc>
        <w:tc>
          <w:tcPr>
            <w:tcW w:type="dxa" w:w="1728"/>
          </w:tcPr>
          <w:p>
            <w:r/>
            <w:r>
              <w:t>Strategic location for Asian operations</w:t>
            </w:r>
          </w:p>
        </w:tc>
      </w:tr>
      <w:tr>
        <w:tc>
          <w:tcPr>
            <w:tcW w:type="dxa" w:w="1728"/>
          </w:tcPr>
          <w:p>
            <w:r/>
            <w:r>
              <w:rPr>
                <w:b/>
              </w:rPr>
              <w:t>Netherlands</w:t>
            </w:r>
          </w:p>
        </w:tc>
        <w:tc>
          <w:tcPr>
            <w:tcW w:type="dxa" w:w="1728"/>
          </w:tcPr>
          <w:p>
            <w:r/>
            <w:r>
              <w:t>25.8%</w:t>
            </w:r>
          </w:p>
        </w:tc>
        <w:tc>
          <w:tcPr>
            <w:tcW w:type="dxa" w:w="1728"/>
          </w:tcPr>
          <w:p>
            <w:r/>
            <w:r>
              <w:t>Extensive (global)</w:t>
            </w:r>
          </w:p>
        </w:tc>
        <w:tc>
          <w:tcPr>
            <w:tcW w:type="dxa" w:w="1728"/>
          </w:tcPr>
          <w:p>
            <w:r/>
            <w:r>
              <w:t>High</w:t>
            </w:r>
          </w:p>
        </w:tc>
        <w:tc>
          <w:tcPr>
            <w:tcW w:type="dxa" w:w="1728"/>
          </w:tcPr>
          <w:p>
            <w:r/>
            <w:r>
              <w:t>Strong legal framework, EU benefits</w:t>
            </w:r>
          </w:p>
        </w:tc>
      </w:tr>
      <w:tr>
        <w:tc>
          <w:tcPr>
            <w:tcW w:type="dxa" w:w="1728"/>
          </w:tcPr>
          <w:p>
            <w:r/>
            <w:r>
              <w:rPr>
                <w:b/>
              </w:rPr>
              <w:t>Luxembourg</w:t>
            </w:r>
          </w:p>
        </w:tc>
        <w:tc>
          <w:tcPr>
            <w:tcW w:type="dxa" w:w="1728"/>
          </w:tcPr>
          <w:p>
            <w:r/>
            <w:r>
              <w:t>24.94%</w:t>
            </w:r>
          </w:p>
        </w:tc>
        <w:tc>
          <w:tcPr>
            <w:tcW w:type="dxa" w:w="1728"/>
          </w:tcPr>
          <w:p>
            <w:r/>
            <w:r>
              <w:t>Extensive</w:t>
            </w:r>
          </w:p>
        </w:tc>
        <w:tc>
          <w:tcPr>
            <w:tcW w:type="dxa" w:w="1728"/>
          </w:tcPr>
          <w:p>
            <w:r/>
            <w:r>
              <w:t>Moderate-High</w:t>
            </w:r>
          </w:p>
        </w:tc>
        <w:tc>
          <w:tcPr>
            <w:tcW w:type="dxa" w:w="1728"/>
          </w:tcPr>
          <w:p>
            <w:r/>
            <w:r>
              <w:t>Established leasing industry</w:t>
            </w:r>
          </w:p>
        </w:tc>
      </w:tr>
      <w:tr>
        <w:tc>
          <w:tcPr>
            <w:tcW w:type="dxa" w:w="1728"/>
          </w:tcPr>
          <w:p>
            <w:r/>
            <w:r>
              <w:rPr>
                <w:b/>
              </w:rPr>
              <w:t>Cyprus</w:t>
            </w:r>
          </w:p>
        </w:tc>
        <w:tc>
          <w:tcPr>
            <w:tcW w:type="dxa" w:w="1728"/>
          </w:tcPr>
          <w:p>
            <w:r/>
            <w:r>
              <w:t>12.5%</w:t>
            </w:r>
          </w:p>
        </w:tc>
        <w:tc>
          <w:tcPr>
            <w:tcW w:type="dxa" w:w="1728"/>
          </w:tcPr>
          <w:p>
            <w:r/>
            <w:r>
              <w:t>Good (EU, Middle East)</w:t>
            </w:r>
          </w:p>
        </w:tc>
        <w:tc>
          <w:tcPr>
            <w:tcW w:type="dxa" w:w="1728"/>
          </w:tcPr>
          <w:p>
            <w:r/>
            <w:r>
              <w:t>Moderate</w:t>
            </w:r>
          </w:p>
        </w:tc>
        <w:tc>
          <w:tcPr>
            <w:tcW w:type="dxa" w:w="1728"/>
          </w:tcPr>
          <w:p>
            <w:r/>
            <w:r>
              <w:t>Low tonnage tax for vessels/rigs</w:t>
            </w:r>
          </w:p>
        </w:tc>
      </w:tr>
    </w:tbl>
    <w:p/>
    <w:p>
      <w:pPr>
        <w:pStyle w:val="Heading3"/>
      </w:pPr>
      <w:r>
        <w:t>3.2 Tonnage Tax Regimes</w:t>
      </w:r>
    </w:p>
    <w:p>
      <w:r>
        <w:t xml:space="preserve">Several jurisdictions offer </w:t>
      </w:r>
      <w:r>
        <w:rPr>
          <w:b/>
        </w:rPr>
        <w:t>tonnage tax regimes</w:t>
      </w:r>
      <w:r>
        <w:t xml:space="preserve"> for qualifying vessels/rigs, taxing based on </w:t>
      </w:r>
      <w:r>
        <w:rPr>
          <w:b/>
        </w:rPr>
        <w:t>net tonnage</w:t>
      </w:r>
      <w:r>
        <w:t xml:space="preserve"> rather than profits:</w:t>
      </w:r>
    </w:p>
    <w:p>
      <w:r>
        <w:rPr>
          <w:b/>
        </w:rPr>
        <w:t>Example - Cyprus Tonnage Tax</w:t>
      </w:r>
      <w:r>
        <w:t>:</w:t>
      </w:r>
    </w:p>
    <w:p>
      <w:pPr>
        <w:pStyle w:val="ListBullet"/>
      </w:pPr>
      <w:r>
        <w:t>Applies to vessels engaged in international maritime transport</w:t>
      </w:r>
    </w:p>
    <w:p>
      <w:pPr>
        <w:pStyle w:val="ListBullet"/>
      </w:pPr>
      <w:r>
        <w:t xml:space="preserve">Effective rate: </w:t>
      </w:r>
      <w:r>
        <w:rPr>
          <w:b/>
        </w:rPr>
        <w:t>~1-3%</w:t>
      </w:r>
      <w:r>
        <w:t xml:space="preserve"> of gross revenue (compared to 12.5% standard corporate rate)</w:t>
      </w:r>
    </w:p>
    <w:p>
      <w:pPr>
        <w:pStyle w:val="ListBullet"/>
      </w:pPr>
      <w:r>
        <w:rPr>
          <w:b/>
        </w:rPr>
        <w:t>Qualifying assets</w:t>
      </w:r>
      <w:r>
        <w:t>: Ships, rigs, FPSOs (if meet criteria)</w:t>
      </w:r>
    </w:p>
    <w:p>
      <w:r>
        <w:rPr>
          <w:b/>
        </w:rPr>
        <w:t>U.K. Tonnage Tax</w:t>
      </w:r>
      <w:r>
        <w:t>: Similar structure, effective rate ~1% of market value annually.</w:t>
      </w:r>
    </w:p>
    <w:p>
      <w:pPr>
        <w:spacing w:before="120" w:after="120"/>
        <w:pBdr>
          <w:bottom w:val="single" w:sz="6" w:space="1" w:color="auto"/>
        </w:pBdr>
      </w:pPr>
    </w:p>
    <w:p>
      <w:pPr>
        <w:pStyle w:val="Heading2"/>
      </w:pPr>
      <w:r>
        <w:t>4. Structuring Best Practices</w:t>
      </w:r>
    </w:p>
    <w:p>
      <w:pPr>
        <w:pStyle w:val="Heading3"/>
      </w:pPr>
      <w:r>
        <w:t>4.1 Align with Commercial Substance</w:t>
      </w:r>
    </w:p>
    <w:p>
      <w:r>
        <w:rPr>
          <w:b/>
        </w:rPr>
        <w:t>Principle</w:t>
      </w:r>
      <w:r>
        <w:t xml:space="preserve">: Legal ownership should reside where </w:t>
      </w:r>
      <w:r>
        <w:rPr>
          <w:b/>
        </w:rPr>
        <w:t>genuine management and control</w:t>
      </w:r>
      <w:r>
        <w:t xml:space="preserve"> occurs.</w:t>
      </w:r>
    </w:p>
    <w:p>
      <w:r>
        <w:rPr>
          <w:b/>
        </w:rPr>
        <w:t>Best Practice</w:t>
      </w:r>
      <w:r>
        <w:t>:</w:t>
      </w:r>
    </w:p>
    <w:p>
      <w:pPr>
        <w:pStyle w:val="ListBullet"/>
      </w:pPr>
      <w:r>
        <w:t xml:space="preserve">Deploy </w:t>
      </w:r>
      <w:r>
        <w:rPr>
          <w:b/>
        </w:rPr>
        <w:t>experienced personnel</w:t>
      </w:r>
      <w:r>
        <w:t xml:space="preserve"> in leasing subsidiary jurisdiction</w:t>
      </w:r>
    </w:p>
    <w:p>
      <w:pPr>
        <w:pStyle w:val="ListBullet"/>
      </w:pPr>
      <w:r>
        <w:t xml:space="preserve">Conduct </w:t>
      </w:r>
      <w:r>
        <w:rPr>
          <w:b/>
        </w:rPr>
        <w:t>board meetings</w:t>
      </w:r>
      <w:r>
        <w:t xml:space="preserve"> locally with documented strategic decisions</w:t>
      </w:r>
    </w:p>
    <w:p>
      <w:pPr>
        <w:pStyle w:val="ListBullet"/>
      </w:pPr>
      <w:r>
        <w:t xml:space="preserve">Negotiate </w:t>
      </w:r>
      <w:r>
        <w:rPr>
          <w:b/>
        </w:rPr>
        <w:t>lease contracts</w:t>
      </w:r>
      <w:r>
        <w:t xml:space="preserve"> through leasing subsidiary personnel</w:t>
      </w:r>
    </w:p>
    <w:p>
      <w:pPr>
        <w:pStyle w:val="ListBullet"/>
      </w:pPr>
      <w:r>
        <w:t xml:space="preserve">Manage </w:t>
      </w:r>
      <w:r>
        <w:rPr>
          <w:b/>
        </w:rPr>
        <w:t>asset procurement, maintenance, and disposal</w:t>
      </w:r>
      <w:r>
        <w:t xml:space="preserve"> locally</w:t>
      </w:r>
    </w:p>
    <w:p>
      <w:pPr>
        <w:pStyle w:val="Heading3"/>
      </w:pPr>
      <w:r>
        <w:t>4.2 Arm's Length Pricing</w:t>
      </w:r>
    </w:p>
    <w:p>
      <w:r>
        <w:rPr>
          <w:b/>
        </w:rPr>
        <w:t>Benchmark Lease Rates</w:t>
      </w:r>
      <w:r>
        <w:t xml:space="preserve">: Use </w:t>
      </w:r>
      <w:r>
        <w:rPr>
          <w:b/>
        </w:rPr>
        <w:t>external CUP</w:t>
      </w:r>
      <w:r>
        <w:t xml:space="preserve"> (comparable third-party leases) to establish arm's length rates.</w:t>
      </w:r>
    </w:p>
    <w:p>
      <w:r>
        <w:rPr>
          <w:b/>
        </w:rPr>
        <w:t>Adjust for Differences</w:t>
      </w:r>
      <w:r>
        <w:t>:</w:t>
      </w:r>
    </w:p>
    <w:p>
      <w:pPr>
        <w:pStyle w:val="ListBullet"/>
      </w:pPr>
      <w:r>
        <w:t>Asset age and specifications</w:t>
      </w:r>
    </w:p>
    <w:p>
      <w:pPr>
        <w:pStyle w:val="ListBullet"/>
      </w:pPr>
      <w:r>
        <w:t>Lease term and flexibility</w:t>
      </w:r>
    </w:p>
    <w:p>
      <w:pPr>
        <w:pStyle w:val="ListBullet"/>
      </w:pPr>
      <w:r>
        <w:t>Geographic market conditions</w:t>
      </w:r>
    </w:p>
    <w:p>
      <w:pPr>
        <w:pStyle w:val="ListBullet"/>
      </w:pPr>
      <w:r>
        <w:t>Additional services (crewed vs. bareboat)</w:t>
      </w:r>
    </w:p>
    <w:p>
      <w:r>
        <w:rPr>
          <w:b/>
        </w:rPr>
        <w:t>Document Contemporaneously</w:t>
      </w:r>
      <w:r>
        <w:t>: Prepare TP documentation at time of transaction, not after audit challenge.</w:t>
      </w:r>
    </w:p>
    <w:p>
      <w:pPr>
        <w:pStyle w:val="Heading3"/>
      </w:pPr>
      <w:r>
        <w:t>4.3 Adequate Equity Capitalization</w:t>
      </w:r>
    </w:p>
    <w:p>
      <w:r>
        <w:rPr>
          <w:b/>
        </w:rPr>
        <w:t>Avoid Excessive Leverage</w:t>
      </w:r>
      <w:r>
        <w:t>: Maintain debt-to-equity ratio within acceptable range (typically 3:1 to 5:1, depending on jurisdiction).</w:t>
      </w:r>
    </w:p>
    <w:p>
      <w:r>
        <w:rPr>
          <w:b/>
        </w:rPr>
        <w:t>Equity Funding</w:t>
      </w:r>
      <w:r>
        <w:t>: Parent company provides adequate equity capital to demonstrate genuine investment and risk.</w:t>
      </w:r>
    </w:p>
    <w:p>
      <w:r>
        <w:rPr>
          <w:b/>
        </w:rPr>
        <w:t>Interest Rates</w:t>
      </w:r>
      <w:r>
        <w:t xml:space="preserve">: Intercompany debt should bear </w:t>
      </w:r>
      <w:r>
        <w:rPr>
          <w:b/>
        </w:rPr>
        <w:t>arm's length interest rates</w:t>
      </w:r>
      <w:r>
        <w:t xml:space="preserve"> (benchmark against external borrowing rates for comparable credit risk).</w:t>
      </w:r>
    </w:p>
    <w:p>
      <w:pPr>
        <w:spacing w:before="120" w:after="120"/>
        <w:pBdr>
          <w:bottom w:val="single" w:sz="6" w:space="1" w:color="auto"/>
        </w:pBdr>
      </w:pPr>
    </w:p>
    <w:p>
      <w:pPr>
        <w:pStyle w:val="Heading2"/>
      </w:pPr>
      <w:r>
        <w:t>WORKED EXAMPLE: Group Leasing Company - Tax Efficiency Analysis</w:t>
      </w:r>
    </w:p>
    <w:p>
      <w:pPr>
        <w:pStyle w:val="Heading3"/>
      </w:pPr>
      <w:r>
        <w:t>Facts</w:t>
      </w:r>
    </w:p>
    <w:p>
      <w:r>
        <w:rPr>
          <w:b/>
        </w:rPr>
        <w:t>NorthernEnergy ASA</w:t>
      </w:r>
      <w:r>
        <w:t xml:space="preserve">, a Norwegian integrated oil company, operates in </w:t>
      </w:r>
      <w:r>
        <w:rPr>
          <w:b/>
        </w:rPr>
        <w:t>Norway</w:t>
      </w:r>
      <w:r>
        <w:t xml:space="preserve">, </w:t>
      </w:r>
      <w:r>
        <w:rPr>
          <w:b/>
        </w:rPr>
        <w:t>UK</w:t>
      </w:r>
      <w:r>
        <w:t xml:space="preserve">, and </w:t>
      </w:r>
      <w:r>
        <w:rPr>
          <w:b/>
        </w:rPr>
        <w:t>Angola</w:t>
      </w:r>
      <w:r>
        <w:t xml:space="preserve">. The group owns </w:t>
      </w:r>
      <w:r>
        <w:rPr>
          <w:b/>
        </w:rPr>
        <w:t>$800 million</w:t>
      </w:r>
      <w:r>
        <w:t xml:space="preserve"> of mobile equipment:</w:t>
      </w:r>
    </w:p>
    <w:p>
      <w:pPr>
        <w:pStyle w:val="ListBullet"/>
      </w:pPr>
      <w:r>
        <w:t>2 jack-up drilling rigs: $500 million</w:t>
      </w:r>
    </w:p>
    <w:p>
      <w:pPr>
        <w:pStyle w:val="ListBullet"/>
      </w:pPr>
      <w:r>
        <w:t>1 FPSO: $250 million</w:t>
      </w:r>
    </w:p>
    <w:p>
      <w:pPr>
        <w:pStyle w:val="ListBullet"/>
      </w:pPr>
      <w:r>
        <w:t>Helicopters and support vessels: $50 million</w:t>
      </w:r>
    </w:p>
    <w:p>
      <w:r>
        <w:rPr>
          <w:b/>
        </w:rPr>
        <w:t>Current Structure</w:t>
      </w:r>
      <w:r>
        <w:t>: Each operating entity owns its assets and depreciates them locally.</w:t>
      </w:r>
    </w:p>
    <w:p>
      <w:r>
        <w:rPr>
          <w:b/>
        </w:rPr>
        <w:t>Proposed Structure</w:t>
      </w:r>
      <w:r>
        <w:t xml:space="preserve">: Establish </w:t>
      </w:r>
      <w:r>
        <w:rPr>
          <w:b/>
        </w:rPr>
        <w:t>NorthernLease B.V.</w:t>
      </w:r>
      <w:r>
        <w:t xml:space="preserve"> (Netherlands) to:</w:t>
      </w:r>
    </w:p>
    <w:p>
      <w:pPr>
        <w:pStyle w:val="ListBullet"/>
      </w:pPr>
      <w:r>
        <w:t>Own all mobile equipment</w:t>
      </w:r>
    </w:p>
    <w:p>
      <w:pPr>
        <w:pStyle w:val="ListBullet"/>
      </w:pPr>
      <w:r>
        <w:t>Lease equipment to operating entities</w:t>
      </w:r>
    </w:p>
    <w:p>
      <w:pPr>
        <w:pStyle w:val="ListBullet"/>
      </w:pPr>
      <w:r>
        <w:t>Benefit from Netherlands' favorable treaty network</w:t>
      </w:r>
    </w:p>
    <w:p>
      <w:r>
        <w:rPr>
          <w:b/>
        </w:rPr>
        <w:t>Annual Lease Rates</w:t>
      </w:r>
      <w:r>
        <w:t xml:space="preserve"> (arm's length):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Asset</w:t>
            </w:r>
          </w:p>
        </w:tc>
        <w:tc>
          <w:tcPr>
            <w:tcW w:type="dxa" w:w="2880"/>
          </w:tcPr>
          <w:p>
            <w:r>
              <w:rPr>
                <w:b/>
              </w:rPr>
            </w:r>
            <w:r>
              <w:rPr>
                <w:b/>
              </w:rPr>
              <w:t>Lessee</w:t>
            </w:r>
          </w:p>
        </w:tc>
        <w:tc>
          <w:tcPr>
            <w:tcW w:type="dxa" w:w="2880"/>
          </w:tcPr>
          <w:p>
            <w:r>
              <w:rPr>
                <w:b/>
              </w:rPr>
            </w:r>
            <w:r>
              <w:rPr>
                <w:b/>
              </w:rPr>
              <w:t>Annual Lease Payment</w:t>
            </w:r>
          </w:p>
        </w:tc>
      </w:tr>
      <w:tr>
        <w:tc>
          <w:tcPr>
            <w:tcW w:type="dxa" w:w="2880"/>
          </w:tcPr>
          <w:p>
            <w:r/>
            <w:r>
              <w:t>Jack-up Rig 1</w:t>
            </w:r>
          </w:p>
        </w:tc>
        <w:tc>
          <w:tcPr>
            <w:tcW w:type="dxa" w:w="2880"/>
          </w:tcPr>
          <w:p>
            <w:r/>
            <w:r>
              <w:t>NorthernEnergy Norge</w:t>
            </w:r>
          </w:p>
        </w:tc>
        <w:tc>
          <w:tcPr>
            <w:tcW w:type="dxa" w:w="2880"/>
          </w:tcPr>
          <w:p>
            <w:r/>
            <w:r>
              <w:t>$60M</w:t>
            </w:r>
          </w:p>
        </w:tc>
      </w:tr>
      <w:tr>
        <w:tc>
          <w:tcPr>
            <w:tcW w:type="dxa" w:w="2880"/>
          </w:tcPr>
          <w:p>
            <w:r/>
            <w:r>
              <w:t>Jack-up Rig 2</w:t>
            </w:r>
          </w:p>
        </w:tc>
        <w:tc>
          <w:tcPr>
            <w:tcW w:type="dxa" w:w="2880"/>
          </w:tcPr>
          <w:p>
            <w:r/>
            <w:r>
              <w:t>NorthernEnergy Angola</w:t>
            </w:r>
          </w:p>
        </w:tc>
        <w:tc>
          <w:tcPr>
            <w:tcW w:type="dxa" w:w="2880"/>
          </w:tcPr>
          <w:p>
            <w:r/>
            <w:r>
              <w:t>$55M</w:t>
            </w:r>
          </w:p>
        </w:tc>
      </w:tr>
      <w:tr>
        <w:tc>
          <w:tcPr>
            <w:tcW w:type="dxa" w:w="2880"/>
          </w:tcPr>
          <w:p>
            <w:r/>
            <w:r>
              <w:t>FPSO</w:t>
            </w:r>
          </w:p>
        </w:tc>
        <w:tc>
          <w:tcPr>
            <w:tcW w:type="dxa" w:w="2880"/>
          </w:tcPr>
          <w:p>
            <w:r/>
            <w:r>
              <w:t>NorthernEnergy UK</w:t>
            </w:r>
          </w:p>
        </w:tc>
        <w:tc>
          <w:tcPr>
            <w:tcW w:type="dxa" w:w="2880"/>
          </w:tcPr>
          <w:p>
            <w:r/>
            <w:r>
              <w:t>$35M</w:t>
            </w:r>
          </w:p>
        </w:tc>
      </w:tr>
      <w:tr>
        <w:tc>
          <w:tcPr>
            <w:tcW w:type="dxa" w:w="2880"/>
          </w:tcPr>
          <w:p>
            <w:r/>
            <w:r>
              <w:t>Helicopters</w:t>
            </w:r>
          </w:p>
        </w:tc>
        <w:tc>
          <w:tcPr>
            <w:tcW w:type="dxa" w:w="2880"/>
          </w:tcPr>
          <w:p>
            <w:r/>
            <w:r>
              <w:t>Various entities</w:t>
            </w:r>
          </w:p>
        </w:tc>
        <w:tc>
          <w:tcPr>
            <w:tcW w:type="dxa" w:w="2880"/>
          </w:tcPr>
          <w:p>
            <w:r/>
            <w:r>
              <w:t>$8M</w:t>
            </w:r>
          </w:p>
        </w:tc>
      </w:tr>
      <w:tr>
        <w:tc>
          <w:tcPr>
            <w:tcW w:type="dxa" w:w="2880"/>
          </w:tcPr>
          <w:p>
            <w:r/>
            <w:r>
              <w:rPr>
                <w:b/>
              </w:rPr>
              <w:t>Total</w:t>
            </w:r>
          </w:p>
        </w:tc>
        <w:tc>
          <w:tcPr>
            <w:tcW w:type="dxa" w:w="2880"/>
          </w:tcPr>
          <w:p>
            <w:r/>
          </w:p>
        </w:tc>
        <w:tc>
          <w:tcPr>
            <w:tcW w:type="dxa" w:w="2880"/>
          </w:tcPr>
          <w:p>
            <w:r/>
            <w:r>
              <w:rPr>
                <w:b/>
              </w:rPr>
              <w:t>$158M</w:t>
            </w:r>
          </w:p>
        </w:tc>
      </w:tr>
    </w:tbl>
    <w:p/>
    <w:p>
      <w:r>
        <w:rPr>
          <w:b/>
        </w:rPr>
        <w:t>Withholding Tax Rates on Equipment Rental</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From Lessee</w:t>
            </w:r>
          </w:p>
        </w:tc>
        <w:tc>
          <w:tcPr>
            <w:tcW w:type="dxa" w:w="2160"/>
          </w:tcPr>
          <w:p>
            <w:r>
              <w:rPr>
                <w:b/>
              </w:rPr>
            </w:r>
            <w:r>
              <w:rPr>
                <w:b/>
              </w:rPr>
              <w:t>To Norway (Current)</w:t>
            </w:r>
          </w:p>
        </w:tc>
        <w:tc>
          <w:tcPr>
            <w:tcW w:type="dxa" w:w="2160"/>
          </w:tcPr>
          <w:p>
            <w:r>
              <w:rPr>
                <w:b/>
              </w:rPr>
            </w:r>
            <w:r>
              <w:rPr>
                <w:b/>
              </w:rPr>
              <w:t>To Netherlands (Proposed)</w:t>
            </w:r>
          </w:p>
        </w:tc>
        <w:tc>
          <w:tcPr>
            <w:tcW w:type="dxa" w:w="2160"/>
          </w:tcPr>
          <w:p>
            <w:r>
              <w:rPr>
                <w:b/>
              </w:rPr>
            </w:r>
            <w:r>
              <w:rPr>
                <w:b/>
              </w:rPr>
              <w:t>Savings</w:t>
            </w:r>
          </w:p>
        </w:tc>
      </w:tr>
      <w:tr>
        <w:tc>
          <w:tcPr>
            <w:tcW w:type="dxa" w:w="2160"/>
          </w:tcPr>
          <w:p>
            <w:r/>
            <w:r>
              <w:rPr>
                <w:b/>
              </w:rPr>
              <w:t>Norway</w:t>
            </w:r>
          </w:p>
        </w:tc>
        <w:tc>
          <w:tcPr>
            <w:tcW w:type="dxa" w:w="2160"/>
          </w:tcPr>
          <w:p>
            <w:r/>
            <w:r>
              <w:t>0% (domestic)</w:t>
            </w:r>
          </w:p>
        </w:tc>
        <w:tc>
          <w:tcPr>
            <w:tcW w:type="dxa" w:w="2160"/>
          </w:tcPr>
          <w:p>
            <w:r/>
            <w:r>
              <w:t>0% (treaty excludes equipment)</w:t>
            </w:r>
          </w:p>
        </w:tc>
        <w:tc>
          <w:tcPr>
            <w:tcW w:type="dxa" w:w="2160"/>
          </w:tcPr>
          <w:p>
            <w:r/>
            <w:r>
              <w:t>0%</w:t>
            </w:r>
          </w:p>
        </w:tc>
      </w:tr>
      <w:tr>
        <w:tc>
          <w:tcPr>
            <w:tcW w:type="dxa" w:w="2160"/>
          </w:tcPr>
          <w:p>
            <w:r/>
            <w:r>
              <w:rPr>
                <w:b/>
              </w:rPr>
              <w:t>Angola</w:t>
            </w:r>
          </w:p>
        </w:tc>
        <w:tc>
          <w:tcPr>
            <w:tcW w:type="dxa" w:w="2160"/>
          </w:tcPr>
          <w:p>
            <w:r/>
            <w:r>
              <w:t>10%</w:t>
            </w:r>
          </w:p>
        </w:tc>
        <w:tc>
          <w:tcPr>
            <w:tcW w:type="dxa" w:w="2160"/>
          </w:tcPr>
          <w:p>
            <w:r/>
            <w:r>
              <w:t>10% (same treaty rate)</w:t>
            </w:r>
          </w:p>
        </w:tc>
        <w:tc>
          <w:tcPr>
            <w:tcW w:type="dxa" w:w="2160"/>
          </w:tcPr>
          <w:p>
            <w:r/>
            <w:r>
              <w:t>0%</w:t>
            </w:r>
          </w:p>
        </w:tc>
      </w:tr>
      <w:tr>
        <w:tc>
          <w:tcPr>
            <w:tcW w:type="dxa" w:w="2160"/>
          </w:tcPr>
          <w:p>
            <w:r/>
            <w:r>
              <w:rPr>
                <w:b/>
              </w:rPr>
              <w:t>UK</w:t>
            </w:r>
          </w:p>
        </w:tc>
        <w:tc>
          <w:tcPr>
            <w:tcW w:type="dxa" w:w="2160"/>
          </w:tcPr>
          <w:p>
            <w:r/>
            <w:r>
              <w:t>0% (no WHT on equipment)</w:t>
            </w:r>
          </w:p>
        </w:tc>
        <w:tc>
          <w:tcPr>
            <w:tcW w:type="dxa" w:w="2160"/>
          </w:tcPr>
          <w:p>
            <w:r/>
            <w:r>
              <w:t>0%</w:t>
            </w:r>
          </w:p>
        </w:tc>
        <w:tc>
          <w:tcPr>
            <w:tcW w:type="dxa" w:w="2160"/>
          </w:tcPr>
          <w:p>
            <w:r/>
            <w:r>
              <w:t>0%</w:t>
            </w:r>
          </w:p>
        </w:tc>
      </w:tr>
    </w:tbl>
    <w:p/>
    <w:p>
      <w:r>
        <w:rPr>
          <w:b/>
        </w:rPr>
        <w:t>Tax Rates</w:t>
      </w:r>
      <w:r>
        <w:t>:</w:t>
      </w:r>
    </w:p>
    <w:p>
      <w:pPr>
        <w:pStyle w:val="ListBullet"/>
      </w:pPr>
      <w:r>
        <w:rPr>
          <w:b/>
        </w:rPr>
        <w:t>Norway</w:t>
      </w:r>
      <w:r>
        <w:t>: 22%</w:t>
      </w:r>
    </w:p>
    <w:p>
      <w:pPr>
        <w:pStyle w:val="ListBullet"/>
      </w:pPr>
      <w:r>
        <w:rPr>
          <w:b/>
        </w:rPr>
        <w:t>Netherlands</w:t>
      </w:r>
      <w:r>
        <w:t>: 25.8%</w:t>
      </w:r>
    </w:p>
    <w:p>
      <w:pPr>
        <w:pStyle w:val="ListBullet"/>
      </w:pPr>
      <w:r>
        <w:rPr>
          <w:b/>
        </w:rPr>
        <w:t>UK</w:t>
      </w:r>
      <w:r>
        <w:t>: 25%</w:t>
      </w:r>
    </w:p>
    <w:p>
      <w:pPr>
        <w:pStyle w:val="ListBullet"/>
      </w:pPr>
      <w:r>
        <w:rPr>
          <w:b/>
        </w:rPr>
        <w:t>Angola</w:t>
      </w:r>
      <w:r>
        <w:t>: 35%</w:t>
      </w:r>
    </w:p>
    <w:p>
      <w:r>
        <w:rPr>
          <w:b/>
        </w:rPr>
        <w:t>Financing</w:t>
      </w:r>
      <w:r>
        <w:t>: NorthernLease B.V. would be capitalized with:</w:t>
      </w:r>
    </w:p>
    <w:p>
      <w:pPr>
        <w:pStyle w:val="ListBullet"/>
      </w:pPr>
      <w:r>
        <w:rPr>
          <w:b/>
        </w:rPr>
        <w:t>Equity</w:t>
      </w:r>
      <w:r>
        <w:t>: $200M (from parent)</w:t>
      </w:r>
    </w:p>
    <w:p>
      <w:pPr>
        <w:pStyle w:val="ListBullet"/>
      </w:pPr>
      <w:r>
        <w:rPr>
          <w:b/>
        </w:rPr>
        <w:t>Intercompany debt</w:t>
      </w:r>
      <w:r>
        <w:t>: $600M (from parent, 5% interest)</w:t>
      </w:r>
    </w:p>
    <w:p>
      <w:pPr>
        <w:pStyle w:val="Heading3"/>
      </w:pPr>
      <w:r>
        <w:t>Required</w:t>
      </w:r>
    </w:p>
    <w:p>
      <w:pPr>
        <w:pStyle w:val="ListNumber"/>
      </w:pPr>
      <w:r>
        <w:t xml:space="preserve">Calculate </w:t>
      </w:r>
      <w:r>
        <w:rPr>
          <w:b/>
        </w:rPr>
        <w:t>annual tax costs</w:t>
      </w:r>
      <w:r>
        <w:t xml:space="preserve"> under current structure vs. proposed structure</w:t>
      </w:r>
    </w:p>
    <w:p>
      <w:pPr>
        <w:pStyle w:val="ListNumber"/>
      </w:pPr>
      <w:r>
        <w:t xml:space="preserve">Assess whether </w:t>
      </w:r>
      <w:r>
        <w:rPr>
          <w:b/>
        </w:rPr>
        <w:t>withholding tax savings</w:t>
      </w:r>
      <w:r>
        <w:t xml:space="preserve"> justify the restructuring</w:t>
      </w:r>
    </w:p>
    <w:p>
      <w:pPr>
        <w:pStyle w:val="ListNumber"/>
      </w:pPr>
      <w:r>
        <w:t xml:space="preserve">Evaluate </w:t>
      </w:r>
      <w:r>
        <w:rPr>
          <w:b/>
        </w:rPr>
        <w:t>substance requirements</w:t>
      </w:r>
      <w:r>
        <w:t xml:space="preserve"> and costs for Netherlands leasing company</w:t>
      </w:r>
    </w:p>
    <w:p>
      <w:pPr>
        <w:pStyle w:val="ListNumber"/>
      </w:pPr>
      <w:r>
        <w:t>Determine if the structure is economically viable</w:t>
      </w:r>
    </w:p>
    <w:p>
      <w:pPr>
        <w:pStyle w:val="Heading3"/>
      </w:pPr>
      <w:r>
        <w:t>Analysis</w:t>
      </w:r>
    </w:p>
    <w:p>
      <w:r>
        <w:rPr>
          <w:b/>
        </w:rPr>
        <w:t>Step 1: Current Structure - Tax Costs</w:t>
      </w:r>
    </w:p>
    <w:p>
      <w:r>
        <w:rPr>
          <w:b/>
        </w:rPr>
        <w:t>Depreciation by Entity</w:t>
      </w:r>
      <w:r>
        <w:t xml:space="preserve"> (assume 10-year straight-line):</w:t>
      </w:r>
    </w:p>
    <w:p>
      <w:pPr>
        <w:shd w:fill="F0F0F0"/>
        <w:spacing w:after="0" w:line="240" w:lineRule="auto"/>
      </w:pPr>
      <w:r>
        <w:rPr>
          <w:rFonts w:ascii="Courier New" w:hAnsi="Courier New"/>
          <w:sz w:val="20"/>
        </w:rPr>
        <w:t>Annual depreciation = $800M / 10 = $80M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Norway entity: $500M assets → $50M depreciation → Tax shield = $50M × 22% = $11M</w:t>
      </w:r>
    </w:p>
    <w:p>
      <w:pPr>
        <w:shd w:fill="F0F0F0"/>
        <w:spacing w:after="0" w:line="240" w:lineRule="auto"/>
      </w:pPr>
      <w:r>
        <w:rPr>
          <w:rFonts w:ascii="Courier New" w:hAnsi="Courier New"/>
          <w:sz w:val="20"/>
        </w:rPr>
        <w:t>UK entity: $250M assets → $25M depreciation → Tax shield = $25M × 25% = $6.25M</w:t>
      </w:r>
    </w:p>
    <w:p>
      <w:pPr>
        <w:shd w:fill="F0F0F0"/>
        <w:spacing w:after="0" w:line="240" w:lineRule="auto"/>
      </w:pPr>
      <w:r>
        <w:rPr>
          <w:rFonts w:ascii="Courier New" w:hAnsi="Courier New"/>
          <w:sz w:val="20"/>
        </w:rPr>
        <w:t>Angola entity: $50M assets → $5M depreciation → Tax shield = $5M × 35% = $1.75M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annual tax benefit (depreciation shields) = $19M</w:t>
      </w:r>
    </w:p>
    <w:p/>
    <w:p>
      <w:r>
        <w:rPr>
          <w:b/>
        </w:rPr>
        <w:t>Step 2: Proposed Structure - NorthernLease B.V.</w:t>
      </w:r>
    </w:p>
    <w:p>
      <w:r>
        <w:rPr>
          <w:b/>
        </w:rPr>
        <w:t>Netherlands Tax Calculation</w:t>
      </w:r>
      <w:r>
        <w:t>:</w:t>
      </w:r>
    </w:p>
    <w:p>
      <w:pPr>
        <w:shd w:fill="F0F0F0"/>
        <w:spacing w:after="0" w:line="240" w:lineRule="auto"/>
      </w:pPr>
      <w:r>
        <w:rPr>
          <w:rFonts w:ascii="Courier New" w:hAnsi="Courier New"/>
          <w:sz w:val="20"/>
        </w:rPr>
        <w:t>Gross lease income = $158M</w:t>
      </w:r>
    </w:p>
    <w:p>
      <w:pPr>
        <w:shd w:fill="F0F0F0"/>
        <w:spacing w:after="0" w:line="240" w:lineRule="auto"/>
      </w:pPr>
      <w:r>
        <w:rPr>
          <w:rFonts w:ascii="Courier New" w:hAnsi="Courier New"/>
          <w:sz w:val="20"/>
        </w:rPr>
        <w:t>Less: Operating expenses (maintenance, management) = $15M</w:t>
      </w:r>
    </w:p>
    <w:p>
      <w:pPr>
        <w:shd w:fill="F0F0F0"/>
        <w:spacing w:after="0" w:line="240" w:lineRule="auto"/>
      </w:pPr>
      <w:r>
        <w:rPr>
          <w:rFonts w:ascii="Courier New" w:hAnsi="Courier New"/>
          <w:sz w:val="20"/>
        </w:rPr>
        <w:t>Less: Interest on intercompany debt ($600M × 5%) = $30M</w:t>
      </w:r>
    </w:p>
    <w:p>
      <w:pPr>
        <w:shd w:fill="F0F0F0"/>
        <w:spacing w:after="0" w:line="240" w:lineRule="auto"/>
      </w:pPr>
      <w:r>
        <w:rPr>
          <w:rFonts w:ascii="Courier New" w:hAnsi="Courier New"/>
          <w:sz w:val="20"/>
        </w:rPr>
        <w:t>Less: Depreciation ($800M / 10 years) = $80M</w:t>
      </w:r>
    </w:p>
    <w:p>
      <w:pPr>
        <w:shd w:fill="F0F0F0"/>
        <w:spacing w:after="0" w:line="240" w:lineRule="auto"/>
      </w:pPr>
      <w:r>
        <w:rPr>
          <w:rFonts w:ascii="Courier New" w:hAnsi="Courier New"/>
          <w:sz w:val="20"/>
        </w:rPr>
        <w:t>Taxable income = $33M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Netherlands tax at 25.8% = $8.51M</w:t>
      </w:r>
    </w:p>
    <w:p/>
    <w:p>
      <w:r>
        <w:rPr>
          <w:b/>
        </w:rPr>
        <w:t>Withholding Tax on Lease Payments</w:t>
      </w:r>
      <w:r>
        <w:t>:</w:t>
      </w:r>
    </w:p>
    <w:p>
      <w:pPr>
        <w:shd w:fill="F0F0F0"/>
        <w:spacing w:after="0" w:line="240" w:lineRule="auto"/>
      </w:pPr>
      <w:r>
        <w:rPr>
          <w:rFonts w:ascii="Courier New" w:hAnsi="Courier New"/>
          <w:sz w:val="20"/>
        </w:rPr>
        <w:t>Norway: $60M × 0% = $0</w:t>
      </w:r>
    </w:p>
    <w:p>
      <w:pPr>
        <w:shd w:fill="F0F0F0"/>
        <w:spacing w:after="0" w:line="240" w:lineRule="auto"/>
      </w:pPr>
      <w:r>
        <w:rPr>
          <w:rFonts w:ascii="Courier New" w:hAnsi="Courier New"/>
          <w:sz w:val="20"/>
        </w:rPr>
        <w:t>Angola: $55M × 10% = $5.5M</w:t>
      </w:r>
    </w:p>
    <w:p>
      <w:pPr>
        <w:shd w:fill="F0F0F0"/>
        <w:spacing w:after="0" w:line="240" w:lineRule="auto"/>
      </w:pPr>
      <w:r>
        <w:rPr>
          <w:rFonts w:ascii="Courier New" w:hAnsi="Courier New"/>
          <w:sz w:val="20"/>
        </w:rPr>
        <w:t>UK: $35M × 0% = $0</w:t>
      </w:r>
    </w:p>
    <w:p>
      <w:pPr>
        <w:shd w:fill="F0F0F0"/>
        <w:spacing w:after="0" w:line="240" w:lineRule="auto"/>
      </w:pPr>
      <w:r>
        <w:rPr>
          <w:rFonts w:ascii="Courier New" w:hAnsi="Courier New"/>
          <w:sz w:val="20"/>
        </w:rPr>
        <w:t>Helicopters (various): $8M × 0% (assume no WHT) = $0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WHT = $5.5M</w:t>
      </w:r>
    </w:p>
    <w:p/>
    <w:p>
      <w:r>
        <w:rPr>
          <w:b/>
        </w:rPr>
        <w:t>Operating Entities - Lease Payment Deductions</w:t>
      </w:r>
      <w:r>
        <w:t>:</w:t>
      </w:r>
    </w:p>
    <w:p>
      <w:pPr>
        <w:shd w:fill="F0F0F0"/>
        <w:spacing w:after="0" w:line="240" w:lineRule="auto"/>
      </w:pPr>
      <w:r>
        <w:rPr>
          <w:rFonts w:ascii="Courier New" w:hAnsi="Courier New"/>
          <w:sz w:val="20"/>
        </w:rPr>
        <w:t>Norway entity: $60M lease deduction → Tax shield = $60M × 22% = $13.2M</w:t>
      </w:r>
    </w:p>
    <w:p>
      <w:pPr>
        <w:shd w:fill="F0F0F0"/>
        <w:spacing w:after="0" w:line="240" w:lineRule="auto"/>
      </w:pPr>
      <w:r>
        <w:rPr>
          <w:rFonts w:ascii="Courier New" w:hAnsi="Courier New"/>
          <w:sz w:val="20"/>
        </w:rPr>
        <w:t>UK entity: $35M lease deduction → Tax shield = $35M × 25% = $8.75M</w:t>
      </w:r>
    </w:p>
    <w:p>
      <w:pPr>
        <w:shd w:fill="F0F0F0"/>
        <w:spacing w:after="0" w:line="240" w:lineRule="auto"/>
      </w:pPr>
      <w:r>
        <w:rPr>
          <w:rFonts w:ascii="Courier New" w:hAnsi="Courier New"/>
          <w:sz w:val="20"/>
        </w:rPr>
        <w:t>Angola entity: $55M lease deduction → Tax shield = ($55M - $5.5M WHT) × 35% = $17.33M</w:t>
      </w:r>
    </w:p>
    <w:p>
      <w:pPr>
        <w:shd w:fill="F0F0F0"/>
        <w:spacing w:after="0" w:line="240" w:lineRule="auto"/>
      </w:pPr>
      <w:r>
        <w:rPr>
          <w:rFonts w:ascii="Courier New" w:hAnsi="Courier New"/>
          <w:sz w:val="20"/>
        </w:rPr>
        <w:t>Plus WHT credit: $5.5M (if creditable)</w:t>
      </w:r>
    </w:p>
    <w:p>
      <w:pPr>
        <w:shd w:fill="F0F0F0"/>
        <w:spacing w:after="0" w:line="240" w:lineRule="auto"/>
      </w:pPr>
      <w:r>
        <w:rPr>
          <w:rFonts w:ascii="Courier New" w:hAnsi="Courier New"/>
          <w:sz w:val="20"/>
        </w:rPr>
        <w:t>Helicopters: $8M lease deduction → various rates, assume $2M tax shield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tax benefit (operating entities) = $13.2M + $8.75M + $17.33M + $2M = $41.28M</w:t>
      </w:r>
    </w:p>
    <w:p/>
    <w:p>
      <w:r>
        <w:rPr>
          <w:b/>
        </w:rPr>
        <w:t>Net Group Tax Impact</w:t>
      </w:r>
      <w:r>
        <w:t>:</w:t>
      </w:r>
    </w:p>
    <w:p>
      <w:pPr>
        <w:shd w:fill="F0F0F0"/>
        <w:spacing w:after="0" w:line="240" w:lineRule="auto"/>
      </w:pPr>
      <w:r>
        <w:rPr>
          <w:rFonts w:ascii="Courier New" w:hAnsi="Courier New"/>
          <w:sz w:val="20"/>
        </w:rPr>
        <w:t>Tax benefits from lease deductions (operating entities) = $41.28M</w:t>
      </w:r>
    </w:p>
    <w:p>
      <w:pPr>
        <w:shd w:fill="F0F0F0"/>
        <w:spacing w:after="0" w:line="240" w:lineRule="auto"/>
      </w:pPr>
      <w:r>
        <w:rPr>
          <w:rFonts w:ascii="Courier New" w:hAnsi="Courier New"/>
          <w:sz w:val="20"/>
        </w:rPr>
        <w:t>Less: Netherlands tax on leasing subsidiary = $8.51M</w:t>
      </w:r>
    </w:p>
    <w:p>
      <w:pPr>
        <w:shd w:fill="F0F0F0"/>
        <w:spacing w:after="0" w:line="240" w:lineRule="auto"/>
      </w:pPr>
      <w:r>
        <w:rPr>
          <w:rFonts w:ascii="Courier New" w:hAnsi="Courier New"/>
          <w:sz w:val="20"/>
        </w:rPr>
        <w:t>Less: WHT on lease payments = $5.5M</w:t>
      </w:r>
    </w:p>
    <w:p>
      <w:pPr>
        <w:shd w:fill="F0F0F0"/>
        <w:spacing w:after="0" w:line="240" w:lineRule="auto"/>
      </w:pPr>
      <w:r>
        <w:rPr>
          <w:rFonts w:ascii="Courier New" w:hAnsi="Courier New"/>
          <w:sz w:val="20"/>
        </w:rPr>
        <w:t>Less: Loss of depreciation shields (current structure) = $19M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incremental cost = ($8.51M + $5.5M + $19M) - $41.28M = -$8.27M (savings)</w:t>
      </w:r>
    </w:p>
    <w:p/>
    <w:p>
      <w:r>
        <w:rPr>
          <w:b/>
        </w:rPr>
        <w:t>Wait, recalculation needed</w:t>
      </w:r>
      <w:r>
        <w:t>. Let me properly account for the comparison:</w:t>
      </w:r>
    </w:p>
    <w:p>
      <w:r>
        <w:rPr>
          <w:b/>
        </w:rPr>
        <w:t>Current Structure Total Tax</w:t>
      </w:r>
      <w:r>
        <w:t>:</w:t>
      </w:r>
    </w:p>
    <w:p>
      <w:r>
        <w:t>Operating entities depreciate assets directly:</w:t>
      </w:r>
    </w:p>
    <w:p>
      <w:pPr>
        <w:pStyle w:val="ListBullet"/>
      </w:pPr>
      <w:r>
        <w:t>Tax shields from depreciation = $19M/year (benefit)</w:t>
      </w:r>
    </w:p>
    <w:p>
      <w:r>
        <w:rPr>
          <w:b/>
        </w:rPr>
        <w:t>Proposed Structure Total Tax</w:t>
      </w:r>
      <w:r>
        <w:t>:</w:t>
      </w:r>
    </w:p>
    <w:p>
      <w:pPr>
        <w:pStyle w:val="ListBullet"/>
      </w:pPr>
      <w:r>
        <w:t>Netherlands tax = $8.51M (cost)</w:t>
      </w:r>
    </w:p>
    <w:p>
      <w:pPr>
        <w:pStyle w:val="ListBullet"/>
      </w:pPr>
      <w:r>
        <w:t>WHT = $5.5M (cost, may be creditable in parent jurisdiction)</w:t>
      </w:r>
    </w:p>
    <w:p>
      <w:pPr>
        <w:pStyle w:val="ListBullet"/>
      </w:pPr>
      <w:r>
        <w:t>Lease deduction tax shields = $41.28M (benefit)</w:t>
      </w:r>
    </w:p>
    <w:p>
      <w:pPr>
        <w:pStyle w:val="ListBullet"/>
      </w:pPr>
      <w:r>
        <w:t>Lost depreciation shields = $19M (cost - operating entities no longer own assets)</w:t>
      </w:r>
    </w:p>
    <w:p>
      <w:r>
        <w:rPr>
          <w:b/>
        </w:rPr>
        <w:t>Net comparison</w:t>
      </w:r>
      <w:r>
        <w:t>:</w:t>
      </w:r>
    </w:p>
    <w:p>
      <w:pPr>
        <w:shd w:fill="F0F0F0"/>
        <w:spacing w:after="0" w:line="240" w:lineRule="auto"/>
      </w:pPr>
      <w:r>
        <w:rPr>
          <w:rFonts w:ascii="Courier New" w:hAnsi="Courier New"/>
          <w:sz w:val="20"/>
        </w:rPr>
        <w:t>Current: Tax benefit = $19M</w:t>
      </w:r>
    </w:p>
    <w:p>
      <w:pPr>
        <w:shd w:fill="F0F0F0"/>
        <w:spacing w:after="0" w:line="240" w:lineRule="auto"/>
      </w:pPr>
      <w:r>
        <w:rPr>
          <w:rFonts w:ascii="Courier New" w:hAnsi="Courier New"/>
          <w:sz w:val="20"/>
        </w:rPr>
        <w:t>Proposed: Tax benefit = $41.28M - $8.51M - $5.5M = $27.27M</w:t>
      </w:r>
    </w:p>
    <w:p>
      <w:pPr>
        <w:shd w:fill="F0F0F0"/>
        <w:spacing w:after="0" w:line="240" w:lineRule="auto"/>
      </w:pPr>
      <w:r>
        <w:rPr>
          <w:rFonts w:ascii="Courier New" w:hAnsi="Courier New"/>
          <w:sz w:val="20"/>
        </w:rPr>
        <w:t>Net improvement = $27.27M - $19M = $8.27M additional tax benefit</w:t>
      </w:r>
    </w:p>
    <w:p/>
    <w:p>
      <w:r>
        <w:rPr>
          <w:b/>
        </w:rPr>
        <w:t>Step 3: Substance Requirements and Costs</w:t>
      </w:r>
    </w:p>
    <w:p>
      <w:r>
        <w:rPr>
          <w:b/>
        </w:rPr>
        <w:t>Netherlands Substance Package</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Annual Cost</w:t>
            </w:r>
          </w:p>
        </w:tc>
      </w:tr>
      <w:tr>
        <w:tc>
          <w:tcPr>
            <w:tcW w:type="dxa" w:w="4320"/>
          </w:tcPr>
          <w:p>
            <w:r/>
            <w:r>
              <w:t>Qualified employees (3-4 FTEs: procurement, asset management, leasing)</w:t>
            </w:r>
          </w:p>
        </w:tc>
        <w:tc>
          <w:tcPr>
            <w:tcW w:type="dxa" w:w="4320"/>
          </w:tcPr>
          <w:p>
            <w:r/>
            <w:r>
              <w:t>$600K</w:t>
            </w:r>
          </w:p>
        </w:tc>
      </w:tr>
      <w:tr>
        <w:tc>
          <w:tcPr>
            <w:tcW w:type="dxa" w:w="4320"/>
          </w:tcPr>
          <w:p>
            <w:r/>
            <w:r>
              <w:t>Office space and facilities</w:t>
            </w:r>
          </w:p>
        </w:tc>
        <w:tc>
          <w:tcPr>
            <w:tcW w:type="dxa" w:w="4320"/>
          </w:tcPr>
          <w:p>
            <w:r/>
            <w:r>
              <w:t>$150K</w:t>
            </w:r>
          </w:p>
        </w:tc>
      </w:tr>
      <w:tr>
        <w:tc>
          <w:tcPr>
            <w:tcW w:type="dxa" w:w="4320"/>
          </w:tcPr>
          <w:p>
            <w:r/>
            <w:r>
              <w:t>Professional fees (legal, tax, audit)</w:t>
            </w:r>
          </w:p>
        </w:tc>
        <w:tc>
          <w:tcPr>
            <w:tcW w:type="dxa" w:w="4320"/>
          </w:tcPr>
          <w:p>
            <w:r/>
            <w:r>
              <w:t>$200K</w:t>
            </w:r>
          </w:p>
        </w:tc>
      </w:tr>
      <w:tr>
        <w:tc>
          <w:tcPr>
            <w:tcW w:type="dxa" w:w="4320"/>
          </w:tcPr>
          <w:p>
            <w:r/>
            <w:r>
              <w:t>IT systems and insurance</w:t>
            </w:r>
          </w:p>
        </w:tc>
        <w:tc>
          <w:tcPr>
            <w:tcW w:type="dxa" w:w="4320"/>
          </w:tcPr>
          <w:p>
            <w:r/>
            <w:r>
              <w:t>$100K</w:t>
            </w:r>
          </w:p>
        </w:tc>
      </w:tr>
      <w:tr>
        <w:tc>
          <w:tcPr>
            <w:tcW w:type="dxa" w:w="4320"/>
          </w:tcPr>
          <w:p>
            <w:r/>
            <w:r>
              <w:t>Board fees and governance</w:t>
            </w:r>
          </w:p>
        </w:tc>
        <w:tc>
          <w:tcPr>
            <w:tcW w:type="dxa" w:w="4320"/>
          </w:tcPr>
          <w:p>
            <w:r/>
            <w:r>
              <w:t>$150K</w:t>
            </w:r>
          </w:p>
        </w:tc>
      </w:tr>
      <w:tr>
        <w:tc>
          <w:tcPr>
            <w:tcW w:type="dxa" w:w="4320"/>
          </w:tcPr>
          <w:p>
            <w:r/>
            <w:r>
              <w:rPr>
                <w:b/>
              </w:rPr>
              <w:t>Total substance costs</w:t>
            </w:r>
          </w:p>
        </w:tc>
        <w:tc>
          <w:tcPr>
            <w:tcW w:type="dxa" w:w="4320"/>
          </w:tcPr>
          <w:p>
            <w:r/>
            <w:r>
              <w:rPr>
                <w:b/>
              </w:rPr>
              <w:t>$1.2M</w:t>
            </w:r>
          </w:p>
        </w:tc>
      </w:tr>
    </w:tbl>
    <w:p/>
    <w:p>
      <w:r>
        <w:rPr>
          <w:b/>
        </w:rPr>
        <w:t>Adjusted Net Benefit</w:t>
      </w:r>
      <w:r>
        <w:t>:</w:t>
      </w:r>
    </w:p>
    <w:p>
      <w:pPr>
        <w:shd w:fill="F0F0F0"/>
        <w:spacing w:after="0" w:line="240" w:lineRule="auto"/>
      </w:pPr>
      <w:r>
        <w:rPr>
          <w:rFonts w:ascii="Courier New" w:hAnsi="Courier New"/>
          <w:sz w:val="20"/>
        </w:rPr>
        <w:t>Gross tax benefit = $8.27M</w:t>
      </w:r>
    </w:p>
    <w:p>
      <w:pPr>
        <w:shd w:fill="F0F0F0"/>
        <w:spacing w:after="0" w:line="240" w:lineRule="auto"/>
      </w:pPr>
      <w:r>
        <w:rPr>
          <w:rFonts w:ascii="Courier New" w:hAnsi="Courier New"/>
          <w:sz w:val="20"/>
        </w:rPr>
        <w:t>Less: Substance costs = $1.2M</w:t>
      </w:r>
    </w:p>
    <w:p>
      <w:pPr>
        <w:shd w:fill="F0F0F0"/>
        <w:spacing w:after="0" w:line="240" w:lineRule="auto"/>
      </w:pPr>
      <w:r>
        <w:rPr>
          <w:rFonts w:ascii="Courier New" w:hAnsi="Courier New"/>
          <w:sz w:val="20"/>
        </w:rPr>
        <w:t>Net annual benefit = $7.07M</w:t>
      </w:r>
    </w:p>
    <w:p/>
    <w:p>
      <w:r>
        <w:rPr>
          <w:b/>
        </w:rPr>
        <w:t>Step 4: Additional Considerations</w:t>
      </w:r>
    </w:p>
    <w:p>
      <w:r>
        <w:rPr>
          <w:b/>
        </w:rPr>
        <w:t>Thin Capitalization / Interest Limitation</w:t>
      </w:r>
      <w:r>
        <w:t>:</w:t>
      </w:r>
    </w:p>
    <w:p>
      <w:pPr>
        <w:shd w:fill="F0F0F0"/>
        <w:spacing w:after="0" w:line="240" w:lineRule="auto"/>
      </w:pPr>
      <w:r>
        <w:rPr>
          <w:rFonts w:ascii="Courier New" w:hAnsi="Courier New"/>
          <w:sz w:val="20"/>
        </w:rPr>
        <w:t>NorthernLease B.V. EBITDA:</w:t>
      </w:r>
    </w:p>
    <w:p>
      <w:pPr>
        <w:shd w:fill="F0F0F0"/>
        <w:spacing w:after="0" w:line="240" w:lineRule="auto"/>
      </w:pPr>
      <w:r>
        <w:rPr>
          <w:rFonts w:ascii="Courier New" w:hAnsi="Courier New"/>
          <w:sz w:val="20"/>
        </w:rPr>
        <w:t>Lease income $158M - Operating expenses $15M = $143M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Interest limitation (30% of EBITDA): $143M × 30% = $42.9M</w:t>
      </w:r>
    </w:p>
    <w:p>
      <w:pPr>
        <w:shd w:fill="F0F0F0"/>
        <w:spacing w:after="0" w:line="240" w:lineRule="auto"/>
      </w:pPr>
      <w:r>
        <w:rPr>
          <w:rFonts w:ascii="Courier New" w:hAnsi="Courier New"/>
          <w:sz w:val="20"/>
        </w:rPr>
        <w:t>Actual interest: $30M</w:t>
      </w:r>
    </w:p>
    <w:p>
      <w:pPr>
        <w:shd w:fill="F0F0F0"/>
        <w:spacing w:after="0" w:line="240" w:lineRule="auto"/>
      </w:pPr>
      <w:r>
        <w:rPr>
          <w:rFonts w:ascii="Courier New" w:hAnsi="Courier New"/>
          <w:sz w:val="20"/>
        </w:rPr>
        <w:t>Interest fully deductible (no limitation)</w:t>
      </w:r>
    </w:p>
    <w:p/>
    <w:p>
      <w:r>
        <w:rPr>
          <w:b/>
        </w:rPr>
        <w:t>Transfer Pricing Risk</w:t>
      </w:r>
      <w:r>
        <w:t>:</w:t>
      </w:r>
    </w:p>
    <w:p>
      <w:pPr>
        <w:pStyle w:val="ListBullet"/>
      </w:pPr>
      <w:r>
        <w:t>Lease rates must be defensible as arm's length</w:t>
      </w:r>
    </w:p>
    <w:p>
      <w:pPr>
        <w:pStyle w:val="ListBullet"/>
      </w:pPr>
      <w:r>
        <w:t>Require comparable analysis and documentation</w:t>
      </w:r>
    </w:p>
    <w:p>
      <w:pPr>
        <w:pStyle w:val="ListBullet"/>
      </w:pPr>
      <w:r>
        <w:t>Estimated annual Transfer Pricing (TP) documentation cost: $150K (included in professional fees above)</w:t>
      </w:r>
    </w:p>
    <w:p>
      <w:r>
        <w:rPr>
          <w:b/>
        </w:rPr>
        <w:t>Conclusion</w:t>
      </w:r>
      <w:r>
        <w:t>:</w:t>
      </w:r>
    </w:p>
    <w:p>
      <w:r>
        <w:t>The group leasing structure provides:</w:t>
      </w:r>
    </w:p>
    <w:p>
      <w:pPr>
        <w:pStyle w:val="ListBullet"/>
      </w:pPr>
      <w:r>
        <w:rPr>
          <w:b/>
        </w:rPr>
        <w:t>Net annual tax benefit</w:t>
      </w:r>
      <w:r>
        <w:t>: $7.07M</w:t>
      </w:r>
    </w:p>
    <w:p>
      <w:pPr>
        <w:pStyle w:val="ListBullet"/>
      </w:pPr>
      <w:r>
        <w:rPr>
          <w:b/>
        </w:rPr>
        <w:t>No WHT savings</w:t>
      </w:r>
      <w:r>
        <w:t xml:space="preserve"> (rates to Netherlands same as to Norway)</w:t>
      </w:r>
    </w:p>
    <w:p>
      <w:pPr>
        <w:pStyle w:val="ListBullet"/>
      </w:pPr>
      <w:r>
        <w:rPr>
          <w:b/>
        </w:rPr>
        <w:t>Increased complexity</w:t>
      </w:r>
      <w:r>
        <w:t>: Substance requirements, TP documentation, intercompany agreements</w:t>
      </w:r>
    </w:p>
    <w:p>
      <w:r>
        <w:rPr>
          <w:b/>
        </w:rPr>
        <w:t>Recommendation</w:t>
      </w:r>
      <w:r>
        <w:t>:</w:t>
      </w:r>
    </w:p>
    <w:p>
      <w:r>
        <w:rPr>
          <w:b/>
        </w:rPr>
        <w:t>Proceed with caution</w:t>
      </w:r>
      <w:r>
        <w:t xml:space="preserve">: The </w:t>
      </w:r>
      <w:r>
        <w:rPr>
          <w:b/>
        </w:rPr>
        <w:t>$7.07M annual benefit</w:t>
      </w:r>
      <w:r>
        <w:t xml:space="preserve"> is meaningful, but driven primarily by:</w:t>
      </w:r>
    </w:p>
    <w:p>
      <w:pPr>
        <w:pStyle w:val="ListNumber"/>
      </w:pPr>
      <w:r>
        <w:rPr>
          <w:b/>
        </w:rPr>
        <w:t>Lease deduction vs. depreciation arbitrage</w:t>
      </w:r>
      <w:r>
        <w:t>: Operating entities get full deduction for $158M lease payments vs. $80M depreciation under current structure</w:t>
      </w:r>
    </w:p>
    <w:p>
      <w:pPr>
        <w:pStyle w:val="ListNumber"/>
      </w:pPr>
      <w:r>
        <w:rPr>
          <w:b/>
        </w:rPr>
        <w:t>Netherlands effective rate</w:t>
      </w:r>
      <w:r>
        <w:t>: 25.8% Netherlands tax on $33M net income ($8.51M) is lower than the weighted average of operating entity rates</w:t>
      </w:r>
    </w:p>
    <w:p>
      <w:r>
        <w:rPr>
          <w:b/>
        </w:rPr>
        <w:t>Risks</w:t>
      </w:r>
      <w:r>
        <w:t>:</w:t>
      </w:r>
    </w:p>
    <w:p>
      <w:pPr>
        <w:pStyle w:val="ListBullet"/>
      </w:pPr>
      <w:r>
        <w:rPr>
          <w:b/>
        </w:rPr>
        <w:t>Transfer pricing audits</w:t>
      </w:r>
      <w:r>
        <w:t>: Tax authorities in Angola, UK, or Norway may challenge lease rates as excessive</w:t>
      </w:r>
    </w:p>
    <w:p>
      <w:pPr>
        <w:pStyle w:val="ListBullet"/>
      </w:pPr>
      <w:r>
        <w:rPr>
          <w:b/>
        </w:rPr>
        <w:t>Substance scrutiny</w:t>
      </w:r>
      <w:r>
        <w:t>: Netherlands or parent jurisdiction tax authorities may examine whether leasing subsidiary has genuine business purpose beyond tax savings</w:t>
      </w:r>
    </w:p>
    <w:p>
      <w:pPr>
        <w:pStyle w:val="ListBullet"/>
      </w:pPr>
      <w:r>
        <w:rPr>
          <w:b/>
        </w:rPr>
        <w:t>Interest rate challenge</w:t>
      </w:r>
      <w:r>
        <w:t>: 5% intercompany interest rate must be arm's length (may be challenged if external borrowing rate is lower)</w:t>
      </w:r>
    </w:p>
    <w:p>
      <w:r>
        <w:rPr>
          <w:b/>
        </w:rPr>
        <w:t>Alternative Structure</w:t>
      </w:r>
      <w:r>
        <w:t>:</w:t>
      </w:r>
    </w:p>
    <w:p>
      <w:r>
        <w:t xml:space="preserve">Consider </w:t>
      </w:r>
      <w:r>
        <w:rPr>
          <w:b/>
        </w:rPr>
        <w:t>partial restructuring</w:t>
      </w:r>
      <w:r>
        <w:t>: Only transfer rigs leased to Angola to Netherlands subsidiary (to benefit from reduced Angola tax rate through higher lease deductions), while keeping Norway and UK assets in local entities. This reduces transfer pricing risk and substance costs while capturing tax benefit where it's most significant (Angola's 35%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