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Sharing Contracts (PSCs)</w:t>
      </w:r>
    </w:p>
    <w:p>
      <w:pPr>
        <w:pStyle w:val="Heading2"/>
      </w:pPr>
      <w:r>
        <w:t>ADIT Energy Resources Module 3.04 - Study Note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Core Framework and Legal Foundations</w:t>
      </w:r>
    </w:p>
    <w:p>
      <w:pPr>
        <w:pStyle w:val="Heading3"/>
      </w:pPr>
      <w:r>
        <w:t>1.1 Definition and Fundamental Characteristics</w:t>
      </w:r>
    </w:p>
    <w:p>
      <w:r>
        <w:t xml:space="preserve">A </w:t>
      </w:r>
      <w:r>
        <w:rPr>
          <w:b/>
        </w:rPr>
        <w:t>Production Sharing Contract (PSC)</w:t>
      </w:r>
      <w:r>
        <w:t>, also known as a Production Sharing Agreement (PSA), is a contractual arrangement between a host government (or its designated national oil company) and an international oil company whereby:</w:t>
      </w:r>
    </w:p>
    <w:p>
      <w:pPr>
        <w:pStyle w:val="ListBullet"/>
      </w:pPr>
      <w:r>
        <w:rPr>
          <w:b/>
        </w:rPr>
        <w:t>The state retains legal ownership</w:t>
      </w:r>
      <w:r>
        <w:t xml:space="preserve"> of petroleum resources in situ and throughout production</w:t>
      </w:r>
    </w:p>
    <w:p>
      <w:pPr>
        <w:pStyle w:val="ListBullet"/>
      </w:pPr>
      <w:r>
        <w:rPr>
          <w:b/>
        </w:rPr>
        <w:t>The contractor assumes exploration and development risk</w:t>
      </w:r>
      <w:r>
        <w:t xml:space="preserve"> and finances all operations</w:t>
      </w:r>
    </w:p>
    <w:p>
      <w:pPr>
        <w:pStyle w:val="ListBullet"/>
      </w:pPr>
      <w:r>
        <w:rPr>
          <w:b/>
        </w:rPr>
        <w:t>Cost recovery</w:t>
      </w:r>
      <w:r>
        <w:t xml:space="preserve"> is provided through allocation of a portion of production ("cost oil/gas")</w:t>
      </w:r>
    </w:p>
    <w:p>
      <w:pPr>
        <w:pStyle w:val="ListBullet"/>
      </w:pPr>
      <w:r>
        <w:rPr>
          <w:b/>
        </w:rPr>
        <w:t>Profit sharing</w:t>
      </w:r>
      <w:r>
        <w:t xml:space="preserve"> occurs through division of remaining production ("profit oil/gas") between government and contractor</w:t>
      </w:r>
    </w:p>
    <w:p>
      <w:pPr>
        <w:pStyle w:val="ListBullet"/>
      </w:pPr>
      <w:r>
        <w:rPr>
          <w:b/>
        </w:rPr>
        <w:t>The contractor receives title</w:t>
      </w:r>
      <w:r>
        <w:t xml:space="preserve"> to its share of petroleum only at the delivery point</w:t>
      </w:r>
    </w:p>
    <w:p>
      <w:r>
        <w:t xml:space="preserve">This contrasts fundamentally with </w:t>
      </w:r>
      <w:r>
        <w:rPr>
          <w:b/>
        </w:rPr>
        <w:t>concession/licence regimes</w:t>
      </w:r>
      <w:r>
        <w:t xml:space="preserve"> where ownership transfers to the contractor at the wellhead or point of extraction.</w:t>
      </w:r>
    </w:p>
    <w:p>
      <w:r>
        <w:rPr>
          <w:b/>
        </w:rPr>
        <w:t>Policy Rationale for PSCs:</w:t>
      </w:r>
    </w:p>
    <w:p>
      <w:r>
        <w:t>PSCs serve multiple government objectives: (1) maintaining symbolic and legal state ownership of natural resources, which is politically important in many jurisdictions; (2) providing direct government participation in production allocation decisions; (3) enabling flexible profit-sharing that can adapt to project economics; and (4) reducing transfer pricing exposure since the government receives its share in kind (actual petroleum) rather than relying solely on corporate tax on reported profits.</w:t>
      </w:r>
    </w:p>
    <w:p>
      <w:pPr>
        <w:pStyle w:val="Heading3"/>
      </w:pPr>
      <w:r>
        <w:t>1.2 Statutory and Contractual Basis</w:t>
      </w:r>
    </w:p>
    <w:p>
      <w:pPr>
        <w:pStyle w:val="Heading4"/>
      </w:pPr>
      <w:r>
        <w:t>1.2.1 Legislative Framework</w:t>
      </w:r>
    </w:p>
    <w:p>
      <w:r>
        <w:t>PSC regimes are established through:</w:t>
      </w:r>
    </w:p>
    <w:p>
      <w:r>
        <w:rPr>
          <w:b/>
        </w:rPr>
        <w:t>Primary Legislation:</w:t>
      </w:r>
    </w:p>
    <w:p>
      <w:pPr>
        <w:pStyle w:val="ListBullet"/>
      </w:pPr>
      <w:r>
        <w:rPr>
          <w:b/>
        </w:rPr>
        <w:t>Petroleum Laws</w:t>
      </w:r>
      <w:r>
        <w:t>: Assert state ownership and authorize PSC execution (e.g., Indonesia Oil &amp; Gas Law No. 22/2001, Malaysia Petroleum Development Act 1974)</w:t>
      </w:r>
    </w:p>
    <w:p>
      <w:pPr>
        <w:pStyle w:val="ListBullet"/>
      </w:pPr>
      <w:r>
        <w:rPr>
          <w:b/>
        </w:rPr>
        <w:t>Model PSC Templates</w:t>
      </w:r>
      <w:r>
        <w:t>: Standardized terms issued by governments (e.g., Iraq Technical Service Contract templates, Ghana Model Petroleum Agreement under Petroleum (Exploration and Production) Act, 2016 (Act 919))</w:t>
      </w:r>
    </w:p>
    <w:p>
      <w:pPr>
        <w:pStyle w:val="ListBullet"/>
      </w:pPr>
      <w:r>
        <w:rPr>
          <w:b/>
        </w:rPr>
        <w:t>Fiscal Codes</w:t>
      </w:r>
      <w:r>
        <w:t>: Specify tax treatment, royalties, and profit splits</w:t>
      </w:r>
    </w:p>
    <w:p>
      <w:r>
        <w:rPr>
          <w:b/>
        </w:rPr>
        <w:t>Constitutional Provisions:</w:t>
      </w:r>
    </w:p>
    <w:p>
      <w:pPr>
        <w:pStyle w:val="ListBullet"/>
      </w:pPr>
      <w:r>
        <w:t>Most PSC jurisdictions have constitutional provisions vesting subsurface mineral rights in the state (e.g., Article 27 Mexican Constitution of 1917, Article 33 Indonesian Constitution of 1945)</w:t>
      </w:r>
    </w:p>
    <w:p>
      <w:pPr>
        <w:pStyle w:val="Heading4"/>
      </w:pPr>
      <w:r>
        <w:t>1.2.2 Contractual Nature and Stability</w:t>
      </w:r>
    </w:p>
    <w:p>
      <w:r>
        <w:t xml:space="preserve">PSCs are </w:t>
      </w:r>
      <w:r>
        <w:rPr>
          <w:b/>
        </w:rPr>
        <w:t>bilateral commercial contracts</w:t>
      </w:r>
      <w:r>
        <w:t xml:space="preserve"> with unique characteristics:</w:t>
      </w:r>
    </w:p>
    <w:p>
      <w:pPr>
        <w:pStyle w:val="ListBullet"/>
      </w:pPr>
      <w:r>
        <w:rPr>
          <w:b/>
        </w:rPr>
        <w:t>Stabilization clauses</w:t>
      </w:r>
      <w:r>
        <w:t>: Freeze fiscal terms against legislative changes</w:t>
      </w:r>
    </w:p>
    <w:p>
      <w:pPr>
        <w:pStyle w:val="ListBullet"/>
      </w:pPr>
      <w:r>
        <w:rPr>
          <w:b/>
        </w:rPr>
        <w:t>Economic equilibrium provisions</w:t>
      </w:r>
      <w:r>
        <w:t>: Rebalance terms if government take changes materially</w:t>
      </w:r>
    </w:p>
    <w:p>
      <w:pPr>
        <w:pStyle w:val="ListBullet"/>
      </w:pPr>
      <w:r>
        <w:rPr>
          <w:b/>
        </w:rPr>
        <w:t>International arbitration</w:t>
      </w:r>
      <w:r>
        <w:t>: Disputes resolved under International Chamber of Commerce (ICC), International Centre for Settlement of Investment Disputes (ICSID), or United Nations Commission on International Trade Law (UNCITRAL) rules</w:t>
      </w:r>
    </w:p>
    <w:p>
      <w:pPr>
        <w:pStyle w:val="ListBullet"/>
      </w:pPr>
      <w:r>
        <w:rPr>
          <w:b/>
        </w:rPr>
        <w:t>Governing law</w:t>
      </w:r>
      <w:r>
        <w:t>: Usually host state law, but international law principles for disputes</w:t>
      </w:r>
    </w:p>
    <w:p>
      <w:r>
        <w:rPr>
          <w:b/>
        </w:rPr>
        <w:t>Key Precedent:</w:t>
      </w:r>
      <w:r>
        <w:t xml:space="preserve"> </w:t>
      </w:r>
      <w:r>
        <w:rPr>
          <w:i/>
        </w:rPr>
        <w:t>Chevron v. Republic of Ecuador</w:t>
      </w:r>
      <w:r>
        <w:t xml:space="preserve"> (2010) - recognized sanctity of stabilization clauses in PSCs under international arbitration.</w:t>
      </w:r>
    </w:p>
    <w:p>
      <w:pPr>
        <w:pStyle w:val="Heading3"/>
      </w:pPr>
      <w:r>
        <w:t>1.3 Types of Production Sharing Contracts</w:t>
      </w:r>
    </w:p>
    <w:p>
      <w:pPr>
        <w:pStyle w:val="Heading4"/>
      </w:pPr>
      <w:r>
        <w:t>1.3.1 Classic PSC (Pure Production Sharing)</w:t>
      </w:r>
    </w:p>
    <w:p>
      <w:r>
        <w:rPr>
          <w:b/>
        </w:rPr>
        <w:t>Structure:</w:t>
      </w:r>
    </w:p>
    <w:p>
      <w:pPr>
        <w:pStyle w:val="ListBullet"/>
      </w:pPr>
      <w:r>
        <w:t xml:space="preserve">Government receives profit oil share </w:t>
      </w:r>
      <w:r>
        <w:rPr>
          <w:b/>
        </w:rPr>
        <w:t>in lieu of income tax</w:t>
      </w:r>
    </w:p>
    <w:p>
      <w:pPr>
        <w:pStyle w:val="ListBullet"/>
      </w:pPr>
      <w:r>
        <w:t>Contractor exempt from corporate income tax</w:t>
      </w:r>
    </w:p>
    <w:p>
      <w:pPr>
        <w:pStyle w:val="ListBullet"/>
      </w:pPr>
      <w:r>
        <w:t>Government's profit oil share represents its tax take</w:t>
      </w:r>
    </w:p>
    <w:p>
      <w:pPr>
        <w:pStyle w:val="ListBullet"/>
      </w:pPr>
      <w:r>
        <w:t xml:space="preserve">Common in: </w:t>
      </w:r>
      <w:r>
        <w:rPr>
          <w:b/>
        </w:rPr>
        <w:t>Malaysia, Indonesia (pre-2017), Qatar, Angola</w:t>
      </w:r>
    </w:p>
    <w:p>
      <w:r>
        <w:rPr>
          <w:b/>
        </w:rPr>
        <w:t>Fiscal Elements: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↓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↓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Available Production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↓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Split into: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├─ Cost Oil (50-80% ceiling) → Contractor recovers costs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└─ Profit Oil → Split between Government (65-85%) and Contractor (15-35%)</w:t>
      </w:r>
    </w:p>
    <w:p/>
    <w:p>
      <w:r>
        <w:rPr>
          <w:b/>
        </w:rPr>
        <w:t>Advantages:</w:t>
      </w:r>
    </w:p>
    <w:p>
      <w:pPr>
        <w:pStyle w:val="ListBullet"/>
      </w:pPr>
      <w:r>
        <w:t>Simplified tax administration</w:t>
      </w:r>
    </w:p>
    <w:p>
      <w:pPr>
        <w:pStyle w:val="ListBullet"/>
      </w:pPr>
      <w:r>
        <w:t>No transfer pricing disputes on cost recovery</w:t>
      </w:r>
    </w:p>
    <w:p>
      <w:pPr>
        <w:pStyle w:val="ListBullet"/>
      </w:pPr>
      <w:r>
        <w:t>Predictable government take through contract terms</w:t>
      </w:r>
    </w:p>
    <w:p>
      <w:pPr>
        <w:pStyle w:val="Heading4"/>
      </w:pPr>
      <w:r>
        <w:t>1.3.2 Tax/Royalty PSC (Hybrid System)</w:t>
      </w:r>
    </w:p>
    <w:p>
      <w:r>
        <w:rPr>
          <w:b/>
        </w:rPr>
        <w:t>Structure:</w:t>
      </w:r>
    </w:p>
    <w:p>
      <w:pPr>
        <w:pStyle w:val="ListBullet"/>
      </w:pPr>
      <w:r>
        <w:t xml:space="preserve">Contractor pays </w:t>
      </w:r>
      <w:r>
        <w:rPr>
          <w:b/>
        </w:rPr>
        <w:t>both</w:t>
      </w:r>
      <w:r>
        <w:t xml:space="preserve"> income tax </w:t>
      </w:r>
      <w:r>
        <w:rPr>
          <w:b/>
        </w:rPr>
        <w:t>and</w:t>
      </w:r>
      <w:r>
        <w:t xml:space="preserve"> shares profit oil with government</w:t>
      </w:r>
    </w:p>
    <w:p>
      <w:pPr>
        <w:pStyle w:val="ListBullet"/>
      </w:pPr>
      <w:r>
        <w:t>Dual taxation mechanism increases government flexibility</w:t>
      </w:r>
    </w:p>
    <w:p>
      <w:pPr>
        <w:pStyle w:val="ListBullet"/>
      </w:pPr>
      <w:r>
        <w:t xml:space="preserve">Common in: </w:t>
      </w:r>
      <w:r>
        <w:rPr>
          <w:b/>
        </w:rPr>
        <w:t>Egypt, Libya, Vietnam, Indonesia (post-2017), Iraq</w:t>
      </w:r>
    </w:p>
    <w:p>
      <w:r>
        <w:rPr>
          <w:b/>
        </w:rPr>
        <w:t>Example - Egypt PSC:</w:t>
      </w:r>
    </w:p>
    <w:p>
      <w:pPr>
        <w:pStyle w:val="ListBullet"/>
      </w:pPr>
      <w:r>
        <w:t>Cost recovery ceiling: 40%</w:t>
      </w:r>
    </w:p>
    <w:p>
      <w:pPr>
        <w:pStyle w:val="ListBullet"/>
      </w:pPr>
      <w:r>
        <w:t>Profit oil split: Government 75% / Contractor 25%</w:t>
      </w:r>
    </w:p>
    <w:p>
      <w:pPr>
        <w:pStyle w:val="ListBullet"/>
      </w:pPr>
      <w:r>
        <w:t>Corporate income tax: 40.55% on contractor's profit oil</w:t>
      </w:r>
    </w:p>
    <w:p>
      <w:pPr>
        <w:pStyle w:val="ListBullet"/>
      </w:pPr>
      <w:r>
        <w:rPr>
          <w:b/>
        </w:rPr>
        <w:t>Effective government take:</w:t>
      </w:r>
      <w:r>
        <w:t xml:space="preserve"> ~85-90%</w:t>
      </w:r>
    </w:p>
    <w:p>
      <w:r>
        <w:rPr>
          <w:b/>
        </w:rPr>
        <w:t>Complexity:</w:t>
      </w:r>
      <w:r>
        <w:t xml:space="preserve"> Requires careful tax treaty analysis as contractor pays tax on profit oil share.</w:t>
      </w:r>
    </w:p>
    <w:p>
      <w:pPr>
        <w:pStyle w:val="Heading4"/>
      </w:pPr>
      <w:r>
        <w:t>1.3.3 Risk Service Contract (RSC)</w:t>
      </w:r>
    </w:p>
    <w:p>
      <w:r>
        <w:rPr>
          <w:b/>
        </w:rPr>
        <w:t>Structure:</w:t>
      </w:r>
    </w:p>
    <w:p>
      <w:pPr>
        <w:pStyle w:val="ListBullet"/>
      </w:pPr>
      <w:r>
        <w:t xml:space="preserve">Contractor provides services for a </w:t>
      </w:r>
      <w:r>
        <w:rPr>
          <w:b/>
        </w:rPr>
        <w:t>fixed fee or percentage of production</w:t>
      </w:r>
    </w:p>
    <w:p>
      <w:pPr>
        <w:pStyle w:val="ListBullet"/>
      </w:pPr>
      <w:r>
        <w:t>No cost recovery mechanism</w:t>
      </w:r>
    </w:p>
    <w:p>
      <w:pPr>
        <w:pStyle w:val="ListBullet"/>
      </w:pPr>
      <w:r>
        <w:t>Government bears all cost risk</w:t>
      </w:r>
    </w:p>
    <w:p>
      <w:pPr>
        <w:pStyle w:val="ListBullet"/>
      </w:pPr>
      <w:r>
        <w:t xml:space="preserve">Historically used in: </w:t>
      </w:r>
      <w:r>
        <w:rPr>
          <w:b/>
        </w:rPr>
        <w:t>Mexico (pre-2014), Iran, some Venezuelan contracts</w:t>
      </w:r>
    </w:p>
    <w:p>
      <w:r>
        <w:rPr>
          <w:b/>
        </w:rPr>
        <w:t>Distinguishing Features:</w:t>
      </w:r>
    </w:p>
    <w:p>
      <w:pPr>
        <w:pStyle w:val="ListBullet"/>
      </w:pPr>
      <w:r>
        <w:t>Contractor has no equity stake in reserves</w:t>
      </w:r>
    </w:p>
    <w:p>
      <w:pPr>
        <w:pStyle w:val="ListBullet"/>
      </w:pPr>
      <w:r>
        <w:t>Service fee may be paid in cash or oil equivalent</w:t>
      </w:r>
    </w:p>
    <w:p>
      <w:pPr>
        <w:pStyle w:val="ListBullet"/>
      </w:pPr>
      <w:r>
        <w:t>Minimal tax complexity but lower contractor returns</w:t>
      </w:r>
    </w:p>
    <w:p>
      <w:pPr>
        <w:pStyle w:val="Heading4"/>
      </w:pPr>
      <w:r>
        <w:t>1.3.4 Modified PSCs and Contemporary Variations</w:t>
      </w:r>
    </w:p>
    <w:p>
      <w:r>
        <w:rPr>
          <w:b/>
        </w:rPr>
        <w:t>R-Factor Based PSCs:</w:t>
      </w:r>
    </w:p>
    <w:p>
      <w:pPr>
        <w:pStyle w:val="ListBullet"/>
      </w:pPr>
      <w:r>
        <w:t xml:space="preserve">Profit split varies based on </w:t>
      </w:r>
      <w:r>
        <w:rPr>
          <w:b/>
        </w:rPr>
        <w:t>cumulative revenue/cost ratio</w:t>
      </w:r>
    </w:p>
    <w:p>
      <w:pPr>
        <w:pStyle w:val="ListBullet"/>
      </w:pPr>
      <w:r>
        <w:t>More progressive - increases government take as project becomes profitable</w:t>
      </w:r>
    </w:p>
    <w:p>
      <w:pPr>
        <w:pStyle w:val="ListBullet"/>
      </w:pPr>
      <w:r>
        <w:t xml:space="preserve">Used in: </w:t>
      </w:r>
      <w:r>
        <w:rPr>
          <w:b/>
        </w:rPr>
        <w:t>Azerbaijan, Trinidad &amp; Tobago, Ghana</w:t>
      </w:r>
    </w:p>
    <w:p>
      <w:r>
        <w:rPr>
          <w:b/>
        </w:rPr>
        <w:t>Sliding Scale PSCs:</w:t>
      </w:r>
    </w:p>
    <w:p>
      <w:pPr>
        <w:pStyle w:val="ListBullet"/>
      </w:pPr>
      <w:r>
        <w:t>Profit split adjusts based on daily/cumulative production or oil price</w:t>
      </w:r>
    </w:p>
    <w:p>
      <w:pPr>
        <w:pStyle w:val="ListBullet"/>
      </w:pPr>
      <w:r>
        <w:t xml:space="preserve">Example: </w:t>
      </w:r>
      <w:r>
        <w:rPr>
          <w:b/>
        </w:rPr>
        <w:t>Timor-Leste</w:t>
      </w:r>
      <w:r>
        <w:t xml:space="preserve"> - Government share increases from 60% to 80% as production exceeds thresholds</w:t>
      </w:r>
    </w:p>
    <w:p>
      <w:pPr>
        <w:pStyle w:val="Heading3"/>
      </w:pPr>
      <w:r>
        <w:t>1.4 PSC vs. Concession/Licence Regime - Comparative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PSC Regime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Concession Regime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Resource Ownership</w:t>
            </w:r>
          </w:p>
        </w:tc>
        <w:tc>
          <w:tcPr>
            <w:tcW w:type="dxa" w:w="2880"/>
          </w:tcPr>
          <w:p>
            <w:r/>
            <w:r>
              <w:t>State retains ownership throughout</w:t>
            </w:r>
          </w:p>
        </w:tc>
        <w:tc>
          <w:tcPr>
            <w:tcW w:type="dxa" w:w="2880"/>
          </w:tcPr>
          <w:p>
            <w:r/>
            <w:r>
              <w:t>Transfers to contractor at extraction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Contractor Rights</w:t>
            </w:r>
          </w:p>
        </w:tc>
        <w:tc>
          <w:tcPr>
            <w:tcW w:type="dxa" w:w="2880"/>
          </w:tcPr>
          <w:p>
            <w:r/>
            <w:r>
              <w:t>Contractual right to share of production</w:t>
            </w:r>
          </w:p>
        </w:tc>
        <w:tc>
          <w:tcPr>
            <w:tcW w:type="dxa" w:w="2880"/>
          </w:tcPr>
          <w:p>
            <w:r/>
            <w:r>
              <w:t>Ownership title to extracted resources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Government Revenue</w:t>
            </w:r>
          </w:p>
        </w:tc>
        <w:tc>
          <w:tcPr>
            <w:tcW w:type="dxa" w:w="2880"/>
          </w:tcPr>
          <w:p>
            <w:r/>
            <w:r>
              <w:t>Profit oil share + Tax (if applicable) + Royalty</w:t>
            </w:r>
          </w:p>
        </w:tc>
        <w:tc>
          <w:tcPr>
            <w:tcW w:type="dxa" w:w="2880"/>
          </w:tcPr>
          <w:p>
            <w:r/>
            <w:r>
              <w:t>Royalty + Corporate income tax + Resource rent taxes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Cost Recovery</w:t>
            </w:r>
          </w:p>
        </w:tc>
        <w:tc>
          <w:tcPr>
            <w:tcW w:type="dxa" w:w="2880"/>
          </w:tcPr>
          <w:p>
            <w:r/>
            <w:r>
              <w:t>Explicit "cost oil" allocation (50-80% ceiling)</w:t>
            </w:r>
          </w:p>
        </w:tc>
        <w:tc>
          <w:tcPr>
            <w:tcW w:type="dxa" w:w="2880"/>
          </w:tcPr>
          <w:p>
            <w:r/>
            <w:r>
              <w:t>Tax deductions per domestic tax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Ring-Fencing</w:t>
            </w:r>
          </w:p>
        </w:tc>
        <w:tc>
          <w:tcPr>
            <w:tcW w:type="dxa" w:w="2880"/>
          </w:tcPr>
          <w:p>
            <w:r/>
            <w:r>
              <w:t>Contract-level (no cross-contract consolidation)</w:t>
            </w:r>
          </w:p>
        </w:tc>
        <w:tc>
          <w:tcPr>
            <w:tcW w:type="dxa" w:w="2880"/>
          </w:tcPr>
          <w:p>
            <w:r/>
            <w:r>
              <w:t>Field/licence/activity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Accounting Basis</w:t>
            </w:r>
          </w:p>
        </w:tc>
        <w:tc>
          <w:tcPr>
            <w:tcW w:type="dxa" w:w="2880"/>
          </w:tcPr>
          <w:p>
            <w:r/>
            <w:r>
              <w:t>PSC-specific accounting (ringfenced)</w:t>
            </w:r>
          </w:p>
        </w:tc>
        <w:tc>
          <w:tcPr>
            <w:tcW w:type="dxa" w:w="2880"/>
          </w:tcPr>
          <w:p>
            <w:r/>
            <w:r>
              <w:t>IFRS/GAAP with tax adjustments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Fiscal Stability</w:t>
            </w:r>
          </w:p>
        </w:tc>
        <w:tc>
          <w:tcPr>
            <w:tcW w:type="dxa" w:w="2880"/>
          </w:tcPr>
          <w:p>
            <w:r/>
            <w:r>
              <w:t>Contractual stabilization common (10-30 years)</w:t>
            </w:r>
          </w:p>
        </w:tc>
        <w:tc>
          <w:tcPr>
            <w:tcW w:type="dxa" w:w="2880"/>
          </w:tcPr>
          <w:p>
            <w:r/>
            <w:r>
              <w:t>Subject to legislative 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Transfer Pricing Exposure</w:t>
            </w:r>
          </w:p>
        </w:tc>
        <w:tc>
          <w:tcPr>
            <w:tcW w:type="dxa" w:w="2880"/>
          </w:tcPr>
          <w:p>
            <w:r/>
            <w:r>
              <w:t>Limited to cost recovery audits</w:t>
            </w:r>
          </w:p>
        </w:tc>
        <w:tc>
          <w:tcPr>
            <w:tcW w:type="dxa" w:w="2880"/>
          </w:tcPr>
          <w:p>
            <w:r/>
            <w:r>
              <w:t>Full TP rules on all related-party transactions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Depreciation</w:t>
            </w:r>
          </w:p>
        </w:tc>
        <w:tc>
          <w:tcPr>
            <w:tcW w:type="dxa" w:w="2880"/>
          </w:tcPr>
          <w:p>
            <w:r/>
            <w:r>
              <w:t>PSC-defined (often immediate or 5-year straight-line)</w:t>
            </w:r>
          </w:p>
        </w:tc>
        <w:tc>
          <w:tcPr>
            <w:tcW w:type="dxa" w:w="2880"/>
          </w:tcPr>
          <w:p>
            <w:r/>
            <w:r>
              <w:t>Tax code depreciation schedules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Loss Utilization</w:t>
            </w:r>
          </w:p>
        </w:tc>
        <w:tc>
          <w:tcPr>
            <w:tcW w:type="dxa" w:w="2880"/>
          </w:tcPr>
          <w:p>
            <w:r/>
            <w:r>
              <w:t>Contract-level only, often with uplift</w:t>
            </w:r>
          </w:p>
        </w:tc>
        <w:tc>
          <w:tcPr>
            <w:tcW w:type="dxa" w:w="2880"/>
          </w:tcPr>
          <w:p>
            <w:r/>
            <w:r>
              <w:t>Potentially group-wide (subject to ring-fencing)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Decommissioning</w:t>
            </w:r>
          </w:p>
        </w:tc>
        <w:tc>
          <w:tcPr>
            <w:tcW w:type="dxa" w:w="2880"/>
          </w:tcPr>
          <w:p>
            <w:r/>
            <w:r>
              <w:t>Recovered through cost oil (future costs)</w:t>
            </w:r>
          </w:p>
        </w:tc>
        <w:tc>
          <w:tcPr>
            <w:tcW w:type="dxa" w:w="2880"/>
          </w:tcPr>
          <w:p>
            <w:r/>
            <w:r>
              <w:t>Tax deductible when incurred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Typical Jurisdictions</w:t>
            </w:r>
          </w:p>
        </w:tc>
        <w:tc>
          <w:tcPr>
            <w:tcW w:type="dxa" w:w="2880"/>
          </w:tcPr>
          <w:p>
            <w:r/>
            <w:r>
              <w:t>Indonesia, Malaysia, Angola, Iraq, Egypt, Trinidad</w:t>
            </w:r>
          </w:p>
        </w:tc>
        <w:tc>
          <w:tcPr>
            <w:tcW w:type="dxa" w:w="2880"/>
          </w:tcPr>
          <w:p>
            <w:r/>
            <w:r>
              <w:t>UK, Norway, USA, Canada, Australia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Technical Rules and Fiscal Mechanics</w:t>
      </w:r>
    </w:p>
    <w:p>
      <w:pPr>
        <w:pStyle w:val="Heading3"/>
      </w:pPr>
      <w:r>
        <w:t>2.1 Cost Oil/Gas - Recovery Mechanism</w:t>
      </w:r>
    </w:p>
    <w:p>
      <w:pPr>
        <w:pStyle w:val="Heading4"/>
      </w:pPr>
      <w:r>
        <w:t>2.1.1 Cost Recovery Ceiling</w:t>
      </w:r>
    </w:p>
    <w:p>
      <w:r>
        <w:t xml:space="preserve">The </w:t>
      </w:r>
      <w:r>
        <w:rPr>
          <w:b/>
        </w:rPr>
        <w:t>cost recovery ceiling</w:t>
      </w:r>
      <w:r>
        <w:t xml:space="preserve"> (or </w:t>
      </w:r>
      <w:r>
        <w:rPr>
          <w:b/>
        </w:rPr>
        <w:t>cost stop</w:t>
      </w:r>
      <w:r>
        <w:t>) limits the percentage of available production that can be used for cost recovery in any period. This ceiling ensures the government receives a minimum share of production value even during high-cost development phases, providing revenue predictability and preventing contractors from allocating all production to cost recovery before profit-sharing occurs:</w:t>
      </w:r>
    </w:p>
    <w:p>
      <w:r>
        <w:rPr>
          <w:b/>
        </w:rPr>
        <w:t>Typical Ceilings:</w:t>
      </w:r>
    </w:p>
    <w:p>
      <w:pPr>
        <w:pStyle w:val="ListBullet"/>
      </w:pPr>
      <w:r>
        <w:t>Indonesia: 100% (post-2017 "Gross Split" PSCs have no cost recovery)</w:t>
      </w:r>
    </w:p>
    <w:p>
      <w:pPr>
        <w:pStyle w:val="ListBullet"/>
      </w:pPr>
      <w:r>
        <w:t>Malaysia: 50-70% depending on water depth and field complexity</w:t>
      </w:r>
    </w:p>
    <w:p>
      <w:pPr>
        <w:pStyle w:val="ListBullet"/>
      </w:pPr>
      <w:r>
        <w:t>Iraq: 70% (Technical Service Contracts)</w:t>
      </w:r>
    </w:p>
    <w:p>
      <w:pPr>
        <w:pStyle w:val="ListBullet"/>
      </w:pPr>
      <w:r>
        <w:t>Angola: 50%</w:t>
      </w:r>
    </w:p>
    <w:p>
      <w:pPr>
        <w:pStyle w:val="ListBullet"/>
      </w:pPr>
      <w:r>
        <w:t>Ghana: 60%</w:t>
      </w:r>
    </w:p>
    <w:p>
      <w:r>
        <w:rPr>
          <w:b/>
        </w:rPr>
        <w:t>Calculation: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Maximum Cost Recovery = Cost Recovery Ceiling % × (Gross Production - Royalty)</w:t>
      </w:r>
    </w:p>
    <w:p/>
    <w:p>
      <w:r>
        <w:rPr>
          <w:b/>
        </w:rPr>
        <w:t>Impact of Ceiling:</w:t>
      </w:r>
    </w:p>
    <w:p>
      <w:pPr>
        <w:pStyle w:val="ListBullet"/>
      </w:pPr>
      <w:r>
        <w:rPr>
          <w:b/>
        </w:rPr>
        <w:t>Costs exceeding ceiling</w:t>
      </w:r>
      <w:r>
        <w:t xml:space="preserve"> are carried forward to future periods</w:t>
      </w:r>
    </w:p>
    <w:p>
      <w:pPr>
        <w:pStyle w:val="ListBullet"/>
      </w:pPr>
      <w:r>
        <w:t xml:space="preserve">Carried forward costs typically receive </w:t>
      </w:r>
      <w:r>
        <w:rPr>
          <w:b/>
        </w:rPr>
        <w:t>uplift</w:t>
      </w:r>
      <w:r>
        <w:t xml:space="preserve"> (time value compensation)</w:t>
      </w:r>
    </w:p>
    <w:p>
      <w:pPr>
        <w:pStyle w:val="ListBullet"/>
      </w:pPr>
      <w:r>
        <w:t>Creates cash flow timing disadvantage for contractor in early years</w:t>
      </w:r>
    </w:p>
    <w:p>
      <w:pPr>
        <w:pStyle w:val="Heading4"/>
      </w:pPr>
      <w:r>
        <w:t>2.1.2 Eligible Recoverable Costs</w:t>
      </w:r>
    </w:p>
    <w:p>
      <w:r>
        <w:rPr>
          <w:b/>
        </w:rPr>
        <w:t>Operating Expenditure (OPEX):</w:t>
      </w:r>
    </w:p>
    <w:p>
      <w:pPr>
        <w:pStyle w:val="ListBullet"/>
      </w:pPr>
      <w:r>
        <w:t>Fully recoverable in the period incurred</w:t>
      </w:r>
    </w:p>
    <w:p>
      <w:pPr>
        <w:pStyle w:val="ListBullet"/>
      </w:pPr>
      <w:r>
        <w:t>Includes: Production operations, maintenance, well workovers, transportation to delivery point</w:t>
      </w:r>
    </w:p>
    <w:p>
      <w:pPr>
        <w:pStyle w:val="ListBullet"/>
      </w:pPr>
      <w:r>
        <w:rPr>
          <w:b/>
        </w:rPr>
        <w:t>Treatment:</w:t>
      </w:r>
      <w:r>
        <w:t xml:space="preserve"> Immediate recovery (subject to ceiling)</w:t>
      </w:r>
    </w:p>
    <w:p>
      <w:r>
        <w:rPr>
          <w:b/>
        </w:rPr>
        <w:t>Capital Expenditure (CAPEX):</w:t>
      </w:r>
    </w:p>
    <w:p>
      <w:pPr>
        <w:pStyle w:val="ListBullet"/>
      </w:pPr>
      <w:r>
        <w:t>Depreciated over PSC-defined schedule (typically 3-7 years, straight-line)</w:t>
      </w:r>
    </w:p>
    <w:p>
      <w:pPr>
        <w:pStyle w:val="ListBullet"/>
      </w:pPr>
      <w:r>
        <w:t>Includes: Drilling, facilities, pipelines, infrastructure</w:t>
      </w:r>
    </w:p>
    <w:p>
      <w:pPr>
        <w:pStyle w:val="ListBullet"/>
      </w:pPr>
      <w:r>
        <w:rPr>
          <w:b/>
        </w:rPr>
        <w:t>Example:</w:t>
      </w:r>
      <w:r>
        <w:t xml:space="preserve"> $100M facility cost with 5-year depreciation = $20M annual cost recovery</w:t>
      </w:r>
    </w:p>
    <w:p>
      <w:r>
        <w:rPr>
          <w:b/>
        </w:rPr>
        <w:t>Exploration Costs:</w:t>
      </w:r>
    </w:p>
    <w:p>
      <w:pPr>
        <w:pStyle w:val="ListBullet"/>
      </w:pPr>
      <w:r>
        <w:rPr>
          <w:b/>
        </w:rPr>
        <w:t>Successful wells:</w:t>
      </w:r>
      <w:r>
        <w:t xml:space="preserve"> Fully recoverable (often capitalized and depreciated)</w:t>
      </w:r>
    </w:p>
    <w:p>
      <w:pPr>
        <w:pStyle w:val="ListBullet"/>
      </w:pPr>
      <w:r>
        <w:rPr>
          <w:b/>
        </w:rPr>
        <w:t>Dry holes:</w:t>
      </w:r>
      <w:r>
        <w:t xml:space="preserve"> May be limited (e.g., 50% recoverable) or fully expensed</w:t>
      </w:r>
    </w:p>
    <w:p>
      <w:pPr>
        <w:pStyle w:val="ListBullet"/>
      </w:pPr>
      <w:r>
        <w:rPr>
          <w:b/>
        </w:rPr>
        <w:t>Seismic and geological:</w:t>
      </w:r>
      <w:r>
        <w:t xml:space="preserve"> Usually 100% recoverable</w:t>
      </w:r>
    </w:p>
    <w:p>
      <w:r>
        <w:rPr>
          <w:b/>
        </w:rPr>
        <w:t>Indirect Costs and Overheads:</w:t>
      </w:r>
    </w:p>
    <w:p>
      <w:pPr>
        <w:pStyle w:val="ListBullet"/>
      </w:pPr>
      <w:r>
        <w:t xml:space="preserve">Head office allocations typically </w:t>
      </w:r>
      <w:r>
        <w:rPr>
          <w:b/>
        </w:rPr>
        <w:t>limited to 1-2.5%</w:t>
      </w:r>
      <w:r>
        <w:t xml:space="preserve"> of direct costs</w:t>
      </w:r>
    </w:p>
    <w:p>
      <w:pPr>
        <w:pStyle w:val="ListBullet"/>
      </w:pPr>
      <w:r>
        <w:t xml:space="preserve">Subject to </w:t>
      </w:r>
      <w:r>
        <w:rPr>
          <w:b/>
        </w:rPr>
        <w:t>arm's length principle</w:t>
      </w:r>
      <w:r>
        <w:t xml:space="preserve"> under transfer pricing rules</w:t>
      </w:r>
    </w:p>
    <w:p>
      <w:pPr>
        <w:pStyle w:val="ListBullet"/>
      </w:pPr>
      <w:r>
        <w:t>Common disputes arise over management fees and technical service charges</w:t>
      </w:r>
    </w:p>
    <w:p>
      <w:r>
        <w:rPr>
          <w:b/>
        </w:rPr>
        <w:t>Non-Recoverable Costs:</w:t>
      </w:r>
    </w:p>
    <w:p>
      <w:pPr>
        <w:pStyle w:val="ListBullet"/>
      </w:pPr>
      <w:r>
        <w:t>Corporate income tax paid by contractor</w:t>
      </w:r>
    </w:p>
    <w:p>
      <w:pPr>
        <w:pStyle w:val="ListBullet"/>
      </w:pPr>
      <w:r>
        <w:t>Interest on borrowings (in most PSCs)</w:t>
      </w:r>
    </w:p>
    <w:p>
      <w:pPr>
        <w:pStyle w:val="ListBullet"/>
      </w:pPr>
      <w:r>
        <w:t>Fines, penalties, and donations</w:t>
      </w:r>
    </w:p>
    <w:p>
      <w:pPr>
        <w:pStyle w:val="ListBullet"/>
      </w:pPr>
      <w:r>
        <w:t>Costs incurred outside the contract area</w:t>
      </w:r>
    </w:p>
    <w:p>
      <w:pPr>
        <w:pStyle w:val="ListBullet"/>
      </w:pPr>
      <w:r>
        <w:t>Above-market affiliate charges (failing arm's length test)</w:t>
      </w:r>
    </w:p>
    <w:p>
      <w:pPr>
        <w:pStyle w:val="Heading4"/>
      </w:pPr>
      <w:r>
        <w:t>2.1.3 Cost Recovery Uplift</w:t>
      </w:r>
    </w:p>
    <w:p>
      <w:r>
        <w:rPr>
          <w:b/>
        </w:rPr>
        <w:t>Purpose:</w:t>
      </w:r>
      <w:r>
        <w:t xml:space="preserve"> Compensate contractor for time value of money on unrecovered costs.</w:t>
      </w:r>
    </w:p>
    <w:p>
      <w:r>
        <w:rPr>
          <w:b/>
        </w:rPr>
        <w:t>Typical Rates:</w:t>
      </w:r>
    </w:p>
    <w:p>
      <w:pPr>
        <w:pStyle w:val="ListBullet"/>
      </w:pPr>
      <w:r>
        <w:rPr>
          <w:b/>
        </w:rPr>
        <w:t>Simple uplift:</w:t>
      </w:r>
      <w:r>
        <w:t xml:space="preserve"> 2-5% per annum on unrecovered balance</w:t>
      </w:r>
    </w:p>
    <w:p>
      <w:pPr>
        <w:pStyle w:val="ListBullet"/>
      </w:pPr>
      <w:r>
        <w:rPr>
          <w:b/>
        </w:rPr>
        <w:t>Compound uplift:</w:t>
      </w:r>
      <w:r>
        <w:t xml:space="preserve"> 5-10% per annum (less common)</w:t>
      </w:r>
    </w:p>
    <w:p>
      <w:pPr>
        <w:pStyle w:val="ListBullet"/>
      </w:pPr>
      <w:r>
        <w:rPr>
          <w:b/>
        </w:rPr>
        <w:t>Linked rates:</w:t>
      </w:r>
      <w:r>
        <w:t xml:space="preserve"> LIBOR + margin (e.g., Indonesia historically used 6-month LIBOR + 2%)</w:t>
      </w:r>
    </w:p>
    <w:p>
      <w:r>
        <w:rPr>
          <w:b/>
        </w:rPr>
        <w:t>Mechanism: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 (Year N) = [Unrecovered Costs (Year N-1) + New Costs Incurred]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× (1 + Uplift Rate)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- Cost Recovery Received</w:t>
      </w:r>
    </w:p>
    <w:p/>
    <w:p>
      <w:r>
        <w:rPr>
          <w:b/>
        </w:rPr>
        <w:t>Example - Malaysia Deepwater PSC:</w:t>
      </w:r>
    </w:p>
    <w:p>
      <w:pPr>
        <w:pStyle w:val="ListBullet"/>
      </w:pPr>
      <w:r>
        <w:t>Unrecovered costs at Year 3 start: $500M</w:t>
      </w:r>
    </w:p>
    <w:p>
      <w:pPr>
        <w:pStyle w:val="ListBullet"/>
      </w:pPr>
      <w:r>
        <w:t>Uplift rate: 5% per annum</w:t>
      </w:r>
    </w:p>
    <w:p>
      <w:pPr>
        <w:pStyle w:val="ListBullet"/>
      </w:pPr>
      <w:r>
        <w:t>Uplift amount: $25M</w:t>
      </w:r>
    </w:p>
    <w:p>
      <w:pPr>
        <w:pStyle w:val="ListBullet"/>
      </w:pPr>
      <w:r>
        <w:t>New costs Year 3: $100M</w:t>
      </w:r>
    </w:p>
    <w:p>
      <w:pPr>
        <w:pStyle w:val="ListBullet"/>
      </w:pPr>
      <w:r>
        <w:t>Total cost recovery pool: $625M</w:t>
      </w:r>
    </w:p>
    <w:p>
      <w:pPr>
        <w:pStyle w:val="ListBullet"/>
      </w:pPr>
      <w:r>
        <w:t>Less: Cost recovery received: $200M (limited by 60% ceiling)</w:t>
      </w:r>
    </w:p>
    <w:p>
      <w:pPr>
        <w:pStyle w:val="ListBullet"/>
      </w:pPr>
      <w:r>
        <w:rPr>
          <w:b/>
        </w:rPr>
        <w:t>Carry forward to Year 4:</w:t>
      </w:r>
      <w:r>
        <w:t xml:space="preserve"> $425M (plus Year 4 uplift)</w:t>
      </w:r>
    </w:p>
    <w:p>
      <w:pPr>
        <w:pStyle w:val="Heading3"/>
      </w:pPr>
      <w:r>
        <w:t>2.2 Profit Oil/Gas Split Mechanisms</w:t>
      </w:r>
    </w:p>
    <w:p>
      <w:pPr>
        <w:pStyle w:val="Heading4"/>
      </w:pPr>
      <w:r>
        <w:t>2.2.1 Fixed Percentage Split</w:t>
      </w:r>
    </w:p>
    <w:p>
      <w:r>
        <w:rPr>
          <w:b/>
        </w:rPr>
        <w:t>Characteristics:</w:t>
      </w:r>
    </w:p>
    <w:p>
      <w:pPr>
        <w:pStyle w:val="ListBullet"/>
      </w:pPr>
      <w:r>
        <w:t>Negotiated at contract signature</w:t>
      </w:r>
    </w:p>
    <w:p>
      <w:pPr>
        <w:pStyle w:val="ListBullet"/>
      </w:pPr>
      <w:r>
        <w:t>Remains constant throughout contract life</w:t>
      </w:r>
    </w:p>
    <w:p>
      <w:pPr>
        <w:pStyle w:val="ListBullet"/>
      </w:pPr>
      <w:r>
        <w:t>Simple to administer but less responsive to economics</w:t>
      </w:r>
    </w:p>
    <w:p>
      <w:r>
        <w:rPr>
          <w:b/>
        </w:rPr>
        <w:t>Example - Classic Malaysia PSC (onshore):</w:t>
      </w:r>
    </w:p>
    <w:p>
      <w:pPr>
        <w:pStyle w:val="ListBullet"/>
      </w:pPr>
      <w:r>
        <w:t>Government: 70%</w:t>
      </w:r>
    </w:p>
    <w:p>
      <w:pPr>
        <w:pStyle w:val="ListBullet"/>
      </w:pPr>
      <w:r>
        <w:t>Contractor: 30%</w:t>
      </w:r>
    </w:p>
    <w:p>
      <w:pPr>
        <w:pStyle w:val="ListBullet"/>
      </w:pPr>
      <w:r>
        <w:t>No variation regardless of profitability or production levels</w:t>
      </w:r>
    </w:p>
    <w:p>
      <w:pPr>
        <w:pStyle w:val="Heading4"/>
      </w:pPr>
      <w:r>
        <w:t>2.2.2 R-Factor (Revenue/Cost Ratio) Sliding Scale</w:t>
      </w:r>
    </w:p>
    <w:p>
      <w:r>
        <w:rPr>
          <w:b/>
        </w:rPr>
        <w:t>Definition: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 = Cumulative Gross Revenue / Cumulative Costs Incurred</w:t>
      </w:r>
    </w:p>
    <w:p/>
    <w:p>
      <w:r>
        <w:rPr>
          <w:b/>
        </w:rPr>
        <w:t>Purpose:</w:t>
      </w:r>
      <w:r>
        <w:t xml:space="preserve"> Progressive fiscal regime - government take increases as project profitability improves. This mechanism addresses the challenge that fixed profit splits may under-tax highly profitable projects while over-burdening marginal fields. The R-Factor ensures contractors recover their capital before government take escalates, balancing risk-reward between parties while capturing economic rent from exceptionally profitable discoveries.</w:t>
      </w:r>
    </w:p>
    <w:p>
      <w:r>
        <w:rPr>
          <w:b/>
        </w:rPr>
        <w:t>Example - Azerbaijan PSC (Shah Deniz field):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R-Factor Range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Government Share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Contractor Share</w:t>
            </w:r>
          </w:p>
        </w:tc>
      </w:tr>
      <w:tr>
        <w:tc>
          <w:tcPr>
            <w:tcW w:type="dxa" w:w="2880"/>
          </w:tcPr>
          <w:p>
            <w:r/>
            <w:r>
              <w:t>R &lt; 1.0</w:t>
            </w:r>
          </w:p>
        </w:tc>
        <w:tc>
          <w:tcPr>
            <w:tcW w:type="dxa" w:w="2880"/>
          </w:tcPr>
          <w:p>
            <w:r/>
            <w:r>
              <w:t>50%</w:t>
            </w:r>
          </w:p>
        </w:tc>
        <w:tc>
          <w:tcPr>
            <w:tcW w:type="dxa" w:w="2880"/>
          </w:tcPr>
          <w:p>
            <w:r/>
            <w:r>
              <w:t>50%</w:t>
            </w:r>
          </w:p>
        </w:tc>
      </w:tr>
      <w:tr>
        <w:tc>
          <w:tcPr>
            <w:tcW w:type="dxa" w:w="2880"/>
          </w:tcPr>
          <w:p>
            <w:r/>
            <w:r>
              <w:t>1.0 ≤ R &lt; 1.5</w:t>
            </w:r>
          </w:p>
        </w:tc>
        <w:tc>
          <w:tcPr>
            <w:tcW w:type="dxa" w:w="2880"/>
          </w:tcPr>
          <w:p>
            <w:r/>
            <w:r>
              <w:t>60%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</w:tr>
      <w:tr>
        <w:tc>
          <w:tcPr>
            <w:tcW w:type="dxa" w:w="2880"/>
          </w:tcPr>
          <w:p>
            <w:r/>
            <w:r>
              <w:t>1.5 ≤ R &lt; 2.0</w:t>
            </w:r>
          </w:p>
        </w:tc>
        <w:tc>
          <w:tcPr>
            <w:tcW w:type="dxa" w:w="2880"/>
          </w:tcPr>
          <w:p>
            <w:r/>
            <w:r>
              <w:t>70%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</w:tr>
      <w:tr>
        <w:tc>
          <w:tcPr>
            <w:tcW w:type="dxa" w:w="2880"/>
          </w:tcPr>
          <w:p>
            <w:r/>
            <w:r>
              <w:t>2.0 ≤ R &lt; 3.0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t>R ≥ 3.0</w:t>
            </w:r>
          </w:p>
        </w:tc>
        <w:tc>
          <w:tcPr>
            <w:tcW w:type="dxa" w:w="2880"/>
          </w:tcPr>
          <w:p>
            <w:r/>
            <w:r>
              <w:t>85%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</w:tr>
    </w:tbl>
    <w:p/>
    <w:p>
      <w:r>
        <w:rPr>
          <w:b/>
        </w:rPr>
        <w:t>Calculation Considerations:</w:t>
      </w:r>
    </w:p>
    <w:p>
      <w:pPr>
        <w:pStyle w:val="ListBullet"/>
      </w:pPr>
      <w:r>
        <w:rPr>
          <w:b/>
        </w:rPr>
        <w:t>Revenue:</w:t>
      </w:r>
      <w:r>
        <w:t xml:space="preserve"> Gross production value (including government royalty in some PSCs)</w:t>
      </w:r>
    </w:p>
    <w:p>
      <w:pPr>
        <w:pStyle w:val="ListBullet"/>
      </w:pPr>
      <w:r>
        <w:rPr>
          <w:b/>
        </w:rPr>
        <w:t>Costs:</w:t>
      </w:r>
      <w:r>
        <w:t xml:space="preserve"> All costs incurred since contract inception (not just recovered costs)</w:t>
      </w:r>
    </w:p>
    <w:p>
      <w:pPr>
        <w:pStyle w:val="ListBullet"/>
      </w:pPr>
      <w:r>
        <w:rPr>
          <w:b/>
        </w:rPr>
        <w:t>Cumulative basis:</w:t>
      </w:r>
      <w:r>
        <w:t xml:space="preserve"> Recalculated annually as cumulative values change</w:t>
      </w:r>
    </w:p>
    <w:p>
      <w:pPr>
        <w:pStyle w:val="ListBullet"/>
      </w:pPr>
      <w:r>
        <w:rPr>
          <w:b/>
        </w:rPr>
        <w:t>Transition management:</w:t>
      </w:r>
      <w:r>
        <w:t xml:space="preserve"> Some PSCs smooth transitions between brackets</w:t>
      </w:r>
    </w:p>
    <w:p>
      <w:pPr>
        <w:pStyle w:val="Heading4"/>
      </w:pPr>
      <w:r>
        <w:t>2.2.3 Production-Based Sliding Scale</w:t>
      </w:r>
    </w:p>
    <w:p>
      <w:r>
        <w:rPr>
          <w:b/>
        </w:rPr>
        <w:t>Mechanism:</w:t>
      </w:r>
      <w:r>
        <w:t xml:space="preserve"> Profit split adjusts based on daily or cumulative production volumes.</w:t>
      </w:r>
    </w:p>
    <w:p>
      <w:r>
        <w:rPr>
          <w:b/>
        </w:rPr>
        <w:t>Example - Timor-Leste PSC: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Production (barrels/day)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Government Share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Contractor Share</w:t>
            </w:r>
          </w:p>
        </w:tc>
      </w:tr>
      <w:tr>
        <w:tc>
          <w:tcPr>
            <w:tcW w:type="dxa" w:w="2880"/>
          </w:tcPr>
          <w:p>
            <w:r/>
            <w:r>
              <w:t>0 - 50,000</w:t>
            </w:r>
          </w:p>
        </w:tc>
        <w:tc>
          <w:tcPr>
            <w:tcW w:type="dxa" w:w="2880"/>
          </w:tcPr>
          <w:p>
            <w:r/>
            <w:r>
              <w:t>60%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</w:tr>
      <w:tr>
        <w:tc>
          <w:tcPr>
            <w:tcW w:type="dxa" w:w="2880"/>
          </w:tcPr>
          <w:p>
            <w:r/>
            <w:r>
              <w:t>50,001 - 100,000</w:t>
            </w:r>
          </w:p>
        </w:tc>
        <w:tc>
          <w:tcPr>
            <w:tcW w:type="dxa" w:w="2880"/>
          </w:tcPr>
          <w:p>
            <w:r/>
            <w:r>
              <w:t>70%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</w:tr>
      <w:tr>
        <w:tc>
          <w:tcPr>
            <w:tcW w:type="dxa" w:w="2880"/>
          </w:tcPr>
          <w:p>
            <w:r/>
            <w:r>
              <w:t>100,001 - 150,000</w:t>
            </w:r>
          </w:p>
        </w:tc>
        <w:tc>
          <w:tcPr>
            <w:tcW w:type="dxa" w:w="2880"/>
          </w:tcPr>
          <w:p>
            <w:r/>
            <w:r>
              <w:t>75%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</w:tr>
      <w:tr>
        <w:tc>
          <w:tcPr>
            <w:tcW w:type="dxa" w:w="2880"/>
          </w:tcPr>
          <w:p>
            <w:r/>
            <w:r>
              <w:t>&gt; 150,000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</w:tbl>
    <w:p/>
    <w:p>
      <w:r>
        <w:rPr>
          <w:b/>
        </w:rPr>
        <w:t>Rationale:</w:t>
      </w:r>
      <w:r>
        <w:t xml:space="preserve"> Larger fields generate greater profits; sliding scale captures additional rent for government.</w:t>
      </w:r>
    </w:p>
    <w:p>
      <w:pPr>
        <w:pStyle w:val="Heading4"/>
      </w:pPr>
      <w:r>
        <w:t>2.2.4 Price-Based Sliding Scale</w:t>
      </w:r>
    </w:p>
    <w:p>
      <w:r>
        <w:rPr>
          <w:b/>
        </w:rPr>
        <w:t>Mechanism:</w:t>
      </w:r>
      <w:r>
        <w:t xml:space="preserve"> Government share increases as oil/gas prices rise.</w:t>
      </w:r>
    </w:p>
    <w:p>
      <w:r>
        <w:rPr>
          <w:b/>
        </w:rPr>
        <w:t>Example - Trinidad &amp; Tobago (hypothetical):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Oil Price ($/barrel)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Government Share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Contractor Share</w:t>
            </w:r>
          </w:p>
        </w:tc>
      </w:tr>
      <w:tr>
        <w:tc>
          <w:tcPr>
            <w:tcW w:type="dxa" w:w="2880"/>
          </w:tcPr>
          <w:p>
            <w:r/>
            <w:r>
              <w:t>&lt; $60</w:t>
            </w:r>
          </w:p>
        </w:tc>
        <w:tc>
          <w:tcPr>
            <w:tcW w:type="dxa" w:w="2880"/>
          </w:tcPr>
          <w:p>
            <w:r/>
            <w:r>
              <w:t>55%</w:t>
            </w:r>
          </w:p>
        </w:tc>
        <w:tc>
          <w:tcPr>
            <w:tcW w:type="dxa" w:w="2880"/>
          </w:tcPr>
          <w:p>
            <w:r/>
            <w:r>
              <w:t>45%</w:t>
            </w:r>
          </w:p>
        </w:tc>
      </w:tr>
      <w:tr>
        <w:tc>
          <w:tcPr>
            <w:tcW w:type="dxa" w:w="2880"/>
          </w:tcPr>
          <w:p>
            <w:r/>
            <w:r>
              <w:t>$60 - $80</w:t>
            </w:r>
          </w:p>
        </w:tc>
        <w:tc>
          <w:tcPr>
            <w:tcW w:type="dxa" w:w="2880"/>
          </w:tcPr>
          <w:p>
            <w:r/>
            <w:r>
              <w:t>65%</w:t>
            </w:r>
          </w:p>
        </w:tc>
        <w:tc>
          <w:tcPr>
            <w:tcW w:type="dxa" w:w="2880"/>
          </w:tcPr>
          <w:p>
            <w:r/>
            <w:r>
              <w:t>35%</w:t>
            </w:r>
          </w:p>
        </w:tc>
      </w:tr>
      <w:tr>
        <w:tc>
          <w:tcPr>
            <w:tcW w:type="dxa" w:w="2880"/>
          </w:tcPr>
          <w:p>
            <w:r/>
            <w:r>
              <w:t>$80 - $100</w:t>
            </w:r>
          </w:p>
        </w:tc>
        <w:tc>
          <w:tcPr>
            <w:tcW w:type="dxa" w:w="2880"/>
          </w:tcPr>
          <w:p>
            <w:r/>
            <w:r>
              <w:t>75%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</w:tr>
      <w:tr>
        <w:tc>
          <w:tcPr>
            <w:tcW w:type="dxa" w:w="2880"/>
          </w:tcPr>
          <w:p>
            <w:r/>
            <w:r>
              <w:t>&gt; $100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</w:tbl>
    <w:p/>
    <w:p>
      <w:r>
        <w:rPr>
          <w:b/>
        </w:rPr>
        <w:t>Complexity:</w:t>
      </w:r>
      <w:r>
        <w:t xml:space="preserve"> Requires agreed price reference (e.g., Brent, WTI) and adjustment mechanism.</w:t>
      </w:r>
    </w:p>
    <w:p>
      <w:pPr>
        <w:pStyle w:val="Heading3"/>
      </w:pPr>
      <w:r>
        <w:t>2.3 Royalties in PSC Regimes</w:t>
      </w:r>
    </w:p>
    <w:p>
      <w:r>
        <w:rPr>
          <w:b/>
        </w:rPr>
        <w:t>Types:</w:t>
      </w:r>
    </w:p>
    <w:p>
      <w:pPr>
        <w:pStyle w:val="ListNumber"/>
      </w:pPr>
      <w:r>
        <w:rPr>
          <w:b/>
        </w:rPr>
        <w:t>Ad Valorem Royalty (percentage of gross value):</w:t>
      </w:r>
    </w:p>
    <w:p>
      <w:pPr>
        <w:pStyle w:val="ListBullet"/>
        <w:ind w:left="360"/>
      </w:pPr>
      <w:r>
        <w:t>Typical range: 5-15%</w:t>
      </w:r>
    </w:p>
    <w:p>
      <w:pPr>
        <w:pStyle w:val="ListBullet"/>
        <w:ind w:left="360"/>
      </w:pPr>
      <w:r>
        <w:t>Payable before cost/profit split</w:t>
      </w:r>
    </w:p>
    <w:p>
      <w:pPr>
        <w:pStyle w:val="ListBullet"/>
        <w:ind w:left="360"/>
      </w:pPr>
      <w:r>
        <w:t>Example: Egypt (10%), Indonesia (historically 15-20%)</w:t>
      </w:r>
    </w:p>
    <w:p>
      <w:pPr>
        <w:pStyle w:val="ListNumber"/>
      </w:pPr>
      <w:r>
        <w:rPr>
          <w:b/>
        </w:rPr>
        <w:t>Specific Royalty (per unit):</w:t>
      </w:r>
    </w:p>
    <w:p>
      <w:pPr>
        <w:pStyle w:val="ListBullet"/>
        <w:ind w:left="360"/>
      </w:pPr>
      <w:r>
        <w:t>Fixed amount per barrel/MCF</w:t>
      </w:r>
    </w:p>
    <w:p>
      <w:pPr>
        <w:pStyle w:val="ListBullet"/>
        <w:ind w:left="360"/>
      </w:pPr>
      <w:r>
        <w:t>Less common in PSCs</w:t>
      </w:r>
    </w:p>
    <w:p>
      <w:pPr>
        <w:pStyle w:val="ListBullet"/>
        <w:ind w:left="360"/>
      </w:pPr>
      <w:r>
        <w:t>Inflation-adjusted in long-term contracts</w:t>
      </w:r>
    </w:p>
    <w:p>
      <w:pPr>
        <w:pStyle w:val="ListNumber"/>
      </w:pPr>
      <w:r>
        <w:rPr>
          <w:b/>
        </w:rPr>
        <w:t>Zero Royalty:</w:t>
      </w:r>
    </w:p>
    <w:p>
      <w:pPr>
        <w:pStyle w:val="ListBullet"/>
        <w:ind w:left="360"/>
      </w:pPr>
      <w:r>
        <w:t>Some PSCs have no separate royalty (e.g., Malaysia)</w:t>
      </w:r>
    </w:p>
    <w:p>
      <w:pPr>
        <w:pStyle w:val="ListBullet"/>
        <w:ind w:left="360"/>
      </w:pPr>
      <w:r>
        <w:t>Government take entirely through profit oil share</w:t>
      </w:r>
    </w:p>
    <w:p>
      <w:r>
        <w:rPr>
          <w:b/>
        </w:rPr>
        <w:t>Tax Treatment:</w:t>
      </w:r>
    </w:p>
    <w:p>
      <w:pPr>
        <w:pStyle w:val="ListBullet"/>
      </w:pPr>
      <w:r>
        <w:t xml:space="preserve">Royalty typically </w:t>
      </w:r>
      <w:r>
        <w:rPr>
          <w:b/>
        </w:rPr>
        <w:t>deducted from gross production</w:t>
      </w:r>
      <w:r>
        <w:t xml:space="preserve"> before cost/profit split</w:t>
      </w:r>
    </w:p>
    <w:p>
      <w:pPr>
        <w:pStyle w:val="ListBullet"/>
      </w:pPr>
      <w:r>
        <w:t>Not a recoverable cost for contractor</w:t>
      </w:r>
    </w:p>
    <w:p>
      <w:pPr>
        <w:pStyle w:val="ListBullet"/>
      </w:pPr>
      <w:r>
        <w:t>Reduces available production for cost recovery</w:t>
      </w:r>
    </w:p>
    <w:p>
      <w:r>
        <w:rPr>
          <w:b/>
        </w:rPr>
        <w:t>Calculation Order: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 (100%)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↓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 → Paid to Government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↓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Available Production → Used for Cost Recovery and Profit Oil Split</w:t>
      </w:r>
    </w:p>
    <w:p/>
    <w:p>
      <w:pPr>
        <w:pStyle w:val="Heading3"/>
      </w:pPr>
      <w:r>
        <w:t>2.4 Signature Bonuses and Additional Payments</w:t>
      </w:r>
    </w:p>
    <w:p>
      <w:r>
        <w:rPr>
          <w:b/>
        </w:rPr>
        <w:t>Signature Bonus:</w:t>
      </w:r>
    </w:p>
    <w:p>
      <w:pPr>
        <w:pStyle w:val="ListBullet"/>
      </w:pPr>
      <w:r>
        <w:t>One-time payment upon contract execution</w:t>
      </w:r>
    </w:p>
    <w:p>
      <w:pPr>
        <w:pStyle w:val="ListBullet"/>
      </w:pPr>
      <w:r>
        <w:t>Typical range: $1M - $100M+ depending on prospectivity</w:t>
      </w:r>
    </w:p>
    <w:p>
      <w:pPr>
        <w:pStyle w:val="ListBullet"/>
      </w:pPr>
      <w:r>
        <w:rPr>
          <w:b/>
        </w:rPr>
        <w:t>Tax treatment:</w:t>
      </w:r>
      <w:r>
        <w:t xml:space="preserve"> Usually non-recoverable (sunk cost)</w:t>
      </w:r>
    </w:p>
    <w:p>
      <w:r>
        <w:rPr>
          <w:b/>
        </w:rPr>
        <w:t>Production Bonuses:</w:t>
      </w:r>
    </w:p>
    <w:p>
      <w:pPr>
        <w:pStyle w:val="ListBullet"/>
      </w:pPr>
      <w:r>
        <w:t>Triggered by cumulative production milestones</w:t>
      </w:r>
    </w:p>
    <w:p>
      <w:pPr>
        <w:pStyle w:val="ListBullet"/>
      </w:pPr>
      <w:r>
        <w:t>Example: $10M at 100 million barrels, $20M at 200 million barrels</w:t>
      </w:r>
    </w:p>
    <w:p>
      <w:pPr>
        <w:pStyle w:val="ListBullet"/>
      </w:pPr>
      <w:r>
        <w:rPr>
          <w:b/>
        </w:rPr>
        <w:t>Cost recovery:</w:t>
      </w:r>
      <w:r>
        <w:t xml:space="preserve"> Sometimes recoverable, sometimes not (PSC-specific)</w:t>
      </w:r>
    </w:p>
    <w:p>
      <w:r>
        <w:rPr>
          <w:b/>
        </w:rPr>
        <w:t>Discovery Bonuses:</w:t>
      </w:r>
    </w:p>
    <w:p>
      <w:pPr>
        <w:pStyle w:val="ListBullet"/>
      </w:pPr>
      <w:r>
        <w:t>Payable upon commercial discovery declaration</w:t>
      </w:r>
    </w:p>
    <w:p>
      <w:pPr>
        <w:pStyle w:val="ListBullet"/>
      </w:pPr>
      <w:r>
        <w:t>Encourages exploration in frontier areas</w:t>
      </w:r>
    </w:p>
    <w:p>
      <w:pPr>
        <w:pStyle w:val="ListBullet"/>
      </w:pPr>
      <w:r>
        <w:t>Typical: $1M - $20M per discovery</w:t>
      </w:r>
    </w:p>
    <w:p>
      <w:pPr>
        <w:pStyle w:val="Heading3"/>
      </w:pPr>
      <w:r>
        <w:t>2.5 Income Tax Treatment Under PSCs</w:t>
      </w:r>
    </w:p>
    <w:p>
      <w:pPr>
        <w:pStyle w:val="Heading4"/>
      </w:pPr>
      <w:r>
        <w:t>2.5.1 Tax In-Lieu Arrangement</w:t>
      </w:r>
    </w:p>
    <w:p>
      <w:r>
        <w:rPr>
          <w:b/>
        </w:rPr>
        <w:t>Mechanism:</w:t>
      </w:r>
    </w:p>
    <w:p>
      <w:pPr>
        <w:pStyle w:val="ListBullet"/>
      </w:pPr>
      <w:r>
        <w:t>Contractor exempt from corporate income tax</w:t>
      </w:r>
    </w:p>
    <w:p>
      <w:pPr>
        <w:pStyle w:val="ListBullet"/>
      </w:pPr>
      <w:r>
        <w:t xml:space="preserve">Government's profit oil share </w:t>
      </w:r>
      <w:r>
        <w:rPr>
          <w:b/>
        </w:rPr>
        <w:t>deemed to include</w:t>
      </w:r>
      <w:r>
        <w:t xml:space="preserve"> the contractor's tax obligation</w:t>
      </w:r>
    </w:p>
    <w:p>
      <w:pPr>
        <w:pStyle w:val="ListBullet"/>
      </w:pPr>
      <w:r>
        <w:rPr>
          <w:b/>
        </w:rPr>
        <w:t>Gross-up calculation:</w:t>
      </w:r>
      <w:r>
        <w:t xml:space="preserve"> Government share set to achieve target effective tax rate</w:t>
      </w:r>
    </w:p>
    <w:p>
      <w:r>
        <w:rPr>
          <w:b/>
        </w:rPr>
        <w:t>Example - Angola PSC:</w:t>
      </w:r>
    </w:p>
    <w:p>
      <w:pPr>
        <w:pStyle w:val="ListBullet"/>
      </w:pPr>
      <w:r>
        <w:t>Target combined government take: 80%</w:t>
      </w:r>
    </w:p>
    <w:p>
      <w:pPr>
        <w:pStyle w:val="ListBullet"/>
      </w:pPr>
      <w:r>
        <w:t>If profit oil split is Government 75% / Contractor 25%</w:t>
      </w:r>
    </w:p>
    <w:p>
      <w:pPr>
        <w:pStyle w:val="ListBullet"/>
      </w:pPr>
      <w:r>
        <w:t>The 75% is deemed to include corporate tax that would have been payable on contractor's 25%</w:t>
      </w:r>
    </w:p>
    <w:p>
      <w:r>
        <w:rPr>
          <w:b/>
        </w:rPr>
        <w:t>Advantages:</w:t>
      </w:r>
    </w:p>
    <w:p>
      <w:pPr>
        <w:pStyle w:val="ListBullet"/>
      </w:pPr>
      <w:r>
        <w:t>Simplifies compliance - no tax returns required</w:t>
      </w:r>
    </w:p>
    <w:p>
      <w:pPr>
        <w:pStyle w:val="ListBullet"/>
      </w:pPr>
      <w:r>
        <w:t>Eliminates transfer pricing on profit allocation</w:t>
      </w:r>
    </w:p>
    <w:p>
      <w:pPr>
        <w:pStyle w:val="ListBullet"/>
      </w:pPr>
      <w:r>
        <w:t>Provides certainty to contractor</w:t>
      </w:r>
    </w:p>
    <w:p>
      <w:r>
        <w:rPr>
          <w:b/>
        </w:rPr>
        <w:t>Treaty Considerations:</w:t>
      </w:r>
    </w:p>
    <w:p>
      <w:pPr>
        <w:pStyle w:val="ListBullet"/>
      </w:pPr>
      <w:r>
        <w:t>Tax in-lieu may not be creditable in contractor's home jurisdiction</w:t>
      </w:r>
    </w:p>
    <w:p>
      <w:pPr>
        <w:pStyle w:val="ListBullet"/>
      </w:pPr>
      <w:r>
        <w:t>Treaty "subject to tax" clauses may deny benefits</w:t>
      </w:r>
    </w:p>
    <w:p>
      <w:pPr>
        <w:pStyle w:val="ListBullet"/>
      </w:pPr>
      <w:r>
        <w:t>Requires careful structuring for foreign tax credit purposes</w:t>
      </w:r>
    </w:p>
    <w:p>
      <w:pPr>
        <w:pStyle w:val="Heading4"/>
      </w:pPr>
      <w:r>
        <w:t>2.5.2 Direct Taxation Model</w:t>
      </w:r>
    </w:p>
    <w:p>
      <w:r>
        <w:rPr>
          <w:b/>
        </w:rPr>
        <w:t>Mechanism:</w:t>
      </w:r>
    </w:p>
    <w:p>
      <w:pPr>
        <w:pStyle w:val="ListBullet"/>
      </w:pPr>
      <w:r>
        <w:t>Contractor pays corporate income tax on its profit oil share</w:t>
      </w:r>
    </w:p>
    <w:p>
      <w:pPr>
        <w:pStyle w:val="ListBullet"/>
      </w:pPr>
      <w:r>
        <w:t xml:space="preserve">Income tax is </w:t>
      </w:r>
      <w:r>
        <w:rPr>
          <w:b/>
        </w:rPr>
        <w:t>non-recoverable</w:t>
      </w:r>
      <w:r>
        <w:t xml:space="preserve"> cost (increases project cost burden)</w:t>
      </w:r>
    </w:p>
    <w:p>
      <w:pPr>
        <w:pStyle w:val="ListBullet"/>
      </w:pPr>
      <w:r>
        <w:t>Government receives both profit oil share and tax revenue</w:t>
      </w:r>
    </w:p>
    <w:p>
      <w:r>
        <w:rPr>
          <w:b/>
        </w:rPr>
        <w:t>Example - Egypt PSC:</w:t>
      </w:r>
    </w:p>
    <w:p>
      <w:pPr>
        <w:pStyle w:val="ListBullet"/>
      </w:pPr>
      <w:r>
        <w:t>Profit oil split: Government 75% / Contractor 25%</w:t>
      </w:r>
    </w:p>
    <w:p>
      <w:pPr>
        <w:pStyle w:val="ListBullet"/>
      </w:pPr>
      <w:r>
        <w:t>Corporate tax rate: 40.55%</w:t>
      </w:r>
    </w:p>
    <w:p>
      <w:pPr>
        <w:pStyle w:val="ListBullet"/>
      </w:pPr>
      <w:r>
        <w:rPr>
          <w:b/>
        </w:rPr>
        <w:t>Taxable income:</w:t>
      </w:r>
      <w:r>
        <w:t xml:space="preserve"> Contractor's 25% profit oil share</w:t>
      </w:r>
    </w:p>
    <w:p>
      <w:pPr>
        <w:pStyle w:val="ListBullet"/>
      </w:pPr>
      <w:r>
        <w:rPr>
          <w:b/>
        </w:rPr>
        <w:t>Tax payable:</w:t>
      </w:r>
      <w:r>
        <w:t xml:space="preserve"> 40.55% × 25% = 10.1% of total profit oil</w:t>
      </w:r>
    </w:p>
    <w:p>
      <w:pPr>
        <w:pStyle w:val="ListBullet"/>
      </w:pPr>
      <w:r>
        <w:rPr>
          <w:b/>
        </w:rPr>
        <w:t>Contractor net:</w:t>
      </w:r>
      <w:r>
        <w:t xml:space="preserve"> 25% - 10.1% = 14.9% of profit oil</w:t>
      </w:r>
    </w:p>
    <w:p>
      <w:r>
        <w:rPr>
          <w:b/>
        </w:rPr>
        <w:t>Transfer Pricing Implications:</w:t>
      </w:r>
    </w:p>
    <w:p>
      <w:pPr>
        <w:pStyle w:val="ListBullet"/>
      </w:pPr>
      <w:r>
        <w:t>Full transfer pricing rules apply to cost recovery</w:t>
      </w:r>
    </w:p>
    <w:p>
      <w:pPr>
        <w:pStyle w:val="ListBullet"/>
      </w:pPr>
      <w:r>
        <w:t>Related-party costs must satisfy arm's length principle</w:t>
      </w:r>
    </w:p>
    <w:p>
      <w:pPr>
        <w:pStyle w:val="ListBullet"/>
      </w:pPr>
      <w:r>
        <w:t>Documentation requirements: Master File, Local File, CbCR (OECD BEPS Action 13)</w:t>
      </w:r>
    </w:p>
    <w:p>
      <w:pPr>
        <w:pStyle w:val="Heading3"/>
      </w:pPr>
      <w:r>
        <w:t>2.6 Ring-Fencing Provisions</w:t>
      </w:r>
    </w:p>
    <w:p>
      <w:r>
        <w:rPr>
          <w:b/>
        </w:rPr>
        <w:t>PSC Ring-Fencing Principle:</w:t>
      </w:r>
      <w:r>
        <w:t xml:space="preserve"> Each PSC contract is a </w:t>
      </w:r>
      <w:r>
        <w:rPr>
          <w:b/>
        </w:rPr>
        <w:t>separate fiscal entity</w:t>
      </w:r>
      <w:r>
        <w:t>.</w:t>
      </w:r>
    </w:p>
    <w:p>
      <w:r>
        <w:rPr>
          <w:b/>
        </w:rPr>
        <w:t>Implications:</w:t>
      </w:r>
    </w:p>
    <w:p>
      <w:pPr>
        <w:pStyle w:val="ListBullet"/>
      </w:pPr>
      <w:r>
        <w:t>Costs incurred under PSC A cannot be recovered from production under PSC B</w:t>
      </w:r>
    </w:p>
    <w:p>
      <w:pPr>
        <w:pStyle w:val="ListBullet"/>
      </w:pPr>
      <w:r>
        <w:t>Profits from PSC A cannot be offset by losses from PSC B (if contractor pays tax)</w:t>
      </w:r>
    </w:p>
    <w:p>
      <w:pPr>
        <w:pStyle w:val="ListBullet"/>
      </w:pPr>
      <w:r>
        <w:t>No group relief or consolidation</w:t>
      </w:r>
    </w:p>
    <w:p>
      <w:pPr>
        <w:pStyle w:val="ListBullet"/>
      </w:pPr>
      <w:r>
        <w:t>Each PSC must stand alone financially</w:t>
      </w:r>
    </w:p>
    <w:p>
      <w:r>
        <w:rPr>
          <w:b/>
        </w:rPr>
        <w:t>Exception - Joint Development Zones:</w:t>
      </w:r>
    </w:p>
    <w:p>
      <w:pPr>
        <w:pStyle w:val="ListBullet"/>
      </w:pPr>
      <w:r>
        <w:t>Some jurisdictions permit cost pooling across adjacent blocks operated by same contractor</w:t>
      </w:r>
    </w:p>
    <w:p>
      <w:pPr>
        <w:pStyle w:val="ListBullet"/>
      </w:pPr>
      <w:r>
        <w:t>Example: Malaysia-Thailand Joint Development Area allows cross-contract cost recovery within JDA</w:t>
      </w:r>
    </w:p>
    <w:p>
      <w:r>
        <w:rPr>
          <w:b/>
        </w:rPr>
        <w:t>Decommissioning Ring-Fencing:</w:t>
      </w:r>
    </w:p>
    <w:p>
      <w:pPr>
        <w:pStyle w:val="ListBullet"/>
      </w:pPr>
      <w:r>
        <w:t>Future decommissioning costs estimated and recovered through cost oil during production phase</w:t>
      </w:r>
    </w:p>
    <w:p>
      <w:pPr>
        <w:pStyle w:val="ListBullet"/>
      </w:pPr>
      <w:r>
        <w:t xml:space="preserve">Creates </w:t>
      </w:r>
      <w:r>
        <w:rPr>
          <w:b/>
        </w:rPr>
        <w:t>decommissioning reserve fund</w:t>
      </w:r>
      <w:r>
        <w:t xml:space="preserve"> (held by government or in escrow)</w:t>
      </w:r>
    </w:p>
    <w:p>
      <w:pPr>
        <w:pStyle w:val="ListBullet"/>
      </w:pPr>
      <w:r>
        <w:t>Upon field abandonment, reserved funds used for actual decommissioning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Analytical Depth and Cross-Border Considerations</w:t>
      </w:r>
    </w:p>
    <w:p>
      <w:pPr>
        <w:pStyle w:val="Heading3"/>
      </w:pPr>
      <w:r>
        <w:t>3.1 Transfer Pricing in PSC Regimes</w:t>
      </w:r>
    </w:p>
    <w:p>
      <w:pPr>
        <w:pStyle w:val="Heading4"/>
      </w:pPr>
      <w:r>
        <w:t>3.1.1 Cost Recovery Audits</w:t>
      </w:r>
    </w:p>
    <w:p>
      <w:r>
        <w:rPr>
          <w:b/>
        </w:rPr>
        <w:t>Government Scrutiny:</w:t>
      </w:r>
      <w:r>
        <w:t xml:space="preserve"> Annual or bi-annual audits of claimed recoverable costs.</w:t>
      </w:r>
    </w:p>
    <w:p>
      <w:r>
        <w:rPr>
          <w:b/>
        </w:rPr>
        <w:t>High-Risk Areas:</w:t>
      </w:r>
    </w:p>
    <w:p>
      <w:pPr>
        <w:pStyle w:val="ListNumber"/>
      </w:pPr>
      <w:r>
        <w:rPr>
          <w:b/>
        </w:rPr>
        <w:t>Drilling services from affiliates:</w:t>
      </w:r>
      <w:r>
        <w:t xml:space="preserve"> Daily rig rates must be comparable</w:t>
      </w:r>
    </w:p>
    <w:p>
      <w:pPr>
        <w:pStyle w:val="ListNumber"/>
      </w:pPr>
      <w:r>
        <w:rPr>
          <w:b/>
        </w:rPr>
        <w:t>Technical and management fees:</w:t>
      </w:r>
      <w:r>
        <w:t xml:space="preserve"> Allocation keys and benchmarking required</w:t>
      </w:r>
    </w:p>
    <w:p>
      <w:pPr>
        <w:pStyle w:val="ListNumber"/>
      </w:pPr>
      <w:r>
        <w:rPr>
          <w:b/>
        </w:rPr>
        <w:t>Equipment rentals:</w:t>
      </w:r>
      <w:r>
        <w:t xml:space="preserve"> Market rates for similar assets</w:t>
      </w:r>
    </w:p>
    <w:p>
      <w:pPr>
        <w:pStyle w:val="ListNumber"/>
      </w:pPr>
      <w:r>
        <w:rPr>
          <w:b/>
        </w:rPr>
        <w:t>Shared services:</w:t>
      </w:r>
      <w:r>
        <w:t xml:space="preserve"> Cost allocation methodology documentation</w:t>
      </w:r>
    </w:p>
    <w:p>
      <w:pPr>
        <w:pStyle w:val="ListNumber"/>
      </w:pPr>
      <w:r>
        <w:rPr>
          <w:b/>
        </w:rPr>
        <w:t>Procurement through related entities:</w:t>
      </w:r>
      <w:r>
        <w:t xml:space="preserve"> Mark-ups must be arm's length</w:t>
      </w:r>
    </w:p>
    <w:p>
      <w:r>
        <w:rPr>
          <w:b/>
        </w:rPr>
        <w:t>Documentation Requirements:</w:t>
      </w:r>
    </w:p>
    <w:p>
      <w:pPr>
        <w:pStyle w:val="ListBullet"/>
      </w:pPr>
      <w:r>
        <w:t>Detailed invoices and contracts</w:t>
      </w:r>
    </w:p>
    <w:p>
      <w:pPr>
        <w:pStyle w:val="ListBullet"/>
      </w:pPr>
      <w:r>
        <w:t>Benchmarking studies (comparables)</w:t>
      </w:r>
    </w:p>
    <w:p>
      <w:pPr>
        <w:pStyle w:val="ListBullet"/>
      </w:pPr>
      <w:r>
        <w:t>Cost allocation methodology reports</w:t>
      </w:r>
    </w:p>
    <w:p>
      <w:pPr>
        <w:pStyle w:val="ListBullet"/>
      </w:pPr>
      <w:r>
        <w:t>Board resolutions approving related-party agreements</w:t>
      </w:r>
    </w:p>
    <w:p>
      <w:r>
        <w:rPr>
          <w:b/>
        </w:rPr>
        <w:t>Penalties for Disallowed Costs:</w:t>
      </w:r>
    </w:p>
    <w:p>
      <w:pPr>
        <w:pStyle w:val="ListBullet"/>
      </w:pPr>
      <w:r>
        <w:t xml:space="preserve">Costs deemed non-arm's length are </w:t>
      </w:r>
      <w:r>
        <w:rPr>
          <w:b/>
        </w:rPr>
        <w:t>disallowed</w:t>
      </w:r>
      <w:r>
        <w:t xml:space="preserve"> from cost recovery</w:t>
      </w:r>
    </w:p>
    <w:p>
      <w:pPr>
        <w:pStyle w:val="ListBullet"/>
      </w:pPr>
      <w:r>
        <w:t>May trigger back-taxes or adjustments to prior periods</w:t>
      </w:r>
    </w:p>
    <w:p>
      <w:pPr>
        <w:pStyle w:val="ListBullet"/>
      </w:pPr>
      <w:r>
        <w:t>In extreme cases, contract termination for material breach</w:t>
      </w:r>
    </w:p>
    <w:p>
      <w:pPr>
        <w:pStyle w:val="Heading4"/>
      </w:pPr>
      <w:r>
        <w:t>3.1.2 Sale of Production Transfer Pricing</w:t>
      </w:r>
    </w:p>
    <w:p>
      <w:r>
        <w:rPr>
          <w:b/>
        </w:rPr>
        <w:t>Issue:</w:t>
      </w:r>
      <w:r>
        <w:t xml:space="preserve"> When contractor sells its profit oil to a related-party trader/refiner.</w:t>
      </w:r>
    </w:p>
    <w:p>
      <w:r>
        <w:rPr>
          <w:b/>
        </w:rPr>
        <w:t>Arm's Length Pricing Methods:</w:t>
      </w:r>
    </w:p>
    <w:p>
      <w:pPr>
        <w:pStyle w:val="ListBullet"/>
      </w:pPr>
      <w:r>
        <w:rPr>
          <w:b/>
        </w:rPr>
        <w:t>Comparable Uncontrolled Price (CUP):</w:t>
      </w:r>
      <w:r>
        <w:t xml:space="preserve"> Reference to public indices (Brent, WTI) with quality/delivery adjustments</w:t>
      </w:r>
    </w:p>
    <w:p>
      <w:pPr>
        <w:pStyle w:val="ListBullet"/>
      </w:pPr>
      <w:r>
        <w:rPr>
          <w:b/>
        </w:rPr>
        <w:t>Market price formulas:</w:t>
      </w:r>
      <w:r>
        <w:t xml:space="preserve"> PSC may mandate formula-based pricing (e.g., Platts average for delivery month)</w:t>
      </w:r>
    </w:p>
    <w:p>
      <w:pPr>
        <w:pStyle w:val="ListBullet"/>
      </w:pPr>
      <w:r>
        <w:rPr>
          <w:b/>
        </w:rPr>
        <w:t>Government approval:</w:t>
      </w:r>
      <w:r>
        <w:t xml:space="preserve"> Some PSCs require pre-approval of sales to affiliates</w:t>
      </w:r>
    </w:p>
    <w:p>
      <w:r>
        <w:rPr>
          <w:b/>
        </w:rPr>
        <w:t>OECD Guidance:</w:t>
      </w:r>
      <w:r>
        <w:t xml:space="preserve"> BEPS Action 10 (Transfer Pricing and Commodities) provides framework for commodity pricing.</w:t>
      </w:r>
    </w:p>
    <w:p>
      <w:pPr>
        <w:pStyle w:val="Heading3"/>
      </w:pPr>
      <w:r>
        <w:t>3.2 Treaty Considerations and Withholding Taxes</w:t>
      </w:r>
    </w:p>
    <w:p>
      <w:pPr>
        <w:pStyle w:val="Heading4"/>
      </w:pPr>
      <w:r>
        <w:t>3.2.1 Permanent Establishment (PE)</w:t>
      </w:r>
    </w:p>
    <w:p>
      <w:r>
        <w:rPr>
          <w:b/>
        </w:rPr>
        <w:t>General Rule:</w:t>
      </w:r>
      <w:r>
        <w:t xml:space="preserve"> Extractive activities </w:t>
      </w:r>
      <w:r>
        <w:rPr>
          <w:b/>
        </w:rPr>
        <w:t>always create PE</w:t>
      </w:r>
      <w:r>
        <w:t xml:space="preserve"> in source state (host country).</w:t>
      </w:r>
    </w:p>
    <w:p>
      <w:r>
        <w:rPr>
          <w:b/>
        </w:rPr>
        <w:t>Treaty Provisions:</w:t>
      </w:r>
    </w:p>
    <w:p>
      <w:pPr>
        <w:pStyle w:val="ListBullet"/>
      </w:pPr>
      <w:r>
        <w:t>OECD Model Article 5(2)(f): Mines, oil/gas wells, and extraction operations explicitly listed as PEs</w:t>
      </w:r>
    </w:p>
    <w:p>
      <w:pPr>
        <w:pStyle w:val="ListBullet"/>
      </w:pPr>
      <w:r>
        <w:t>UN Model Article 5: Broader definition, includes exploration activities as PE</w:t>
      </w:r>
    </w:p>
    <w:p>
      <w:r>
        <w:rPr>
          <w:b/>
        </w:rPr>
        <w:t>Consequence:</w:t>
      </w:r>
      <w:r>
        <w:t xml:space="preserve"> Profits from PSC operations always taxable in host state; treaty provides no relief from source taxation.</w:t>
      </w:r>
    </w:p>
    <w:p>
      <w:pPr>
        <w:pStyle w:val="Heading4"/>
      </w:pPr>
      <w:r>
        <w:t>3.2.2 Withholding Taxes on Profit Oil Distributions</w:t>
      </w:r>
    </w:p>
    <w:p>
      <w:r>
        <w:rPr>
          <w:b/>
        </w:rPr>
        <w:t>Characterization Issue:</w:t>
      </w:r>
      <w:r>
        <w:t xml:space="preserve"> Is profit oil distribution a "dividend" subject to WHT when remitted to foreign parent?</w:t>
      </w:r>
    </w:p>
    <w:p>
      <w:r>
        <w:rPr>
          <w:b/>
        </w:rPr>
        <w:t>Common Approach:</w:t>
      </w:r>
    </w:p>
    <w:p>
      <w:pPr>
        <w:pStyle w:val="ListBullet"/>
      </w:pPr>
      <w:r>
        <w:t xml:space="preserve">Profit oil treated as </w:t>
      </w:r>
      <w:r>
        <w:rPr>
          <w:b/>
        </w:rPr>
        <w:t>business income</w:t>
      </w:r>
      <w:r>
        <w:t xml:space="preserve"> (not dividend) under Article 7 (Business Profits)</w:t>
      </w:r>
    </w:p>
    <w:p>
      <w:pPr>
        <w:pStyle w:val="ListBullet"/>
      </w:pPr>
      <w:r>
        <w:t>No withholding tax on profit oil lifting</w:t>
      </w:r>
    </w:p>
    <w:p>
      <w:pPr>
        <w:pStyle w:val="ListBullet"/>
      </w:pPr>
      <w:r>
        <w:rPr>
          <w:b/>
        </w:rPr>
        <w:t>However,</w:t>
      </w:r>
      <w:r>
        <w:t xml:space="preserve"> if contractor is local subsidiary and remits profits as dividend to foreign parent, dividend WHT applies</w:t>
      </w:r>
    </w:p>
    <w:p>
      <w:r>
        <w:rPr>
          <w:b/>
        </w:rPr>
        <w:t>Example - Treaty Analysis:</w:t>
      </w:r>
    </w:p>
    <w:p>
      <w:pPr>
        <w:pStyle w:val="ListBullet"/>
      </w:pPr>
      <w:r>
        <w:t>Malaysian subsidiary (contractor) receives 30% profit oil share</w:t>
      </w:r>
    </w:p>
    <w:p>
      <w:pPr>
        <w:pStyle w:val="ListBullet"/>
      </w:pPr>
      <w:r>
        <w:t>Remits profits to UK parent as dividend</w:t>
      </w:r>
    </w:p>
    <w:p>
      <w:pPr>
        <w:pStyle w:val="ListBullet"/>
      </w:pPr>
      <w:r>
        <w:t>Malaysia domestic WHT: 0% (single-tier system post-2014)</w:t>
      </w:r>
    </w:p>
    <w:p>
      <w:pPr>
        <w:pStyle w:val="ListBullet"/>
      </w:pPr>
      <w:r>
        <w:t>UK-Malaysia treaty: 0% dividend WHT (qualifying participation)</w:t>
      </w:r>
    </w:p>
    <w:p>
      <w:pPr>
        <w:pStyle w:val="ListBullet"/>
      </w:pPr>
      <w:r>
        <w:rPr>
          <w:b/>
        </w:rPr>
        <w:t>Result:</w:t>
      </w:r>
      <w:r>
        <w:t xml:space="preserve"> No WHT leakage</w:t>
      </w:r>
    </w:p>
    <w:p>
      <w:pPr>
        <w:pStyle w:val="Heading4"/>
      </w:pPr>
      <w:r>
        <w:t>3.2.3 Interest and Service Fee Withholding</w:t>
      </w:r>
    </w:p>
    <w:p>
      <w:r>
        <w:rPr>
          <w:b/>
        </w:rPr>
        <w:t>Interest Payments:</w:t>
      </w:r>
    </w:p>
    <w:p>
      <w:pPr>
        <w:pStyle w:val="ListBullet"/>
      </w:pPr>
      <w:r>
        <w:t>If PSC allows interest as recoverable cost (rare), interest on external debt may be subject to WHT</w:t>
      </w:r>
    </w:p>
    <w:p>
      <w:pPr>
        <w:pStyle w:val="ListBullet"/>
      </w:pPr>
      <w:r>
        <w:t>Treaty reduced rate applies (typically 10% OECD Model, 15% UN Model)</w:t>
      </w:r>
    </w:p>
    <w:p>
      <w:pPr>
        <w:pStyle w:val="ListBullet"/>
      </w:pPr>
      <w:r>
        <w:t>Many PSCs exclude interest from cost recovery, eliminating issue</w:t>
      </w:r>
    </w:p>
    <w:p>
      <w:r>
        <w:rPr>
          <w:b/>
        </w:rPr>
        <w:t>Technical Service Fees:</w:t>
      </w:r>
    </w:p>
    <w:p>
      <w:pPr>
        <w:pStyle w:val="ListBullet"/>
      </w:pPr>
      <w:r>
        <w:t>Fees to foreign affiliates for technical services often subject to WHT (10-20% domestic rate)</w:t>
      </w:r>
    </w:p>
    <w:p>
      <w:pPr>
        <w:pStyle w:val="ListBullet"/>
      </w:pPr>
      <w:r>
        <w:t>Treaty Article 7 (Business Profits) or Article 12 (Royalties) depending on characterization</w:t>
      </w:r>
    </w:p>
    <w:p>
      <w:pPr>
        <w:pStyle w:val="ListBullet"/>
      </w:pPr>
      <w:r>
        <w:t>"Services PE" provisions in UN Model may deem PE if services exceed 6-12 months</w:t>
      </w:r>
    </w:p>
    <w:p>
      <w:pPr>
        <w:pStyle w:val="Heading3"/>
      </w:pPr>
      <w:r>
        <w:t>3.3 Carry-Forward Provisions and Loss Utilization</w:t>
      </w:r>
    </w:p>
    <w:p>
      <w:r>
        <w:rPr>
          <w:b/>
        </w:rPr>
        <w:t>Cost Recovery Carry-Forward:</w:t>
      </w:r>
    </w:p>
    <w:p>
      <w:pPr>
        <w:pStyle w:val="ListBullet"/>
      </w:pPr>
      <w:r>
        <w:t>Unrecovered costs automatically carry forward to future periods (with uplift)</w:t>
      </w:r>
    </w:p>
    <w:p>
      <w:pPr>
        <w:pStyle w:val="ListBullet"/>
      </w:pPr>
      <w:r>
        <w:rPr>
          <w:b/>
        </w:rPr>
        <w:t>No time limit</w:t>
      </w:r>
      <w:r>
        <w:t xml:space="preserve"> - continues until field cessation or full recovery</w:t>
      </w:r>
    </w:p>
    <w:p>
      <w:pPr>
        <w:pStyle w:val="ListBullet"/>
      </w:pPr>
      <w:r>
        <w:t>Cannot be transferred to another PSC or taxpayer</w:t>
      </w:r>
    </w:p>
    <w:p>
      <w:r>
        <w:rPr>
          <w:b/>
        </w:rPr>
        <w:t>Tax Loss Carry-Forward (Direct Taxation PSCs):</w:t>
      </w:r>
    </w:p>
    <w:p>
      <w:pPr>
        <w:pStyle w:val="ListBullet"/>
      </w:pPr>
      <w:r>
        <w:t>If contractor pays income tax, tax losses may be carried forward per domestic tax law</w:t>
      </w:r>
    </w:p>
    <w:p>
      <w:pPr>
        <w:pStyle w:val="ListBullet"/>
      </w:pPr>
      <w:r>
        <w:t>Typical: 5-10 years (Indonesia: 5 years; Egypt: 5 years)</w:t>
      </w:r>
    </w:p>
    <w:p>
      <w:pPr>
        <w:pStyle w:val="ListBullet"/>
      </w:pPr>
      <w:r>
        <w:t>Ring-fenced to the specific PSC contract</w:t>
      </w:r>
    </w:p>
    <w:p>
      <w:pPr>
        <w:pStyle w:val="ListBullet"/>
      </w:pPr>
      <w:r>
        <w:t>May receive uplift in some jurisdictions (e.g., Norway 11.5% uplift, though Norway doesn't use PSCs)</w:t>
      </w:r>
    </w:p>
    <w:p>
      <w:r>
        <w:rPr>
          <w:b/>
        </w:rPr>
        <w:t>Carry-Back:</w:t>
      </w:r>
    </w:p>
    <w:p>
      <w:pPr>
        <w:pStyle w:val="ListBullet"/>
      </w:pPr>
      <w:r>
        <w:t>Generally not available in PSC regimes</w:t>
      </w:r>
    </w:p>
    <w:p>
      <w:pPr>
        <w:pStyle w:val="ListBullet"/>
      </w:pPr>
      <w:r>
        <w:t>Some jurisdictions allow 1-year carry-back for corporate tax (rare in extractive sector)</w:t>
      </w:r>
    </w:p>
    <w:p>
      <w:pPr>
        <w:pStyle w:val="Heading3"/>
      </w:pPr>
      <w:r>
        <w:t>3.4 Government Participation and Carried Interests</w:t>
      </w:r>
    </w:p>
    <w:p>
      <w:pPr>
        <w:pStyle w:val="Heading4"/>
      </w:pPr>
      <w:r>
        <w:t>3.4.1 State Participation</w:t>
      </w:r>
    </w:p>
    <w:p>
      <w:r>
        <w:rPr>
          <w:b/>
        </w:rPr>
        <w:t>Direct Participation:</w:t>
      </w:r>
    </w:p>
    <w:p>
      <w:pPr>
        <w:pStyle w:val="ListBullet"/>
      </w:pPr>
      <w:r>
        <w:rPr>
          <w:b/>
        </w:rPr>
        <w:t>National Oil Company (NOC)</w:t>
      </w:r>
      <w:r>
        <w:t xml:space="preserve"> takes working interest in PSC (10-40% common)</w:t>
      </w:r>
    </w:p>
    <w:p>
      <w:pPr>
        <w:pStyle w:val="ListBullet"/>
      </w:pPr>
      <w:r>
        <w:t>The NOC pays its proportionate share of costs</w:t>
      </w:r>
    </w:p>
    <w:p>
      <w:pPr>
        <w:pStyle w:val="ListBullet"/>
      </w:pPr>
      <w:r>
        <w:t>Receives proportionate share of cost oil and contractor profit oil</w:t>
      </w:r>
    </w:p>
    <w:p>
      <w:r>
        <w:rPr>
          <w:b/>
        </w:rPr>
        <w:t>Example - Nigeria PSC:</w:t>
      </w:r>
    </w:p>
    <w:p>
      <w:pPr>
        <w:pStyle w:val="ListBullet"/>
      </w:pPr>
      <w:r>
        <w:t>NNPC (Nigerian National Petroleum Corporation) holds 60% working interest</w:t>
      </w:r>
    </w:p>
    <w:p>
      <w:pPr>
        <w:pStyle w:val="ListBullet"/>
      </w:pPr>
      <w:r>
        <w:t>IOC consortium holds 40%</w:t>
      </w:r>
    </w:p>
    <w:p>
      <w:pPr>
        <w:pStyle w:val="ListBullet"/>
      </w:pPr>
      <w:r>
        <w:t>Government's 60% profit oil share split: NNPC receives 60% of contractor's profit share</w:t>
      </w:r>
    </w:p>
    <w:p>
      <w:pPr>
        <w:pStyle w:val="ListBullet"/>
      </w:pPr>
      <w:r>
        <w:rPr>
          <w:b/>
        </w:rPr>
        <w:t>Effect:</w:t>
      </w:r>
      <w:r>
        <w:t xml:space="preserve"> NNPC receives both profit oil (as government) and working interest share (as participant)</w:t>
      </w:r>
    </w:p>
    <w:p>
      <w:pPr>
        <w:pStyle w:val="Heading4"/>
      </w:pPr>
      <w:r>
        <w:t>3.4.2 Carried Interest</w:t>
      </w:r>
    </w:p>
    <w:p>
      <w:r>
        <w:rPr>
          <w:b/>
        </w:rPr>
        <w:t>Definition:</w:t>
      </w:r>
      <w:r>
        <w:t xml:space="preserve"> Government or NOC has working interest but </w:t>
      </w:r>
      <w:r>
        <w:rPr>
          <w:b/>
        </w:rPr>
        <w:t>costs are carried</w:t>
      </w:r>
      <w:r>
        <w:t xml:space="preserve"> by contractor until payout.</w:t>
      </w:r>
    </w:p>
    <w:p>
      <w:r>
        <w:rPr>
          <w:b/>
        </w:rPr>
        <w:t>Mechanics:</w:t>
      </w:r>
    </w:p>
    <w:p>
      <w:pPr>
        <w:pStyle w:val="ListBullet"/>
      </w:pPr>
      <w:r>
        <w:t>Contractor funds 100% of exploration and development</w:t>
      </w:r>
    </w:p>
    <w:p>
      <w:pPr>
        <w:pStyle w:val="ListBullet"/>
      </w:pPr>
      <w:r>
        <w:t>Upon commercial production, government's working interest "vests"</w:t>
      </w:r>
    </w:p>
    <w:p>
      <w:pPr>
        <w:pStyle w:val="ListBullet"/>
      </w:pPr>
      <w:r>
        <w:t>Contractor recovers carried costs through enhanced cost recovery</w:t>
      </w:r>
    </w:p>
    <w:p>
      <w:pPr>
        <w:pStyle w:val="ListBullet"/>
      </w:pPr>
      <w:r>
        <w:t>After payout, government pays proportionate share of ongoing costs</w:t>
      </w:r>
    </w:p>
    <w:p>
      <w:r>
        <w:rPr>
          <w:b/>
        </w:rPr>
        <w:t>Example - Ghana Carried Interest:</w:t>
      </w:r>
    </w:p>
    <w:p>
      <w:pPr>
        <w:pStyle w:val="ListBullet"/>
      </w:pPr>
      <w:r>
        <w:t>Ghana National Petroleum Corporation (GNPC) may take up to 15% carried interest</w:t>
      </w:r>
    </w:p>
    <w:p>
      <w:pPr>
        <w:pStyle w:val="ListBullet"/>
      </w:pPr>
      <w:r>
        <w:t>Contractor funds GNPC's 15% share of costs</w:t>
      </w:r>
    </w:p>
    <w:p>
      <w:pPr>
        <w:pStyle w:val="ListBullet"/>
      </w:pPr>
      <w:r>
        <w:rPr>
          <w:b/>
        </w:rPr>
        <w:t>Payout point:</w:t>
      </w:r>
      <w:r>
        <w:t xml:space="preserve"> When cumulative revenue = cumulative costs × payout factor (e.g., 1.5×)</w:t>
      </w:r>
    </w:p>
    <w:p>
      <w:pPr>
        <w:pStyle w:val="ListBullet"/>
      </w:pPr>
      <w:r>
        <w:t>Post-payout, GNPC pays 15% of ongoing opex and capex</w:t>
      </w:r>
    </w:p>
    <w:p>
      <w:r>
        <w:rPr>
          <w:b/>
        </w:rPr>
        <w:t>Tax Treatment:</w:t>
      </w:r>
    </w:p>
    <w:p>
      <w:pPr>
        <w:pStyle w:val="ListBullet"/>
      </w:pPr>
      <w:r>
        <w:t xml:space="preserve">Carried costs are </w:t>
      </w:r>
      <w:r>
        <w:rPr>
          <w:b/>
        </w:rPr>
        <w:t>recoverable</w:t>
      </w:r>
      <w:r>
        <w:t xml:space="preserve"> by contractor through cost oil</w:t>
      </w:r>
    </w:p>
    <w:p>
      <w:pPr>
        <w:pStyle w:val="ListBullet"/>
      </w:pPr>
      <w:r>
        <w:t>Increases total cost recovery pool</w:t>
      </w:r>
    </w:p>
    <w:p>
      <w:pPr>
        <w:pStyle w:val="ListBullet"/>
      </w:pPr>
      <w:r>
        <w:t>Extends payout period for contractor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Application Methodology - PSC Calculation Waterfall</w:t>
      </w:r>
    </w:p>
    <w:p>
      <w:pPr>
        <w:pStyle w:val="Heading3"/>
      </w:pPr>
      <w:r>
        <w:t>4.1 Step-by-Step Calculation Framework</w:t>
      </w:r>
    </w:p>
    <w:p>
      <w:r>
        <w:rPr>
          <w:b/>
        </w:rPr>
        <w:t>Step 1: Determine Gross Production Value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 (barrels or MCF) × Realized Price = Gross Revenue</w:t>
      </w:r>
    </w:p>
    <w:p/>
    <w:p>
      <w:r>
        <w:rPr>
          <w:b/>
        </w:rPr>
        <w:t>Step 2: Calculate and Deduct Royalty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= Royalty Rate × Gross Production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 = Gross Production - Royalty</w:t>
      </w:r>
    </w:p>
    <w:p/>
    <w:p>
      <w:r>
        <w:rPr>
          <w:b/>
        </w:rPr>
        <w:t>Step 3: Calculate Cost Recovery Claim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Current Year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+ Operating expenditure (immediate recovery)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+ Capital expenditure depreciation (per PSC schedule)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+ Exploration costs (subject to limits)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Prior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+ Brought forward balance × (1 + Uplift Rate)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 Recovery Claim = Current Year Costs + Unrecovered Prior Costs (uplifted)</w:t>
      </w:r>
    </w:p>
    <w:p/>
    <w:p>
      <w:r>
        <w:rPr>
          <w:b/>
        </w:rPr>
        <w:t>Step 4: Apply Cost Recovery Ceiling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Maximum Cost Recovery = Cost Recovery Ceiling % × Available Production Value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 = MIN(Cost Recovery Claim, Maximum Cost Recovery)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 Carried Forward = Cost Recovery Claim - Actual Cost Recovery</w:t>
      </w:r>
    </w:p>
    <w:p/>
    <w:p>
      <w:r>
        <w:rPr>
          <w:b/>
        </w:rPr>
        <w:t>Step 5: Calculate Profit Oil/Gas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 = Available Production - Cost Oil (Actual Cost Recovery)</w:t>
      </w:r>
    </w:p>
    <w:p/>
    <w:p>
      <w:r>
        <w:rPr>
          <w:b/>
        </w:rPr>
        <w:t>Step 6: Determine Profit Split (apply R-Factor, sliding scale, or fixed %)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R-Factor mechanism: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R-Factor = Cumulative Revenue / Cumulative Costs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Determine Government % and Contractor % from R-Factor table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Share = Profit Oil × Government 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 = Profit Oil × Contractor %</w:t>
      </w:r>
    </w:p>
    <w:p/>
    <w:p>
      <w:r>
        <w:rPr>
          <w:b/>
        </w:rPr>
        <w:t>Step 7: Calculate Total Contractor Entitlement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Entitlement = Cost Oil + Contractor Profit Share</w:t>
      </w:r>
    </w:p>
    <w:p/>
    <w:p>
      <w:r>
        <w:rPr>
          <w:b/>
        </w:rPr>
        <w:t>Step 8: Apply Income Tax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direct taxation model: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Taxable Income = Contractor Profit Share Value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Income Tax = Taxable Income × Corporate Tax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Net Contractor Position = Contractor Entitlement - Income Tax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tax in-lieu: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Net Contractor Position = Contractor Entitlement (no tax deduction)</w:t>
      </w:r>
    </w:p>
    <w:p/>
    <w:p>
      <w:r>
        <w:rPr>
          <w:b/>
        </w:rPr>
        <w:t>Step 9: Calculate Effective Government Take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= Royalty + Government Profit Share + Income Tax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Government Take % = Government Revenue / Gross Revenue × 100%</w:t>
      </w:r>
    </w:p>
    <w:p/>
    <w:p>
      <w:pPr>
        <w:pStyle w:val="Heading3"/>
      </w:pPr>
      <w:r>
        <w:t>4.2 Decision Tree - Cost Recoverability Assessment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Cost Incurred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┌────────────────┼────────────────┐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▼                ▼                ▼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Operating Cost   Capital Cost    Exploration Cost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Immediately      Depreciate       Commercial?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Recoverable     (3-7 years)         /    \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  YES     NO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   |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Recover  Limited/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         No Recovery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     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└────────┬───────┴─────────────────────┘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Subject to: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┌───────┼───────┐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▼       ▼       ▼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Ceiling  Audit   Arm's Length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Disallowed → Non-recoverable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Allowed → Cost Oil Pool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Worked Examples</w:t>
      </w:r>
    </w:p>
    <w:p>
      <w:pPr>
        <w:pStyle w:val="Heading3"/>
      </w:pPr>
      <w:r>
        <w:t>Example 1: Basic PSC Calculation with Fixed Profit Split</w:t>
      </w:r>
    </w:p>
    <w:p>
      <w:r>
        <w:rPr>
          <w:b/>
        </w:rPr>
        <w:t>Fact Pattern:</w:t>
      </w:r>
    </w:p>
    <w:p>
      <w:r>
        <w:t>OceanPetro International holds a PSC with the Government of Pacifica for the "Blue Horizon" offshore field. Year 5 production data (2024):</w:t>
      </w:r>
    </w:p>
    <w:p>
      <w:r>
        <w:rPr>
          <w:b/>
        </w:rPr>
        <w:t>Production and Pricing:</w:t>
      </w:r>
    </w:p>
    <w:p>
      <w:pPr>
        <w:pStyle w:val="ListBullet"/>
      </w:pPr>
      <w:r>
        <w:t>Gross production: 8,000,000 barrels</w:t>
      </w:r>
    </w:p>
    <w:p>
      <w:pPr>
        <w:pStyle w:val="ListBullet"/>
      </w:pPr>
      <w:r>
        <w:t>Realized price: $90/barrel</w:t>
      </w:r>
    </w:p>
    <w:p>
      <w:pPr>
        <w:pStyle w:val="ListBullet"/>
      </w:pPr>
      <w:r>
        <w:t>Gross revenue: $720,000,000</w:t>
      </w:r>
    </w:p>
    <w:p>
      <w:r>
        <w:rPr>
          <w:b/>
        </w:rPr>
        <w:t>PSC Fiscal Terms:</w:t>
      </w:r>
    </w:p>
    <w:p>
      <w:pPr>
        <w:pStyle w:val="ListBullet"/>
      </w:pPr>
      <w:r>
        <w:t>Royalty: 12% of gross production</w:t>
      </w:r>
    </w:p>
    <w:p>
      <w:pPr>
        <w:pStyle w:val="ListBullet"/>
      </w:pPr>
      <w:r>
        <w:t>Cost recovery ceiling: 65% of available production (post-royalty)</w:t>
      </w:r>
    </w:p>
    <w:p>
      <w:pPr>
        <w:pStyle w:val="ListBullet"/>
      </w:pPr>
      <w:r>
        <w:t>Profit split: Fixed at Government 70% / Contractor 30%</w:t>
      </w:r>
    </w:p>
    <w:p>
      <w:pPr>
        <w:pStyle w:val="ListBullet"/>
      </w:pPr>
      <w:r>
        <w:t>Income tax: In-lieu (contractor exempt)</w:t>
      </w:r>
    </w:p>
    <w:p>
      <w:pPr>
        <w:pStyle w:val="ListBullet"/>
      </w:pPr>
      <w:r>
        <w:t>Capital depreciation: Straight-line over 5 years</w:t>
      </w:r>
    </w:p>
    <w:p>
      <w:pPr>
        <w:pStyle w:val="ListBullet"/>
      </w:pPr>
      <w:r>
        <w:t>Uplift on unrecovered costs: 6% per annum</w:t>
      </w:r>
    </w:p>
    <w:p>
      <w:r>
        <w:rPr>
          <w:b/>
        </w:rPr>
        <w:t>Year 5 Costs:</w:t>
      </w:r>
    </w:p>
    <w:p>
      <w:pPr>
        <w:pStyle w:val="ListBullet"/>
      </w:pPr>
      <w:r>
        <w:t>Operating expenditure: $180,000,000</w:t>
      </w:r>
    </w:p>
    <w:p>
      <w:pPr>
        <w:pStyle w:val="ListBullet"/>
      </w:pPr>
      <w:r>
        <w:t>Capital expenditure (new facilities): $100,000,000 (Year 5 spend, starts depreciation Year 5)</w:t>
      </w:r>
    </w:p>
    <w:p>
      <w:pPr>
        <w:pStyle w:val="ListBullet"/>
      </w:pPr>
      <w:r>
        <w:t>No exploration costs</w:t>
      </w:r>
    </w:p>
    <w:p>
      <w:r>
        <w:rPr>
          <w:b/>
        </w:rPr>
        <w:t>Historical Position:</w:t>
      </w:r>
    </w:p>
    <w:p>
      <w:pPr>
        <w:pStyle w:val="ListBullet"/>
      </w:pPr>
      <w:r>
        <w:t>Unrecovered costs (start of Year 5, before uplift): $250,000,000</w:t>
      </w:r>
    </w:p>
    <w:p>
      <w:pPr>
        <w:pStyle w:val="ListBullet"/>
      </w:pPr>
      <w:r>
        <w:t>No prior year capital costs still depreciating (assume Year 5 capex is first major spend)</w:t>
      </w:r>
    </w:p>
    <w:p>
      <w:r>
        <w:rPr>
          <w:b/>
        </w:rPr>
        <w:t>Required:</w:t>
      </w:r>
      <w:r>
        <w:t xml:space="preserve"> Calculate contractor's net entitlement in barrels and value for Year 5.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Solution:</w:t>
      </w:r>
    </w:p>
    <w:p>
      <w:r>
        <w:rPr>
          <w:b/>
        </w:rPr>
        <w:t>Step 1: Calculate Gross Revenue and Royalty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Production:                          8,000,000 barrels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Realized Price:                            $90/barrel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$720,000,000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(12%):                             8,000,000 × 12% = 960,000 barrels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Value:                             960,000 × $90 = $86,400,000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 (post-royalty):       7,040,000 barrels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 Value:                $633,600,000</w:t>
      </w:r>
    </w:p>
    <w:p/>
    <w:p>
      <w:r>
        <w:rPr>
          <w:b/>
        </w:rPr>
        <w:t>Step 2: Calculate Cost Recovery Claim</w:t>
      </w:r>
    </w:p>
    <w:p>
      <w:r>
        <w:rPr>
          <w:b/>
        </w:rPr>
        <w:t>Current Year Operating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expenditure:                     $180,000,000</w:t>
      </w:r>
    </w:p>
    <w:p/>
    <w:p>
      <w:r>
        <w:rPr>
          <w:b/>
        </w:rPr>
        <w:t>Current Year Capital Depreciation: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expenditure (Year 5):              $100,000,000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Depreciation period:                       5 years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5 depreciation:                       $100,000,000 / 5 = $20,000,000</w:t>
      </w:r>
    </w:p>
    <w:p/>
    <w:p>
      <w:r>
        <w:rPr>
          <w:b/>
        </w:rPr>
        <w:t>Unrecovered Prior Costs (with Uplift):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balance (start Year 5):        $250,000,000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Uplift (6%):                               $250,000,000 × 6% = $15,000,000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Uplifted unrecovered costs:                $265,000,000</w:t>
      </w:r>
    </w:p>
    <w:p/>
    <w:p>
      <w:r>
        <w:rPr>
          <w:b/>
        </w:rPr>
        <w:t>Total Cost Recovery Claim: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expenditure:                     $180,000,000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depreciation (Year 5):             $20,000,000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 (uplifted):              $265,000,000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 RECOVERY CLAIM:                 $465,000,000</w:t>
      </w:r>
    </w:p>
    <w:p/>
    <w:p>
      <w:r>
        <w:rPr>
          <w:b/>
        </w:rPr>
        <w:t>Step 3: Apply Cost Recovery Ceiling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                    65% × $633,600,000 = $411,840,000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Claim:                       $465,000,000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                    $411,840,000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 (Year 5):             $411,840,000 (limited by 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(barrels):                   $411,840,000 / $90 = 4,576,000 barrels</w:t>
      </w:r>
    </w:p>
    <w:p/>
    <w:p>
      <w:r>
        <w:rPr>
          <w:b/>
        </w:rPr>
        <w:t>Step 4: Calculate Unrecovered Costs Carried Forward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claim:                               $465,000,000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Actual recovery:                     ($411,840,000)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from current claim:            $53,160,000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Add: Unamortized capital (Year 5):         $100,000,000 - $20,000,000 = $80,000,000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Unrecovered (end Year 5):            $133,160,000</w:t>
      </w:r>
    </w:p>
    <w:p/>
    <w:p>
      <w:r>
        <w:t>(Note: This $133,160,000 will receive 6% uplift in Year 6 before being added to Year 6 claim)</w:t>
      </w:r>
    </w:p>
    <w:p>
      <w:r>
        <w:rPr>
          <w:b/>
        </w:rPr>
        <w:t>Step 5: Calculate Profit Oil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$633,600,000 (7,040,000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Oil:                            ($411,840,000) (4,576,000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                       $221,760,000 (2,464,000 barrels)</w:t>
      </w:r>
    </w:p>
    <w:p/>
    <w:p>
      <w:r>
        <w:rPr>
          <w:b/>
        </w:rPr>
        <w:t>Step 6: Split Profit Oil (Fixed 70/30)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Share (70%):             $155,232,000 (1,724,800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 (30%):             $66,528,000 (739,200 barrels)</w:t>
      </w:r>
    </w:p>
    <w:p/>
    <w:p>
      <w:r>
        <w:rPr>
          <w:b/>
        </w:rPr>
        <w:t>Step 7: Calculate Total Contractor Entitlement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Oil:                                  $411,840,000 (4,576,000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Share:                   $66,528,000 (739,200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CONTRACTOR ENTITLEMENT:              $478,368,000 (5,315,200 barrels)</w:t>
      </w:r>
    </w:p>
    <w:p/>
    <w:p>
      <w:r>
        <w:rPr>
          <w:b/>
        </w:rPr>
        <w:t>Step 8: Income Tax (In-Lieu - No Tax Payable)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Status:                                In-lieu arrangement (exempt)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 Tax:  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CONTRACTOR POSITION:                   $478,368,000 (5,315,200 barrels)</w:t>
      </w:r>
    </w:p>
    <w:p/>
    <w:p>
      <w:r>
        <w:rPr>
          <w:b/>
        </w:rPr>
        <w:t>Step 9: Calculate Effective Government Take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$86,400,000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Profit Share:                 $155,232,000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Income Tax: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 GOVERNMENT REVENUE:                $241,632,000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Government Take:                 $241,632,000 / $720,000,000 = 33.56%</w:t>
      </w:r>
    </w:p>
    <w:p/>
    <w:p>
      <w:r>
        <w:rPr>
          <w:b/>
        </w:rPr>
        <w:t>Summary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Barrels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Value ($M)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% of Gross</w:t>
            </w:r>
          </w:p>
        </w:tc>
      </w:tr>
      <w:tr>
        <w:tc>
          <w:tcPr>
            <w:tcW w:type="dxa" w:w="2160"/>
          </w:tcPr>
          <w:p>
            <w:r/>
            <w:r>
              <w:t>Gross Production</w:t>
            </w:r>
          </w:p>
        </w:tc>
        <w:tc>
          <w:tcPr>
            <w:tcW w:type="dxa" w:w="2160"/>
          </w:tcPr>
          <w:p>
            <w:r/>
            <w:r>
              <w:t>8,000,000</w:t>
            </w:r>
          </w:p>
        </w:tc>
        <w:tc>
          <w:tcPr>
            <w:tcW w:type="dxa" w:w="2160"/>
          </w:tcPr>
          <w:p>
            <w:r/>
            <w:r>
              <w:t>$720.00</w:t>
            </w:r>
          </w:p>
        </w:tc>
        <w:tc>
          <w:tcPr>
            <w:tcW w:type="dxa" w:w="2160"/>
          </w:tcPr>
          <w:p>
            <w:r/>
            <w:r>
              <w:t>100.0%</w:t>
            </w:r>
          </w:p>
        </w:tc>
      </w:tr>
      <w:tr>
        <w:tc>
          <w:tcPr>
            <w:tcW w:type="dxa" w:w="2160"/>
          </w:tcPr>
          <w:p>
            <w:r/>
            <w:r>
              <w:t>Government Royalty</w:t>
            </w:r>
          </w:p>
        </w:tc>
        <w:tc>
          <w:tcPr>
            <w:tcW w:type="dxa" w:w="2160"/>
          </w:tcPr>
          <w:p>
            <w:r/>
            <w:r>
              <w:t>960,000</w:t>
            </w:r>
          </w:p>
        </w:tc>
        <w:tc>
          <w:tcPr>
            <w:tcW w:type="dxa" w:w="2160"/>
          </w:tcPr>
          <w:p>
            <w:r/>
            <w:r>
              <w:t>$86.40</w:t>
            </w:r>
          </w:p>
        </w:tc>
        <w:tc>
          <w:tcPr>
            <w:tcW w:type="dxa" w:w="2160"/>
          </w:tcPr>
          <w:p>
            <w:r/>
            <w:r>
              <w:t>12.0%</w:t>
            </w:r>
          </w:p>
        </w:tc>
      </w:tr>
      <w:tr>
        <w:tc>
          <w:tcPr>
            <w:tcW w:type="dxa" w:w="2160"/>
          </w:tcPr>
          <w:p>
            <w:r/>
            <w:r>
              <w:t>Contractor Cost Oil</w:t>
            </w:r>
          </w:p>
        </w:tc>
        <w:tc>
          <w:tcPr>
            <w:tcW w:type="dxa" w:w="2160"/>
          </w:tcPr>
          <w:p>
            <w:r/>
            <w:r>
              <w:t>4,576,000</w:t>
            </w:r>
          </w:p>
        </w:tc>
        <w:tc>
          <w:tcPr>
            <w:tcW w:type="dxa" w:w="2160"/>
          </w:tcPr>
          <w:p>
            <w:r/>
            <w:r>
              <w:t>$411.84</w:t>
            </w:r>
          </w:p>
        </w:tc>
        <w:tc>
          <w:tcPr>
            <w:tcW w:type="dxa" w:w="2160"/>
          </w:tcPr>
          <w:p>
            <w:r/>
            <w:r>
              <w:t>57.2%</w:t>
            </w:r>
          </w:p>
        </w:tc>
      </w:tr>
      <w:tr>
        <w:tc>
          <w:tcPr>
            <w:tcW w:type="dxa" w:w="2160"/>
          </w:tcPr>
          <w:p>
            <w:r/>
            <w:r>
              <w:t>Government Profit Share</w:t>
            </w:r>
          </w:p>
        </w:tc>
        <w:tc>
          <w:tcPr>
            <w:tcW w:type="dxa" w:w="2160"/>
          </w:tcPr>
          <w:p>
            <w:r/>
            <w:r>
              <w:t>1,724,800</w:t>
            </w:r>
          </w:p>
        </w:tc>
        <w:tc>
          <w:tcPr>
            <w:tcW w:type="dxa" w:w="2160"/>
          </w:tcPr>
          <w:p>
            <w:r/>
            <w:r>
              <w:t>$155.23</w:t>
            </w:r>
          </w:p>
        </w:tc>
        <w:tc>
          <w:tcPr>
            <w:tcW w:type="dxa" w:w="2160"/>
          </w:tcPr>
          <w:p>
            <w:r/>
            <w:r>
              <w:t>21.6%</w:t>
            </w:r>
          </w:p>
        </w:tc>
      </w:tr>
      <w:tr>
        <w:tc>
          <w:tcPr>
            <w:tcW w:type="dxa" w:w="2160"/>
          </w:tcPr>
          <w:p>
            <w:r/>
            <w:r>
              <w:t>Contractor Profit Share</w:t>
            </w:r>
          </w:p>
        </w:tc>
        <w:tc>
          <w:tcPr>
            <w:tcW w:type="dxa" w:w="2160"/>
          </w:tcPr>
          <w:p>
            <w:r/>
            <w:r>
              <w:t>739,200</w:t>
            </w:r>
          </w:p>
        </w:tc>
        <w:tc>
          <w:tcPr>
            <w:tcW w:type="dxa" w:w="2160"/>
          </w:tcPr>
          <w:p>
            <w:r/>
            <w:r>
              <w:t>$66.53</w:t>
            </w:r>
          </w:p>
        </w:tc>
        <w:tc>
          <w:tcPr>
            <w:tcW w:type="dxa" w:w="2160"/>
          </w:tcPr>
          <w:p>
            <w:r/>
            <w:r>
              <w:t>9.2%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Contractor 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5,315,200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$478.37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66.4%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Government 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2,684,800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$241.63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33.6%</w:t>
            </w:r>
          </w:p>
        </w:tc>
      </w:tr>
    </w:tbl>
    <w:p/>
    <w:p>
      <w:r>
        <w:rPr>
          <w:b/>
        </w:rPr>
        <w:t>Analysis:</w:t>
      </w:r>
    </w:p>
    <w:p>
      <w:pPr>
        <w:pStyle w:val="ListBullet"/>
      </w:pPr>
      <w:r>
        <w:t>Contractor's 66.4% take reflects early/mid-life project with significant cost recovery</w:t>
      </w:r>
    </w:p>
    <w:p>
      <w:pPr>
        <w:pStyle w:val="ListBullet"/>
      </w:pPr>
      <w:r>
        <w:t>Cost ceiling constraint created $53.16M unrecovered balance carried to Year 6</w:t>
      </w:r>
    </w:p>
    <w:p>
      <w:pPr>
        <w:pStyle w:val="ListBullet"/>
      </w:pPr>
      <w:r>
        <w:t>Relatively low government take (33.6%) indicates contractor-friendly PSC terms</w:t>
      </w:r>
    </w:p>
    <w:p>
      <w:pPr>
        <w:pStyle w:val="ListBullet"/>
      </w:pPr>
      <w:r>
        <w:t>As costs decline in later years, government take will increase (less cost oil, more profit oil)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Example 2: R-Factor Sliding Scale PSC with Direct Taxation</w:t>
      </w:r>
    </w:p>
    <w:p>
      <w:r>
        <w:rPr>
          <w:b/>
        </w:rPr>
        <w:t>Fact Pattern:</w:t>
      </w:r>
    </w:p>
    <w:p>
      <w:r>
        <w:t>GlobalEnergy Corp operates under a PSC with the Republic of Westland for the "Eagle Field" gas development. Year 8 production (2024):</w:t>
      </w:r>
    </w:p>
    <w:p>
      <w:r>
        <w:rPr>
          <w:b/>
        </w:rPr>
        <w:t>Production:</w:t>
      </w:r>
    </w:p>
    <w:p>
      <w:pPr>
        <w:pStyle w:val="ListBullet"/>
      </w:pPr>
      <w:r>
        <w:t>Gross gas production: 150 billion cubic feet (BCF)</w:t>
      </w:r>
    </w:p>
    <w:p>
      <w:pPr>
        <w:pStyle w:val="ListBullet"/>
      </w:pPr>
      <w:r>
        <w:t>Realized price: $4.50/MCF (thousand cubic feet)</w:t>
      </w:r>
    </w:p>
    <w:p>
      <w:pPr>
        <w:pStyle w:val="ListBullet"/>
      </w:pPr>
      <w:r>
        <w:t>Gross revenue: 150,000 MCF × $4.50 = $675,000,000</w:t>
      </w:r>
    </w:p>
    <w:p>
      <w:r>
        <w:rPr>
          <w:b/>
        </w:rPr>
        <w:t>PSC Fiscal Terms:</w:t>
      </w:r>
    </w:p>
    <w:p>
      <w:pPr>
        <w:pStyle w:val="ListBullet"/>
      </w:pPr>
      <w:r>
        <w:t>Royalty: 5% of gross production</w:t>
      </w:r>
    </w:p>
    <w:p>
      <w:pPr>
        <w:pStyle w:val="ListBullet"/>
      </w:pPr>
      <w:r>
        <w:t>Cost recovery ceiling: 70% of available production</w:t>
      </w:r>
    </w:p>
    <w:p>
      <w:pPr>
        <w:pStyle w:val="ListBullet"/>
      </w:pPr>
      <w:r>
        <w:t>Profit split based on R-Factor: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R-Factor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Government Share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Contractor Share</w:t>
            </w:r>
          </w:p>
        </w:tc>
      </w:tr>
      <w:tr>
        <w:tc>
          <w:tcPr>
            <w:tcW w:type="dxa" w:w="2880"/>
          </w:tcPr>
          <w:p>
            <w:r/>
            <w:r>
              <w:t>&lt; 1.0</w:t>
            </w:r>
          </w:p>
        </w:tc>
        <w:tc>
          <w:tcPr>
            <w:tcW w:type="dxa" w:w="2880"/>
          </w:tcPr>
          <w:p>
            <w:r/>
            <w:r>
              <w:t>55%</w:t>
            </w:r>
          </w:p>
        </w:tc>
        <w:tc>
          <w:tcPr>
            <w:tcW w:type="dxa" w:w="2880"/>
          </w:tcPr>
          <w:p>
            <w:r/>
            <w:r>
              <w:t>45%</w:t>
            </w:r>
          </w:p>
        </w:tc>
      </w:tr>
      <w:tr>
        <w:tc>
          <w:tcPr>
            <w:tcW w:type="dxa" w:w="2880"/>
          </w:tcPr>
          <w:p>
            <w:r/>
            <w:r>
              <w:t>1.0 - 1.75</w:t>
            </w:r>
          </w:p>
        </w:tc>
        <w:tc>
          <w:tcPr>
            <w:tcW w:type="dxa" w:w="2880"/>
          </w:tcPr>
          <w:p>
            <w:r/>
            <w:r>
              <w:t>65%</w:t>
            </w:r>
          </w:p>
        </w:tc>
        <w:tc>
          <w:tcPr>
            <w:tcW w:type="dxa" w:w="2880"/>
          </w:tcPr>
          <w:p>
            <w:r/>
            <w:r>
              <w:t>35%</w:t>
            </w:r>
          </w:p>
        </w:tc>
      </w:tr>
      <w:tr>
        <w:tc>
          <w:tcPr>
            <w:tcW w:type="dxa" w:w="2880"/>
          </w:tcPr>
          <w:p>
            <w:r/>
            <w:r>
              <w:t>1.75 - 2.5</w:t>
            </w:r>
          </w:p>
        </w:tc>
        <w:tc>
          <w:tcPr>
            <w:tcW w:type="dxa" w:w="2880"/>
          </w:tcPr>
          <w:p>
            <w:r/>
            <w:r>
              <w:t>75%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</w:tr>
      <w:tr>
        <w:tc>
          <w:tcPr>
            <w:tcW w:type="dxa" w:w="2880"/>
          </w:tcPr>
          <w:p>
            <w:r/>
            <w:r>
              <w:t>≥ 2.5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</w:tbl>
    <w:p/>
    <w:p>
      <w:pPr>
        <w:pStyle w:val="ListBullet"/>
      </w:pPr>
      <w:r>
        <w:t>Corporate income tax: 35% on contractor's profit share (direct taxation model)</w:t>
      </w:r>
    </w:p>
    <w:p>
      <w:pPr>
        <w:pStyle w:val="ListBullet"/>
      </w:pPr>
      <w:r>
        <w:t xml:space="preserve">Income tax is </w:t>
      </w:r>
      <w:r>
        <w:rPr>
          <w:b/>
        </w:rPr>
        <w:t>non-recoverable cost</w:t>
      </w:r>
    </w:p>
    <w:p>
      <w:pPr>
        <w:pStyle w:val="ListBullet"/>
      </w:pPr>
      <w:r>
        <w:t>Capital depreciation: 20% per annum (5 years straight-line)</w:t>
      </w:r>
    </w:p>
    <w:p>
      <w:pPr>
        <w:pStyle w:val="ListBullet"/>
      </w:pPr>
      <w:r>
        <w:t>No uplift on unrecovered costs</w:t>
      </w:r>
    </w:p>
    <w:p>
      <w:r>
        <w:rPr>
          <w:b/>
        </w:rPr>
        <w:t>Year 8 Costs:</w:t>
      </w:r>
    </w:p>
    <w:p>
      <w:pPr>
        <w:pStyle w:val="ListBullet"/>
      </w:pPr>
      <w:r>
        <w:t>Operating costs: $150,000,000</w:t>
      </w:r>
    </w:p>
    <w:p>
      <w:pPr>
        <w:pStyle w:val="ListBullet"/>
      </w:pPr>
      <w:r>
        <w:t>Capital expenditure (compression facilities): $80,000,000</w:t>
      </w:r>
    </w:p>
    <w:p>
      <w:r>
        <w:rPr>
          <w:b/>
        </w:rPr>
        <w:t>Historical Position (Cumulative through Year 7):</w:t>
      </w:r>
    </w:p>
    <w:p>
      <w:pPr>
        <w:pStyle w:val="ListBullet"/>
      </w:pPr>
      <w:r>
        <w:t>Cumulative gross revenue (Years 1-7): $3,200,000,000</w:t>
      </w:r>
    </w:p>
    <w:p>
      <w:pPr>
        <w:pStyle w:val="ListBullet"/>
      </w:pPr>
      <w:r>
        <w:t>Cumulative costs incurred (Years 1-7): $1,800,000,000</w:t>
      </w:r>
    </w:p>
    <w:p>
      <w:pPr>
        <w:pStyle w:val="ListBullet"/>
      </w:pPr>
      <w:r>
        <w:t>Unrecovered costs (start Year 8): $120,000,000</w:t>
      </w:r>
    </w:p>
    <w:p>
      <w:pPr>
        <w:pStyle w:val="ListBullet"/>
      </w:pPr>
      <w:r>
        <w:t>Depreciating assets (from prior years): $400,000,000 with $200,000,000 already depreciated</w:t>
      </w:r>
    </w:p>
    <w:p>
      <w:r>
        <w:rPr>
          <w:b/>
        </w:rPr>
        <w:t>Required:</w:t>
      </w:r>
    </w:p>
    <w:p>
      <w:r>
        <w:t>(a) Calculate R-Factor and applicable profit split for Year 8</w:t>
      </w:r>
    </w:p>
    <w:p>
      <w:r>
        <w:t>(b) Calculate contractor's net entitlement after income tax</w:t>
      </w:r>
    </w:p>
    <w:p>
      <w:r>
        <w:t>(c) Determine effective government take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Solution:</w:t>
      </w:r>
    </w:p>
    <w:p>
      <w:r>
        <w:rPr>
          <w:b/>
        </w:rPr>
        <w:t>Step 1: Calculate Gross Revenue and Royalty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Production:                          150,000 MCF (150 BCF)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Realized Price:                            $4.50/MCF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 (Year 8):                    $675,000,000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(5%):                              7,500 MCF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Value:                             $33,750,000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142,500 MCF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 Value:                $641,250,000</w:t>
      </w:r>
    </w:p>
    <w:p/>
    <w:p>
      <w:r>
        <w:rPr>
          <w:b/>
        </w:rPr>
        <w:t>Step 2: Calculate R-Factor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Revenue (Years 1-8):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Prior years (Years 1-7):                 $3,200,000,000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 8:                                  $675,000,000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 Cumulative Revenue:                $3,875,000,000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Costs (Years 1-8):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Prior years (Years 1-7):                 $1,800,000,000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 8 operating costs:                  $150,000,000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 8 capital costs:                    $80,000,000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 Cumulative Costs:                  $2,030,000,000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 = $3,875,000,000 / $2,030,000,000 = 1.909</w:t>
      </w:r>
    </w:p>
    <w:p/>
    <w:p>
      <w:r>
        <w:rPr>
          <w:b/>
        </w:rPr>
        <w:t>Determine Profit Split: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 = 1.909 falls in range: 1.75 - 2.5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Share:                          75%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Share:                          25%</w:t>
      </w:r>
    </w:p>
    <w:p/>
    <w:p>
      <w:r>
        <w:rPr>
          <w:b/>
        </w:rPr>
        <w:t>Step 3: Calculate Cost Recovery Claim</w:t>
      </w:r>
    </w:p>
    <w:p>
      <w:r>
        <w:rPr>
          <w:b/>
        </w:rPr>
        <w:t>Operating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expenditure:                     $150,000,000</w:t>
      </w:r>
    </w:p>
    <w:p/>
    <w:p>
      <w:r>
        <w:rPr>
          <w:b/>
        </w:rPr>
        <w:t>Capital Depreciation:</w:t>
      </w:r>
    </w:p>
    <w:p>
      <w:r>
        <w:t>Prior years' depreciating assets: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Original cost:                             $400,000,000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Already depreciated:                      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Remaining book value:                     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Depreciation rate:                         20% per annum (5 years straight-line)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8 depreciation (prior assets):        $400,000,000 × 20% = $80,000,000</w:t>
      </w:r>
    </w:p>
    <w:p/>
    <w:p>
      <w:r>
        <w:t>Year 8 capital expenditure: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New capital:                               $80,000,000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8 depreciation (new assets):          $80,000,000 × 20% = $16,000,000</w:t>
      </w:r>
    </w:p>
    <w:p/>
    <w:p>
      <w:r>
        <w:t>Total capital depreciation (Year 8):      $80,000,000 + $16,000,000 = $96,000,000</w:t>
      </w:r>
    </w:p>
    <w:p>
      <w:r>
        <w:rPr>
          <w:b/>
        </w:rPr>
        <w:t>Unrecovered Prior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balance (start Year 8):        $120,000,000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(No uplift in this PSC)</w:t>
      </w:r>
    </w:p>
    <w:p/>
    <w:p>
      <w:r>
        <w:rPr>
          <w:b/>
        </w:rPr>
        <w:t>Total Cost Recovery Claim: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costs:                           $150,000,000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depreciation:                      $96,000,000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costs:                         $120,000,000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 RECOVERY CLAIM:                 $366,000,000</w:t>
      </w:r>
    </w:p>
    <w:p/>
    <w:p>
      <w:r>
        <w:rPr>
          <w:b/>
        </w:rPr>
        <w:t>Step 4: Apply Cost Recovery Ceiling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                    70% × $641,250,000 = $448,875,000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Claim:                       $366,000,000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                    $448,875,000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Recovery:                      $366,000,000 (within 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(MCF):                       $366,000,000 / $4.50 = 81,333 MCF</w:t>
      </w:r>
    </w:p>
    <w:p/>
    <w:p>
      <w:r>
        <w:rPr>
          <w:b/>
        </w:rPr>
        <w:t>Step 5: Calculate Unrecovered Costs Carried Forward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 costs recovered in Year 8.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Unamortized capital (carry forward):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Prior assets: $200,000,000 - $80,000,000 = $120,000,000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 8 assets: $80,000,000 - $16,000,000 = $64,000,000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unamortized (for future depreciation): $184,000,000</w:t>
      </w:r>
    </w:p>
    <w:p/>
    <w:p>
      <w:r>
        <w:rPr>
          <w:b/>
        </w:rPr>
        <w:t>Step 6: Calculate Profit Gas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$641,250,000 (142,500 MCF)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Gas:                            ($366,000,000) (81,333 MCF)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GAS:                                $275,250,000 (61,167 MCF)</w:t>
      </w:r>
    </w:p>
    <w:p/>
    <w:p>
      <w:r>
        <w:rPr>
          <w:b/>
        </w:rPr>
        <w:t>Step 7: Split Profit Gas (R-Factor 1.909 → 75/25)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Share (75%):             $206,437,500 (45,875 MCF)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 (25%):             $68,812,500 (15,292 MCF)</w:t>
      </w:r>
    </w:p>
    <w:p/>
    <w:p>
      <w:r>
        <w:rPr>
          <w:b/>
        </w:rPr>
        <w:t>Step 8: Calculate Total Contractor Entitlement (Pre-Tax)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Gas:                                  $366,000,000 (81,333 MCF)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Share:                   $68,812,500 (15,292 MCF)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ENTITLEMENT (pre-tax):          $434,812,500 (96,625 MCF)</w:t>
      </w:r>
    </w:p>
    <w:p/>
    <w:p>
      <w:r>
        <w:rPr>
          <w:b/>
        </w:rPr>
        <w:t>Step 9: Calculate Income Tax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                           Contractor Profit Share = $68,812,500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Tax Rate:                        35%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 Tax Payable:                        $68,812,500 × 35% = $24,084,375</w:t>
      </w:r>
    </w:p>
    <w:p/>
    <w:p>
      <w:r>
        <w:rPr>
          <w:b/>
        </w:rPr>
        <w:t>Step 10: Net Contractor Position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Entitlement:                    $434,812,500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Income Tax:                          ($24,084,375)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CONTRACTOR POSITION:                   $410,728,125</w:t>
      </w:r>
    </w:p>
    <w:p/>
    <w:p>
      <w:r>
        <w:rPr>
          <w:b/>
        </w:rPr>
        <w:t>Step 11: Effective Government Take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$33,750,000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Profit Share:                 $206,437,500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Corporate Income Tax:                    $24,084,375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 GOVERNMENT REVENUE:                $264,271,875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Government Take:                 $264,271,875 / $675,000,000 = 39.15%</w:t>
      </w:r>
    </w:p>
    <w:p/>
    <w:p>
      <w:r>
        <w:rPr>
          <w:b/>
        </w:rPr>
        <w:t>Summary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MCF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Value ($M)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% of Gross</w:t>
            </w:r>
          </w:p>
        </w:tc>
      </w:tr>
      <w:tr>
        <w:tc>
          <w:tcPr>
            <w:tcW w:type="dxa" w:w="2160"/>
          </w:tcPr>
          <w:p>
            <w:r/>
            <w:r>
              <w:t>Gross Production</w:t>
            </w:r>
          </w:p>
        </w:tc>
        <w:tc>
          <w:tcPr>
            <w:tcW w:type="dxa" w:w="2160"/>
          </w:tcPr>
          <w:p>
            <w:r/>
            <w:r>
              <w:t>150,000</w:t>
            </w:r>
          </w:p>
        </w:tc>
        <w:tc>
          <w:tcPr>
            <w:tcW w:type="dxa" w:w="2160"/>
          </w:tcPr>
          <w:p>
            <w:r/>
            <w:r>
              <w:t>$675.00</w:t>
            </w:r>
          </w:p>
        </w:tc>
        <w:tc>
          <w:tcPr>
            <w:tcW w:type="dxa" w:w="2160"/>
          </w:tcPr>
          <w:p>
            <w:r/>
            <w:r>
              <w:t>100.0%</w:t>
            </w:r>
          </w:p>
        </w:tc>
      </w:tr>
      <w:tr>
        <w:tc>
          <w:tcPr>
            <w:tcW w:type="dxa" w:w="2160"/>
          </w:tcPr>
          <w:p>
            <w:r/>
            <w:r>
              <w:t>Government Royalty</w:t>
            </w:r>
          </w:p>
        </w:tc>
        <w:tc>
          <w:tcPr>
            <w:tcW w:type="dxa" w:w="2160"/>
          </w:tcPr>
          <w:p>
            <w:r/>
            <w:r>
              <w:t>7,500</w:t>
            </w:r>
          </w:p>
        </w:tc>
        <w:tc>
          <w:tcPr>
            <w:tcW w:type="dxa" w:w="2160"/>
          </w:tcPr>
          <w:p>
            <w:r/>
            <w:r>
              <w:t>$33.75</w:t>
            </w:r>
          </w:p>
        </w:tc>
        <w:tc>
          <w:tcPr>
            <w:tcW w:type="dxa" w:w="2160"/>
          </w:tcPr>
          <w:p>
            <w:r/>
            <w:r>
              <w:t>5.0%</w:t>
            </w:r>
          </w:p>
        </w:tc>
      </w:tr>
      <w:tr>
        <w:tc>
          <w:tcPr>
            <w:tcW w:type="dxa" w:w="2160"/>
          </w:tcPr>
          <w:p>
            <w:r/>
            <w:r>
              <w:t>Contractor Cost Gas</w:t>
            </w:r>
          </w:p>
        </w:tc>
        <w:tc>
          <w:tcPr>
            <w:tcW w:type="dxa" w:w="2160"/>
          </w:tcPr>
          <w:p>
            <w:r/>
            <w:r>
              <w:t>81,333</w:t>
            </w:r>
          </w:p>
        </w:tc>
        <w:tc>
          <w:tcPr>
            <w:tcW w:type="dxa" w:w="2160"/>
          </w:tcPr>
          <w:p>
            <w:r/>
            <w:r>
              <w:t>$366.00</w:t>
            </w:r>
          </w:p>
        </w:tc>
        <w:tc>
          <w:tcPr>
            <w:tcW w:type="dxa" w:w="2160"/>
          </w:tcPr>
          <w:p>
            <w:r/>
            <w:r>
              <w:t>54.2%</w:t>
            </w:r>
          </w:p>
        </w:tc>
      </w:tr>
      <w:tr>
        <w:tc>
          <w:tcPr>
            <w:tcW w:type="dxa" w:w="2160"/>
          </w:tcPr>
          <w:p>
            <w:r/>
            <w:r>
              <w:t>Government Profit Share (75%)</w:t>
            </w:r>
          </w:p>
        </w:tc>
        <w:tc>
          <w:tcPr>
            <w:tcW w:type="dxa" w:w="2160"/>
          </w:tcPr>
          <w:p>
            <w:r/>
            <w:r>
              <w:t>45,875</w:t>
            </w:r>
          </w:p>
        </w:tc>
        <w:tc>
          <w:tcPr>
            <w:tcW w:type="dxa" w:w="2160"/>
          </w:tcPr>
          <w:p>
            <w:r/>
            <w:r>
              <w:t>$206.44</w:t>
            </w:r>
          </w:p>
        </w:tc>
        <w:tc>
          <w:tcPr>
            <w:tcW w:type="dxa" w:w="2160"/>
          </w:tcPr>
          <w:p>
            <w:r/>
            <w:r>
              <w:t>30.6%</w:t>
            </w:r>
          </w:p>
        </w:tc>
      </w:tr>
      <w:tr>
        <w:tc>
          <w:tcPr>
            <w:tcW w:type="dxa" w:w="2160"/>
          </w:tcPr>
          <w:p>
            <w:r/>
            <w:r>
              <w:t>Contractor Profit Share (25%)</w:t>
            </w:r>
          </w:p>
        </w:tc>
        <w:tc>
          <w:tcPr>
            <w:tcW w:type="dxa" w:w="2160"/>
          </w:tcPr>
          <w:p>
            <w:r/>
            <w:r>
              <w:t>15,292</w:t>
            </w:r>
          </w:p>
        </w:tc>
        <w:tc>
          <w:tcPr>
            <w:tcW w:type="dxa" w:w="2160"/>
          </w:tcPr>
          <w:p>
            <w:r/>
            <w:r>
              <w:t>$68.81</w:t>
            </w:r>
          </w:p>
        </w:tc>
        <w:tc>
          <w:tcPr>
            <w:tcW w:type="dxa" w:w="2160"/>
          </w:tcPr>
          <w:p>
            <w:r/>
            <w:r>
              <w:t>10.2%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Subtotal Contractor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96,625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$434.81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64.4%</w:t>
            </w:r>
          </w:p>
        </w:tc>
      </w:tr>
      <w:tr>
        <w:tc>
          <w:tcPr>
            <w:tcW w:type="dxa" w:w="2160"/>
          </w:tcPr>
          <w:p>
            <w:r/>
            <w:r>
              <w:t>Contractor Income Tax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($24.08)</w:t>
            </w:r>
          </w:p>
        </w:tc>
        <w:tc>
          <w:tcPr>
            <w:tcW w:type="dxa" w:w="2160"/>
          </w:tcPr>
          <w:p>
            <w:r/>
            <w:r>
              <w:t>(3.6%)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Net Contractor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96,625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$410.73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60.8%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Government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$264.27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39.2%</w:t>
            </w:r>
          </w:p>
        </w:tc>
      </w:tr>
    </w:tbl>
    <w:p/>
    <w:p>
      <w:r>
        <w:rPr>
          <w:b/>
        </w:rPr>
        <w:t>Analysis:</w:t>
      </w:r>
    </w:p>
    <w:p>
      <w:pPr>
        <w:pStyle w:val="ListBullet"/>
      </w:pPr>
      <w:r>
        <w:t>R-Factor of 1.909 triggered higher government profit share (75%), reflecting mature, profitable field</w:t>
      </w:r>
    </w:p>
    <w:p>
      <w:pPr>
        <w:pStyle w:val="ListBullet"/>
      </w:pPr>
      <w:r>
        <w:t>Government take (39.15%) is moderate due to continued cost recovery ($366M)</w:t>
      </w:r>
    </w:p>
    <w:p>
      <w:pPr>
        <w:pStyle w:val="ListBullet"/>
      </w:pPr>
      <w:r>
        <w:t>Direct taxation model adds 3.6 percentage points to government take</w:t>
      </w:r>
    </w:p>
    <w:p>
      <w:pPr>
        <w:pStyle w:val="ListBullet"/>
      </w:pPr>
      <w:r>
        <w:t>As field matures and costs decline, R-Factor will increase, further increasing government share (to 80% at R≥2.5)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Example 3: Comparative Analysis - Classic PSC vs. Tax/Royalty PSC</w:t>
      </w:r>
    </w:p>
    <w:p>
      <w:r>
        <w:rPr>
          <w:b/>
        </w:rPr>
        <w:t>Fact Pattern:</w:t>
      </w:r>
    </w:p>
    <w:p>
      <w:r>
        <w:t>MegaOil Inc is evaluating two PSC opportunities with identical production profiles but different fiscal structures:</w:t>
      </w:r>
    </w:p>
    <w:p>
      <w:r>
        <w:rPr>
          <w:b/>
        </w:rPr>
        <w:t>Common Project Economics:</w:t>
      </w:r>
    </w:p>
    <w:p>
      <w:pPr>
        <w:pStyle w:val="ListBullet"/>
      </w:pPr>
      <w:r>
        <w:t>Gross production: 10,000,000 barrels per year (steady-state Years 5-15)</w:t>
      </w:r>
    </w:p>
    <w:p>
      <w:pPr>
        <w:pStyle w:val="ListBullet"/>
      </w:pPr>
      <w:r>
        <w:t>Oil price: $85/barrel</w:t>
      </w:r>
    </w:p>
    <w:p>
      <w:pPr>
        <w:pStyle w:val="ListBullet"/>
      </w:pPr>
      <w:r>
        <w:t>Annual gross revenue: $850,000,000</w:t>
      </w:r>
    </w:p>
    <w:p>
      <w:pPr>
        <w:pStyle w:val="ListBullet"/>
      </w:pPr>
      <w:r>
        <w:t>Operating costs: $200,000,000/year</w:t>
      </w:r>
    </w:p>
    <w:p>
      <w:pPr>
        <w:pStyle w:val="ListBullet"/>
      </w:pPr>
      <w:r>
        <w:t>Capital costs: $1,000,000,000 (Year 1-3 development phase)</w:t>
      </w:r>
    </w:p>
    <w:p>
      <w:pPr>
        <w:pStyle w:val="ListBullet"/>
      </w:pPr>
      <w:r>
        <w:t>Focus: Year 7 (steady-state production, post-development)</w:t>
      </w:r>
    </w:p>
    <w:p>
      <w:r>
        <w:rPr>
          <w:b/>
        </w:rPr>
        <w:t>Option A: Classic PSC (Northland)</w:t>
      </w:r>
    </w:p>
    <w:p>
      <w:pPr>
        <w:pStyle w:val="ListBullet"/>
      </w:pPr>
      <w:r>
        <w:t>Royalty: 0%</w:t>
      </w:r>
    </w:p>
    <w:p>
      <w:pPr>
        <w:pStyle w:val="ListBullet"/>
      </w:pPr>
      <w:r>
        <w:t>Cost recovery ceiling: 60%</w:t>
      </w:r>
    </w:p>
    <w:p>
      <w:pPr>
        <w:pStyle w:val="ListBullet"/>
      </w:pPr>
      <w:r>
        <w:t>Profit split: Government 72% / Contractor 28% (fixed)</w:t>
      </w:r>
    </w:p>
    <w:p>
      <w:pPr>
        <w:pStyle w:val="ListBullet"/>
      </w:pPr>
      <w:r>
        <w:t>Income tax: In-lieu (contractor exempt from corporate tax)</w:t>
      </w:r>
    </w:p>
    <w:p>
      <w:pPr>
        <w:pStyle w:val="ListBullet"/>
      </w:pPr>
      <w:r>
        <w:t>Capital depreciation: 5 years straight-line (20% p.a.)</w:t>
      </w:r>
    </w:p>
    <w:p>
      <w:pPr>
        <w:pStyle w:val="ListBullet"/>
      </w:pPr>
      <w:r>
        <w:t>Uplift: 4% per annum on unrecovered costs</w:t>
      </w:r>
    </w:p>
    <w:p>
      <w:r>
        <w:rPr>
          <w:b/>
        </w:rPr>
        <w:t>Option B: Tax/Royalty PSC (Southland)</w:t>
      </w:r>
    </w:p>
    <w:p>
      <w:pPr>
        <w:pStyle w:val="ListBullet"/>
      </w:pPr>
      <w:r>
        <w:t>Royalty: 10%</w:t>
      </w:r>
    </w:p>
    <w:p>
      <w:pPr>
        <w:pStyle w:val="ListBullet"/>
      </w:pPr>
      <w:r>
        <w:t>Cost recovery ceiling: 70%</w:t>
      </w:r>
    </w:p>
    <w:p>
      <w:pPr>
        <w:pStyle w:val="ListBullet"/>
      </w:pPr>
      <w:r>
        <w:t>Profit split: Government 60% / Contractor 40% (fixed)</w:t>
      </w:r>
    </w:p>
    <w:p>
      <w:pPr>
        <w:pStyle w:val="ListBullet"/>
      </w:pPr>
      <w:r>
        <w:t>Income tax: 30% on contractor's profit share (non-recoverable)</w:t>
      </w:r>
    </w:p>
    <w:p>
      <w:pPr>
        <w:pStyle w:val="ListBullet"/>
      </w:pPr>
      <w:r>
        <w:t>Capital depreciation: 5 years straight-line (20% p.a.)</w:t>
      </w:r>
    </w:p>
    <w:p>
      <w:pPr>
        <w:pStyle w:val="ListBullet"/>
      </w:pPr>
      <w:r>
        <w:t>Uplift: 6% per annum on unrecovered costs</w:t>
      </w:r>
    </w:p>
    <w:p>
      <w:r>
        <w:rPr>
          <w:b/>
        </w:rPr>
        <w:t>Year 7 Position (both projects):</w:t>
      </w:r>
    </w:p>
    <w:p>
      <w:pPr>
        <w:pStyle w:val="ListBullet"/>
      </w:pPr>
      <w:r>
        <w:t>Total capital spent (Years 1-3): $1,000,000,000</w:t>
      </w:r>
    </w:p>
    <w:p>
      <w:pPr>
        <w:pStyle w:val="ListBullet"/>
      </w:pPr>
      <w:r>
        <w:t>Depreciation to date (Years 3-6): $800,000,000 (4 years × 20%)</w:t>
      </w:r>
    </w:p>
    <w:p>
      <w:pPr>
        <w:pStyle w:val="ListBullet"/>
      </w:pPr>
      <w:r>
        <w:t>Remaining depreciation (Year 7): $200,000,000 (final year)</w:t>
      </w:r>
    </w:p>
    <w:p>
      <w:pPr>
        <w:pStyle w:val="ListBullet"/>
      </w:pPr>
      <w:r>
        <w:t>Unrecovered costs (start Year 7): Assume $0 for simplification (costs recovered in prior years)</w:t>
      </w:r>
    </w:p>
    <w:p>
      <w:r>
        <w:rPr>
          <w:b/>
        </w:rPr>
        <w:t>Required:</w:t>
      </w:r>
    </w:p>
    <w:p>
      <w:r>
        <w:t>(a) Calculate Year 7 contractor net entitlement for each option</w:t>
      </w:r>
    </w:p>
    <w:p>
      <w:r>
        <w:t>(b) Determine which PSC delivers higher contractor value</w:t>
      </w:r>
    </w:p>
    <w:p>
      <w:r>
        <w:t>(c) Calculate effective government take for each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Solution:</w:t>
      </w:r>
    </w:p>
    <w:p>
      <w:pPr>
        <w:pStyle w:val="Heading3"/>
      </w:pPr>
      <w:r>
        <w:t>**OPTION A: CLASSIC PSC (NORTHLAND)**</w:t>
      </w:r>
    </w:p>
    <w:p>
      <w:r>
        <w:rPr>
          <w:b/>
        </w:rPr>
        <w:t>Step 1: Gross Revenue and Royalty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Production:                          10,000,000 barrels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Price:                                     $85/barrel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$850,000,000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(0%):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$850,000,000 (10,000,000 barrels)</w:t>
      </w:r>
    </w:p>
    <w:p/>
    <w:p>
      <w:r>
        <w:rPr>
          <w:b/>
        </w:rPr>
        <w:t>Step 2: Cost Recovery Claim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costs:                          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depreciation (Year 7, final):      $1,000,000,000 × 20% =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prior costs:                   $0 (assume fully recovered)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 Recovery Claim:                 $400,000,000</w:t>
      </w:r>
    </w:p>
    <w:p/>
    <w:p>
      <w:r>
        <w:rPr>
          <w:b/>
        </w:rPr>
        <w:t>Step 3: Apply Cost Recovery Ceiling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 (60%):               60% × $850,000,000 = $510,000,000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Claim:                                     $400,000,000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Ceiling:                                   $510,000,000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Recovery:                      $400,000,000 (within 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 (barrels):                        $400,000,000 / $85 = 4,705,882 barrels</w:t>
      </w:r>
    </w:p>
    <w:p/>
    <w:p>
      <w:r>
        <w:rPr>
          <w:b/>
        </w:rPr>
        <w:t>Step 4: Profit Oil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$850,000,000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Oil:                            ($400,000,000)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                       $450,000,000 (5,294,118 barrels)</w:t>
      </w:r>
    </w:p>
    <w:p/>
    <w:p>
      <w:r>
        <w:rPr>
          <w:b/>
        </w:rPr>
        <w:t>Step 5: Profit Split (72/28)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Share (72%):                    $324,000,000 (3,811,765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Share (28%):                    $126,000,000 (1,482,353 barrels)</w:t>
      </w:r>
    </w:p>
    <w:p/>
    <w:p>
      <w:r>
        <w:rPr>
          <w:b/>
        </w:rPr>
        <w:t>Step 6: Total Contractor Entitlement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Oil:                                  $400,000,000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Share:                   $126,000,000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CONTRACTOR ENTITLEMENT:              $526,000,000 (6,188,235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 Tax (in-lieu):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CONTRACTOR POSITION (Option A):        $526,000,000</w:t>
      </w:r>
    </w:p>
    <w:p/>
    <w:p>
      <w:r>
        <w:rPr>
          <w:b/>
        </w:rPr>
        <w:t>Step 7: Government Take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Profit Share:                 $324,000,000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Income Tax: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TOTAL:                                   $324,000,000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Government Take:                 $324,000,000 / $850,000,000 = 38.12%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**OPTION B: TAX/ROYALTY PSC (SOUTHLAND)**</w:t>
      </w:r>
    </w:p>
    <w:p>
      <w:r>
        <w:rPr>
          <w:b/>
        </w:rPr>
        <w:t>Step 1: Gross Revenue and Royalty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Production:                          10,000,000 barrels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Price:                                     $85/barrel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$850,000,000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(10%):                             1,000,000 barrels = $85,000,000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$765,000,000 (9,000,000 barrels)</w:t>
      </w:r>
    </w:p>
    <w:p/>
    <w:p>
      <w:r>
        <w:rPr>
          <w:b/>
        </w:rPr>
        <w:t>Step 2: Cost Recovery Claim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costs:                          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depreciation (Year 7, final):     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prior costs: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 Recovery Claim:                 $400,000,000</w:t>
      </w:r>
    </w:p>
    <w:p/>
    <w:p>
      <w:r>
        <w:rPr>
          <w:b/>
        </w:rPr>
        <w:t>Step 3: Apply Cost Recovery Ceiling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 (70%):               70% × $765,000,000 = $535,500,000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Claim:                                     $400,000,000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Ceiling:                                   $535,500,000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Recovery:                      $400,000,000 (within 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 (barrels):                        $400,000,000 / $85 = 4,705,882 barrels</w:t>
      </w:r>
    </w:p>
    <w:p/>
    <w:p>
      <w:r>
        <w:rPr>
          <w:b/>
        </w:rPr>
        <w:t>Step 4: Profit Oil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$765,000,000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Oil:                            ($400,000,000)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                       $365,000,000 (4,294,118 barrels)</w:t>
      </w:r>
    </w:p>
    <w:p/>
    <w:p>
      <w:r>
        <w:rPr>
          <w:b/>
        </w:rPr>
        <w:t>Step 5: Profit Split (60/40)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Share (60%):                    $219,000,000 (2,576,471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Share (40%):                    $146,000,000 (1,717,647 barrels)</w:t>
      </w:r>
    </w:p>
    <w:p/>
    <w:p>
      <w:r>
        <w:rPr>
          <w:b/>
        </w:rPr>
        <w:t>Step 6: Total Contractor Entitlement (Pre-Tax)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Oil:                                  $400,000,000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Share:                   $146,000,000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ENTITLEMENT (pre-tax):          $546,000,000 (6,423,529 barrels)</w:t>
      </w:r>
    </w:p>
    <w:p/>
    <w:p>
      <w:r>
        <w:rPr>
          <w:b/>
        </w:rPr>
        <w:t>Step 7: Income Tax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(contractor profit share):  $146,000,000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Tax Rate:                        30%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 Tax:                                $146,000,000 × 30% = $43,800,000</w:t>
      </w:r>
    </w:p>
    <w:p/>
    <w:p>
      <w:r>
        <w:rPr>
          <w:b/>
        </w:rPr>
        <w:t>Step 8: Net Contractor Position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Entitlement:                    $546,000,000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Income Tax:                          ($43,800,000)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CONTRACTOR POSITION (Option B):        $502,200,000</w:t>
      </w:r>
    </w:p>
    <w:p/>
    <w:p>
      <w:r>
        <w:rPr>
          <w:b/>
        </w:rPr>
        <w:t>Step 9: Government Take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$85,000,000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Profit Share:                 $219,000,000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Income Tax:                              $43,800,000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TOTAL:                                   $347,800,000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Government Take:                 $347,800,000 / $850,000,000 = 40.92%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**COMPARATIVE ANALYSIS**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Option A (Classic PSC)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Option B (Tax/Royalty PSC)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Difference</w:t>
            </w:r>
          </w:p>
        </w:tc>
      </w:tr>
      <w:tr>
        <w:tc>
          <w:tcPr>
            <w:tcW w:type="dxa" w:w="2160"/>
          </w:tcPr>
          <w:p>
            <w:r/>
            <w:r>
              <w:t>Gross Revenue</w:t>
            </w:r>
          </w:p>
        </w:tc>
        <w:tc>
          <w:tcPr>
            <w:tcW w:type="dxa" w:w="2160"/>
          </w:tcPr>
          <w:p>
            <w:r/>
            <w:r>
              <w:t>$850,000,000</w:t>
            </w:r>
          </w:p>
        </w:tc>
        <w:tc>
          <w:tcPr>
            <w:tcW w:type="dxa" w:w="2160"/>
          </w:tcPr>
          <w:p>
            <w:r/>
            <w:r>
              <w:t>$850,000,000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Royalty</w:t>
            </w:r>
          </w:p>
        </w:tc>
        <w:tc>
          <w:tcPr>
            <w:tcW w:type="dxa" w:w="2160"/>
          </w:tcPr>
          <w:p>
            <w:r/>
            <w:r>
              <w:t>$0 (0%)</w:t>
            </w:r>
          </w:p>
        </w:tc>
        <w:tc>
          <w:tcPr>
            <w:tcW w:type="dxa" w:w="2160"/>
          </w:tcPr>
          <w:p>
            <w:r/>
            <w:r>
              <w:t>$85,000,000 (10%)</w:t>
            </w:r>
          </w:p>
        </w:tc>
        <w:tc>
          <w:tcPr>
            <w:tcW w:type="dxa" w:w="2160"/>
          </w:tcPr>
          <w:p>
            <w:r/>
            <w:r>
              <w:t>($85M)</w:t>
            </w:r>
          </w:p>
        </w:tc>
      </w:tr>
      <w:tr>
        <w:tc>
          <w:tcPr>
            <w:tcW w:type="dxa" w:w="2160"/>
          </w:tcPr>
          <w:p>
            <w:r/>
            <w:r>
              <w:t>Cost Recovery</w:t>
            </w:r>
          </w:p>
        </w:tc>
        <w:tc>
          <w:tcPr>
            <w:tcW w:type="dxa" w:w="2160"/>
          </w:tcPr>
          <w:p>
            <w:r/>
            <w:r>
              <w:t>$400,000,000</w:t>
            </w:r>
          </w:p>
        </w:tc>
        <w:tc>
          <w:tcPr>
            <w:tcW w:type="dxa" w:w="2160"/>
          </w:tcPr>
          <w:p>
            <w:r/>
            <w:r>
              <w:t>$400,000,000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Profit Oil</w:t>
            </w:r>
          </w:p>
        </w:tc>
        <w:tc>
          <w:tcPr>
            <w:tcW w:type="dxa" w:w="2160"/>
          </w:tcPr>
          <w:p>
            <w:r/>
            <w:r>
              <w:t>$450,000,000</w:t>
            </w:r>
          </w:p>
        </w:tc>
        <w:tc>
          <w:tcPr>
            <w:tcW w:type="dxa" w:w="2160"/>
          </w:tcPr>
          <w:p>
            <w:r/>
            <w:r>
              <w:t>$365,000,000</w:t>
            </w:r>
          </w:p>
        </w:tc>
        <w:tc>
          <w:tcPr>
            <w:tcW w:type="dxa" w:w="2160"/>
          </w:tcPr>
          <w:p>
            <w:r/>
            <w:r>
              <w:t>($85M)</w:t>
            </w:r>
          </w:p>
        </w:tc>
      </w:tr>
      <w:tr>
        <w:tc>
          <w:tcPr>
            <w:tcW w:type="dxa" w:w="2160"/>
          </w:tcPr>
          <w:p>
            <w:r/>
            <w:r>
              <w:t>Contractor Profit Share</w:t>
            </w:r>
          </w:p>
        </w:tc>
        <w:tc>
          <w:tcPr>
            <w:tcW w:type="dxa" w:w="2160"/>
          </w:tcPr>
          <w:p>
            <w:r/>
            <w:r>
              <w:t>$126,000,000 (28%)</w:t>
            </w:r>
          </w:p>
        </w:tc>
        <w:tc>
          <w:tcPr>
            <w:tcW w:type="dxa" w:w="2160"/>
          </w:tcPr>
          <w:p>
            <w:r/>
            <w:r>
              <w:t>$146,000,000 (40%)</w:t>
            </w:r>
          </w:p>
        </w:tc>
        <w:tc>
          <w:tcPr>
            <w:tcW w:type="dxa" w:w="2160"/>
          </w:tcPr>
          <w:p>
            <w:r/>
            <w:r>
              <w:t>$20M</w:t>
            </w:r>
          </w:p>
        </w:tc>
      </w:tr>
      <w:tr>
        <w:tc>
          <w:tcPr>
            <w:tcW w:type="dxa" w:w="2160"/>
          </w:tcPr>
          <w:p>
            <w:r/>
            <w:r>
              <w:t>Income Tax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$43,800,000 (30%)</w:t>
            </w:r>
          </w:p>
        </w:tc>
        <w:tc>
          <w:tcPr>
            <w:tcW w:type="dxa" w:w="2160"/>
          </w:tcPr>
          <w:p>
            <w:r/>
            <w:r>
              <w:t>($43.8M)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Net Contractor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$526,000,000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$502,200,000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($23.8M)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Government Take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$324,000,000 (38.1%)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$347,800,000 (40.9%)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$23.8M (2.8%)</w:t>
            </w:r>
          </w:p>
        </w:tc>
      </w:tr>
    </w:tbl>
    <w:p/>
    <w:p>
      <w:r>
        <w:rPr>
          <w:b/>
        </w:rPr>
        <w:t>Conclusion:</w:t>
      </w:r>
    </w:p>
    <w:p>
      <w:r>
        <w:rPr>
          <w:b/>
        </w:rPr>
        <w:t>Option A (Classic PSC - Northland)</w:t>
      </w:r>
      <w:r>
        <w:t xml:space="preserve"> is more favorable to the contractor:</w:t>
      </w:r>
    </w:p>
    <w:p>
      <w:pPr>
        <w:pStyle w:val="ListBullet"/>
      </w:pPr>
      <w:r>
        <w:rPr>
          <w:b/>
        </w:rPr>
        <w:t>$23.8M higher annual cash flow</w:t>
      </w:r>
      <w:r>
        <w:t xml:space="preserve"> (4.7% higher)</w:t>
      </w:r>
    </w:p>
    <w:p>
      <w:pPr>
        <w:pStyle w:val="ListBullet"/>
      </w:pPr>
      <w:r>
        <w:t>Lower effective government take (38.1% vs. 40.9%)</w:t>
      </w:r>
    </w:p>
    <w:p>
      <w:pPr>
        <w:pStyle w:val="ListBullet"/>
      </w:pPr>
      <w:r>
        <w:t>Simpler tax administration (no income tax compliance)</w:t>
      </w:r>
    </w:p>
    <w:p>
      <w:pPr>
        <w:pStyle w:val="ListBullet"/>
      </w:pPr>
      <w:r>
        <w:t>In-lieu structure avoids transfer pricing scrutiny on profit allocation</w:t>
      </w:r>
    </w:p>
    <w:p>
      <w:r>
        <w:rPr>
          <w:b/>
        </w:rPr>
        <w:t>Option B (Tax/Royalty PSC - Southland)</w:t>
      </w:r>
      <w:r>
        <w:t xml:space="preserve"> provides:</w:t>
      </w:r>
    </w:p>
    <w:p>
      <w:pPr>
        <w:pStyle w:val="ListBullet"/>
      </w:pPr>
      <w:r>
        <w:t>Higher government take (2.8 percentage points higher)</w:t>
      </w:r>
    </w:p>
    <w:p>
      <w:pPr>
        <w:pStyle w:val="ListBullet"/>
      </w:pPr>
      <w:r>
        <w:t>More transparent fiscal structure (separate royalty, profit split, and tax)</w:t>
      </w:r>
    </w:p>
    <w:p>
      <w:pPr>
        <w:pStyle w:val="ListBullet"/>
      </w:pPr>
      <w:r>
        <w:t>Government receives revenue earlier (royalty paid immediately on production)</w:t>
      </w:r>
    </w:p>
    <w:p>
      <w:pPr>
        <w:pStyle w:val="ListBullet"/>
      </w:pPr>
      <w:r>
        <w:t>Potentially better foreign tax credit treatment for contractor (direct taxation may be creditable in home country)</w:t>
      </w:r>
    </w:p>
    <w:p>
      <w:r>
        <w:rPr>
          <w:b/>
        </w:rPr>
        <w:t>NPV Consideration:</w:t>
      </w:r>
    </w:p>
    <w:p>
      <w:r>
        <w:t>Assuming steady-state production for 10 years (Years 5-15) and 10% discount rate: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NPV Factor (10-year annuity at 10%):       6.145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A NPV:                              $526M × 6.145 = $3,232M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B NPV:                              $502.2M × 6.145 = $3,086M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NPV Advantage (Option A):                  $146M (4.7% higher)</w:t>
      </w:r>
    </w:p>
    <w:p/>
    <w:p>
      <w:r>
        <w:rPr>
          <w:b/>
        </w:rPr>
        <w:t>Foreign Tax Credit Analysis:</w:t>
      </w:r>
    </w:p>
    <w:p>
      <w:r>
        <w:t>If MegaOil Inc is US-based (21% federal corporate tax):</w:t>
      </w:r>
    </w:p>
    <w:p>
      <w:r>
        <w:rPr>
          <w:b/>
        </w:rPr>
        <w:t>Option A:</w:t>
      </w:r>
    </w:p>
    <w:p>
      <w:pPr>
        <w:pStyle w:val="ListBullet"/>
      </w:pPr>
      <w:r>
        <w:t>US tax on worldwide income: $526M × 21% = $110.46M</w:t>
      </w:r>
    </w:p>
    <w:p>
      <w:pPr>
        <w:pStyle w:val="ListBullet"/>
      </w:pPr>
      <w:r>
        <w:t>Foreign tax credit: $0 (in-lieu not creditable)</w:t>
      </w:r>
    </w:p>
    <w:p>
      <w:pPr>
        <w:pStyle w:val="ListBullet"/>
      </w:pPr>
      <w:r>
        <w:rPr>
          <w:b/>
        </w:rPr>
        <w:t>Net US tax: $110.46M</w:t>
      </w:r>
    </w:p>
    <w:p>
      <w:r>
        <w:rPr>
          <w:b/>
        </w:rPr>
        <w:t>Option B:</w:t>
      </w:r>
    </w:p>
    <w:p>
      <w:pPr>
        <w:pStyle w:val="ListBullet"/>
      </w:pPr>
      <w:r>
        <w:t>US tax on worldwide income: $546M × 21% = $114.66M</w:t>
      </w:r>
    </w:p>
    <w:p>
      <w:pPr>
        <w:pStyle w:val="ListBullet"/>
      </w:pPr>
      <w:r>
        <w:t>Foreign tax credit: $43.8M (creditable)</w:t>
      </w:r>
    </w:p>
    <w:p>
      <w:pPr>
        <w:pStyle w:val="ListBullet"/>
      </w:pPr>
      <w:r>
        <w:rPr>
          <w:b/>
        </w:rPr>
        <w:t>Net US tax: $70.86M</w:t>
      </w:r>
    </w:p>
    <w:p>
      <w:r>
        <w:rPr>
          <w:b/>
        </w:rPr>
        <w:t>After-US-Tax Comparison: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A net (after US tax):               $526M - $110.46M = $415.54M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B net (after US tax):               $502.2M - $70.86M = $431.34M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**Option B becomes more favorable by $15.8M** when considering US tax treatment.</w:t>
      </w:r>
    </w:p>
    <w:p/>
    <w:p>
      <w:r>
        <w:rPr>
          <w:b/>
        </w:rPr>
        <w:t>Final Recommendation:</w:t>
      </w:r>
    </w:p>
    <w:p>
      <w:pPr>
        <w:pStyle w:val="ListBullet"/>
      </w:pPr>
      <w:r>
        <w:t xml:space="preserve">If contractor can obtain foreign tax credit in home jurisdiction: </w:t>
      </w:r>
      <w:r>
        <w:rPr>
          <w:b/>
        </w:rPr>
        <w:t>Option B</w:t>
      </w:r>
      <w:r>
        <w:t xml:space="preserve"> (higher after-tax return)</w:t>
      </w:r>
    </w:p>
    <w:p>
      <w:pPr>
        <w:pStyle w:val="ListBullet"/>
      </w:pPr>
      <w:r>
        <w:t xml:space="preserve">If contractor cannot credit foreign taxes or is in low-tax jurisdiction: </w:t>
      </w:r>
      <w:r>
        <w:rPr>
          <w:b/>
        </w:rPr>
        <w:t>Option A</w:t>
      </w:r>
      <w:r>
        <w:t xml:space="preserve"> (higher gross return)</w:t>
      </w:r>
    </w:p>
    <w:p>
      <w:pPr>
        <w:pStyle w:val="ListBullet"/>
      </w:pPr>
      <w:r>
        <w:t>Consider tax treaty benefits, repatriation costs, and political risk in final decision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Recent Developments (2023-2024)</w:t>
      </w:r>
    </w:p>
    <w:p>
      <w:pPr>
        <w:pStyle w:val="Heading3"/>
      </w:pPr>
      <w:r>
        <w:t>6.1 Indonesia PSC Reform - Gross Split Model</w:t>
      </w:r>
    </w:p>
    <w:p>
      <w:r>
        <w:rPr>
          <w:b/>
        </w:rPr>
        <w:t>Background:</w:t>
      </w:r>
      <w:r>
        <w:t xml:space="preserve"> Indonesia transitioned from cost recovery PSCs to </w:t>
      </w:r>
      <w:r>
        <w:rPr>
          <w:b/>
        </w:rPr>
        <w:t>Gross Split PSCs</w:t>
      </w:r>
      <w:r>
        <w:t xml:space="preserve"> (Government Regulation No. 53/2017).</w:t>
      </w:r>
    </w:p>
    <w:p>
      <w:r>
        <w:rPr>
          <w:b/>
        </w:rPr>
        <w:t>Key Changes:</w:t>
      </w:r>
    </w:p>
    <w:p>
      <w:pPr>
        <w:pStyle w:val="ListBullet"/>
      </w:pPr>
      <w:r>
        <w:rPr>
          <w:b/>
        </w:rPr>
        <w:t>No cost recovery mechanism</w:t>
      </w:r>
      <w:r>
        <w:t>: Contractor receives fixed percentage of gross production</w:t>
      </w:r>
    </w:p>
    <w:p>
      <w:pPr>
        <w:pStyle w:val="ListBullet"/>
      </w:pPr>
      <w:r>
        <w:rPr>
          <w:b/>
        </w:rPr>
        <w:t>Base split:</w:t>
      </w:r>
      <w:r>
        <w:t xml:space="preserve"> Government 57% / Contractor 43% (oil); Government 52% / Contractor 48% (gas)</w:t>
      </w:r>
    </w:p>
    <w:p>
      <w:pPr>
        <w:pStyle w:val="ListBullet"/>
      </w:pPr>
      <w:r>
        <w:rPr>
          <w:b/>
        </w:rPr>
        <w:t>Progressive components:</w:t>
      </w:r>
      <w:r>
        <w:t xml:space="preserve"> Additional variable split based on field characteristics, status, and government participation</w:t>
      </w:r>
    </w:p>
    <w:p>
      <w:pPr>
        <w:pStyle w:val="ListBullet"/>
      </w:pPr>
      <w:r>
        <w:rPr>
          <w:b/>
        </w:rPr>
        <w:t>Simplification:</w:t>
      </w:r>
      <w:r>
        <w:t xml:space="preserve"> Eliminates cost recovery audits and disputes</w:t>
      </w:r>
    </w:p>
    <w:p>
      <w:pPr>
        <w:pStyle w:val="ListBullet"/>
      </w:pPr>
      <w:r>
        <w:rPr>
          <w:b/>
        </w:rPr>
        <w:t>Government objective:</w:t>
      </w:r>
      <w:r>
        <w:t xml:space="preserve"> Increase transparency and accelerate revenue collection</w:t>
      </w:r>
    </w:p>
    <w:p>
      <w:r>
        <w:rPr>
          <w:b/>
        </w:rPr>
        <w:t>Impact:</w:t>
      </w:r>
    </w:p>
    <w:p>
      <w:pPr>
        <w:pStyle w:val="ListBullet"/>
      </w:pPr>
      <w:r>
        <w:t>Favorable for low-cost, mature fields</w:t>
      </w:r>
    </w:p>
    <w:p>
      <w:pPr>
        <w:pStyle w:val="ListBullet"/>
      </w:pPr>
      <w:r>
        <w:t>Less attractive for high-cost, deepwater, or frontier exploration</w:t>
      </w:r>
    </w:p>
    <w:p>
      <w:pPr>
        <w:pStyle w:val="ListBullet"/>
      </w:pPr>
      <w:r>
        <w:t>Reduced contractor interest in Indonesia PSCs post-2017</w:t>
      </w:r>
    </w:p>
    <w:p>
      <w:pPr>
        <w:pStyle w:val="Heading3"/>
      </w:pPr>
      <w:r>
        <w:t>6.2 Iraq PSC Developments</w:t>
      </w:r>
    </w:p>
    <w:p>
      <w:r>
        <w:rPr>
          <w:b/>
        </w:rPr>
        <w:t>Technical Service Contracts (TSCs):</w:t>
      </w:r>
    </w:p>
    <w:p>
      <w:pPr>
        <w:pStyle w:val="ListBullet"/>
      </w:pPr>
      <w:r>
        <w:t xml:space="preserve">Iraq uses </w:t>
      </w:r>
      <w:r>
        <w:rPr>
          <w:b/>
        </w:rPr>
        <w:t>Risk Service Contracts</w:t>
      </w:r>
      <w:r>
        <w:t xml:space="preserve"> rather than classic PSCs</w:t>
      </w:r>
    </w:p>
    <w:p>
      <w:pPr>
        <w:pStyle w:val="ListBullet"/>
      </w:pPr>
      <w:r>
        <w:t xml:space="preserve">Contractors paid </w:t>
      </w:r>
      <w:r>
        <w:rPr>
          <w:b/>
        </w:rPr>
        <w:t>remuneration fee</w:t>
      </w:r>
      <w:r>
        <w:t xml:space="preserve"> (per barrel) instead of profit share</w:t>
      </w:r>
    </w:p>
    <w:p>
      <w:pPr>
        <w:pStyle w:val="ListBullet"/>
      </w:pPr>
      <w:r>
        <w:t>Government retains ownership; contractors have no equity interest</w:t>
      </w:r>
    </w:p>
    <w:p>
      <w:r>
        <w:rPr>
          <w:b/>
        </w:rPr>
        <w:t>Recent Changes (2023-2024):</w:t>
      </w:r>
    </w:p>
    <w:p>
      <w:pPr>
        <w:pStyle w:val="ListBullet"/>
      </w:pPr>
      <w:r>
        <w:rPr>
          <w:b/>
        </w:rPr>
        <w:t>Increased remuneration fees</w:t>
      </w:r>
      <w:r>
        <w:t>: From $1-2/barrel to $4-6/barrel to attract investment</w:t>
      </w:r>
    </w:p>
    <w:p>
      <w:pPr>
        <w:pStyle w:val="ListBullet"/>
      </w:pPr>
      <w:r>
        <w:rPr>
          <w:b/>
        </w:rPr>
        <w:t>Cost recovery ceiling raised</w:t>
      </w:r>
      <w:r>
        <w:t>: From 50% to 70%</w:t>
      </w:r>
    </w:p>
    <w:p>
      <w:pPr>
        <w:pStyle w:val="ListBullet"/>
      </w:pPr>
      <w:r>
        <w:rPr>
          <w:b/>
        </w:rPr>
        <w:t>Contract duration extended</w:t>
      </w:r>
      <w:r>
        <w:t>: From 20 to 25 years for new fields</w:t>
      </w:r>
    </w:p>
    <w:p>
      <w:pPr>
        <w:pStyle w:val="ListBullet"/>
      </w:pPr>
      <w:r>
        <w:rPr>
          <w:b/>
        </w:rPr>
        <w:t>Political stability concerns</w:t>
      </w:r>
      <w:r>
        <w:t>: Ongoing regional instability affects investment decisions</w:t>
      </w:r>
    </w:p>
    <w:p>
      <w:pPr>
        <w:pStyle w:val="Heading3"/>
      </w:pPr>
      <w:r>
        <w:t>6.3 Guyana PSC Success and Implications</w:t>
      </w:r>
    </w:p>
    <w:p>
      <w:r>
        <w:rPr>
          <w:b/>
        </w:rPr>
        <w:t>Exxon-led Stabroek Block:</w:t>
      </w:r>
    </w:p>
    <w:p>
      <w:pPr>
        <w:pStyle w:val="ListBullet"/>
      </w:pPr>
      <w:r>
        <w:t>Discovered over 11 billion barrels oil equivalent (2015-2024)</w:t>
      </w:r>
    </w:p>
    <w:p>
      <w:pPr>
        <w:pStyle w:val="ListBullet"/>
      </w:pPr>
      <w:r>
        <w:t xml:space="preserve">PSC terms considered </w:t>
      </w:r>
      <w:r>
        <w:rPr>
          <w:b/>
        </w:rPr>
        <w:t>contractor-favorable</w:t>
      </w:r>
      <w:r>
        <w:t>:</w:t>
      </w:r>
    </w:p>
    <w:p>
      <w:pPr>
        <w:pStyle w:val="ListBullet"/>
        <w:ind w:left="360"/>
      </w:pPr>
      <w:r>
        <w:t>Cost recovery ceiling: 75%</w:t>
      </w:r>
    </w:p>
    <w:p>
      <w:pPr>
        <w:pStyle w:val="ListBullet"/>
        <w:ind w:left="360"/>
      </w:pPr>
      <w:r>
        <w:t>Profit split: Government 50% / Contractor 50%</w:t>
      </w:r>
    </w:p>
    <w:p>
      <w:pPr>
        <w:pStyle w:val="ListBullet"/>
        <w:ind w:left="360"/>
      </w:pPr>
      <w:r>
        <w:t>2% royalty only</w:t>
      </w:r>
    </w:p>
    <w:p>
      <w:pPr>
        <w:pStyle w:val="ListBullet"/>
      </w:pPr>
      <w:r>
        <w:rPr>
          <w:b/>
        </w:rPr>
        <w:t>Effective government take: ~35-40%</w:t>
      </w:r>
      <w:r>
        <w:t xml:space="preserve"> (low by international standards)</w:t>
      </w:r>
    </w:p>
    <w:p>
      <w:r>
        <w:rPr>
          <w:b/>
        </w:rPr>
        <w:t>Government Response (2023):</w:t>
      </w:r>
    </w:p>
    <w:p>
      <w:pPr>
        <w:pStyle w:val="ListBullet"/>
      </w:pPr>
      <w:r>
        <w:t>Renegotiation discussions for new blocks</w:t>
      </w:r>
    </w:p>
    <w:p>
      <w:pPr>
        <w:pStyle w:val="ListBullet"/>
      </w:pPr>
      <w:r>
        <w:t>Proposed changes: Higher profit share (65-70% government), increased royalty (10%)</w:t>
      </w:r>
    </w:p>
    <w:p>
      <w:pPr>
        <w:pStyle w:val="ListBullet"/>
      </w:pPr>
      <w:r>
        <w:rPr>
          <w:b/>
        </w:rPr>
        <w:t>Political debate:</w:t>
      </w:r>
      <w:r>
        <w:t xml:space="preserve"> Balance between attracting investment and maximizing revenue</w:t>
      </w:r>
    </w:p>
    <w:p>
      <w:r>
        <w:rPr>
          <w:b/>
        </w:rPr>
        <w:t>Lessons:</w:t>
      </w:r>
    </w:p>
    <w:p>
      <w:pPr>
        <w:pStyle w:val="ListBullet"/>
      </w:pPr>
      <w:r>
        <w:t>Frontier exploration requires contractor-friendly terms</w:t>
      </w:r>
    </w:p>
    <w:p>
      <w:pPr>
        <w:pStyle w:val="ListBullet"/>
      </w:pPr>
      <w:r>
        <w:t>Government take increases after commercial success demonstrated</w:t>
      </w:r>
    </w:p>
    <w:p>
      <w:pPr>
        <w:pStyle w:val="ListBullet"/>
      </w:pPr>
      <w:r>
        <w:t>Early-mover advantage can lock in favorable fiscal terms for decades</w:t>
      </w:r>
    </w:p>
    <w:p>
      <w:pPr>
        <w:pStyle w:val="Heading3"/>
      </w:pPr>
      <w:r>
        <w:t>6.4 OECD Pillar Two Impact on PSCs</w:t>
      </w:r>
    </w:p>
    <w:p>
      <w:r>
        <w:rPr>
          <w:b/>
        </w:rPr>
        <w:t>Global Minimum Tax (15%):</w:t>
      </w:r>
    </w:p>
    <w:p>
      <w:pPr>
        <w:pStyle w:val="ListBullet"/>
      </w:pPr>
      <w:r>
        <w:t>BEPS 2.0 Pillar Two applies to multinational groups with revenue &gt;EUR 750M</w:t>
      </w:r>
    </w:p>
    <w:p>
      <w:pPr>
        <w:pStyle w:val="ListBullet"/>
      </w:pPr>
      <w:r>
        <w:rPr>
          <w:b/>
        </w:rPr>
        <w:t>PSC-specific issues:</w:t>
      </w:r>
    </w:p>
    <w:p>
      <w:pPr>
        <w:pStyle w:val="ListBullet"/>
        <w:ind w:left="360"/>
      </w:pPr>
      <w:r>
        <w:rPr>
          <w:b/>
        </w:rPr>
        <w:t>Tax in-lieu structures:</w:t>
      </w:r>
      <w:r>
        <w:t xml:space="preserve"> Unclear whether government profit share qualifies as "covered tax"</w:t>
      </w:r>
    </w:p>
    <w:p>
      <w:pPr>
        <w:pStyle w:val="ListBullet"/>
        <w:ind w:left="360"/>
      </w:pPr>
      <w:r>
        <w:rPr>
          <w:b/>
        </w:rPr>
        <w:t>Cost recovery audits:</w:t>
      </w:r>
      <w:r>
        <w:t xml:space="preserve"> Disallowed costs may create effective tax rate (ETR) calculation issues</w:t>
      </w:r>
    </w:p>
    <w:p>
      <w:pPr>
        <w:pStyle w:val="ListBullet"/>
        <w:ind w:left="360"/>
      </w:pPr>
      <w:r>
        <w:rPr>
          <w:b/>
        </w:rPr>
        <w:t>Ring-fencing:</w:t>
      </w:r>
      <w:r>
        <w:t xml:space="preserve"> Separate PSC contracts may be separate jurisdictions for GloBE calculations</w:t>
      </w:r>
    </w:p>
    <w:p>
      <w:r>
        <w:rPr>
          <w:b/>
        </w:rPr>
        <w:t>OECD Guidance (2024):</w:t>
      </w:r>
    </w:p>
    <w:p>
      <w:pPr>
        <w:pStyle w:val="ListBullet"/>
      </w:pPr>
      <w:r>
        <w:rPr>
          <w:b/>
        </w:rPr>
        <w:t>Extractive industries working group</w:t>
      </w:r>
      <w:r>
        <w:t xml:space="preserve"> established to address PSC treatment</w:t>
      </w:r>
    </w:p>
    <w:p>
      <w:pPr>
        <w:pStyle w:val="ListBullet"/>
      </w:pPr>
      <w:r>
        <w:t xml:space="preserve">Preliminary view: Government profit share </w:t>
      </w:r>
      <w:r>
        <w:rPr>
          <w:b/>
        </w:rPr>
        <w:t>not treated as tax</w:t>
      </w:r>
      <w:r>
        <w:t xml:space="preserve"> for Pillar Two purposes</w:t>
      </w:r>
    </w:p>
    <w:p>
      <w:pPr>
        <w:pStyle w:val="ListBullet"/>
      </w:pPr>
      <w:r>
        <w:rPr>
          <w:b/>
        </w:rPr>
        <w:t>Implication:</w:t>
      </w:r>
      <w:r>
        <w:t xml:space="preserve"> Low-tax PSC jurisdictions may trigger top-up tax (Income Inclusion Rule)</w:t>
      </w:r>
    </w:p>
    <w:p>
      <w:r>
        <w:rPr>
          <w:b/>
        </w:rPr>
        <w:t>Contractor Response:</w:t>
      </w:r>
    </w:p>
    <w:p>
      <w:pPr>
        <w:pStyle w:val="ListBullet"/>
      </w:pPr>
      <w:r>
        <w:t>Evaluate Pillar Two exposure on PSC portfolio</w:t>
      </w:r>
    </w:p>
    <w:p>
      <w:pPr>
        <w:pStyle w:val="ListBullet"/>
      </w:pPr>
      <w:r>
        <w:t>Consider restructuring through Qualified Domestic Minimum Top-up Tax (QDMTT) jurisdictions</w:t>
      </w:r>
    </w:p>
    <w:p>
      <w:pPr>
        <w:pStyle w:val="ListBullet"/>
      </w:pPr>
      <w:r>
        <w:t>Negotiate amended PSC terms to include explicit income tax</w:t>
      </w:r>
    </w:p>
    <w:p>
      <w:pPr>
        <w:pStyle w:val="Heading3"/>
      </w:pPr>
      <w:r>
        <w:t>6.5 Carbon Pricing and PSC Fiscal Terms</w:t>
      </w:r>
    </w:p>
    <w:p>
      <w:r>
        <w:rPr>
          <w:b/>
        </w:rPr>
        <w:t>Emissions Trading Systems (ETS):</w:t>
      </w:r>
    </w:p>
    <w:p>
      <w:pPr>
        <w:pStyle w:val="ListBullet"/>
      </w:pPr>
      <w:r>
        <w:t>EU ETS Phase 4 (2021-2030) and Carbon Border Adjustment Mechanism (CBAM) affect energy exports</w:t>
      </w:r>
    </w:p>
    <w:p>
      <w:pPr>
        <w:pStyle w:val="ListBullet"/>
      </w:pPr>
      <w:r>
        <w:rPr>
          <w:b/>
        </w:rPr>
        <w:t>PSC consideration:</w:t>
      </w:r>
      <w:r>
        <w:t xml:space="preserve"> Carbon costs may be </w:t>
      </w:r>
      <w:r>
        <w:rPr>
          <w:b/>
        </w:rPr>
        <w:t>recoverable</w:t>
      </w:r>
      <w:r>
        <w:t xml:space="preserve"> or </w:t>
      </w:r>
      <w:r>
        <w:rPr>
          <w:b/>
        </w:rPr>
        <w:t>non-recoverable</w:t>
      </w:r>
      <w:r>
        <w:t xml:space="preserve"> depending on contract language</w:t>
      </w:r>
    </w:p>
    <w:p>
      <w:r>
        <w:rPr>
          <w:b/>
        </w:rPr>
        <w:t>Carbon Tax Integration:</w:t>
      </w:r>
    </w:p>
    <w:p>
      <w:pPr>
        <w:pStyle w:val="ListBullet"/>
      </w:pPr>
      <w:r>
        <w:t>Some jurisdictions adding carbon tax to PSC fiscal framework (e.g., Canada carbon levy applies to oil sands)</w:t>
      </w:r>
    </w:p>
    <w:p>
      <w:pPr>
        <w:pStyle w:val="ListBullet"/>
      </w:pPr>
      <w:r>
        <w:rPr>
          <w:b/>
        </w:rPr>
        <w:t>Cost recovery treatment:</w:t>
      </w:r>
      <w:r>
        <w:t xml:space="preserve"> Generally recoverable as operating cost</w:t>
      </w:r>
    </w:p>
    <w:p>
      <w:pPr>
        <w:pStyle w:val="ListBullet"/>
      </w:pPr>
      <w:r>
        <w:rPr>
          <w:b/>
        </w:rPr>
        <w:t>Future PSCs:</w:t>
      </w:r>
      <w:r>
        <w:t xml:space="preserve"> Likely to include explicit carbon pricing mechanisms</w:t>
      </w:r>
    </w:p>
    <w:p>
      <w:pPr>
        <w:pStyle w:val="Heading3"/>
      </w:pPr>
      <w:r>
        <w:t>6.6 Energy Transition and PSC Adaptations</w:t>
      </w:r>
    </w:p>
    <w:p>
      <w:r>
        <w:rPr>
          <w:b/>
        </w:rPr>
        <w:t>Gas PSCs:</w:t>
      </w:r>
    </w:p>
    <w:p>
      <w:pPr>
        <w:pStyle w:val="ListBullet"/>
      </w:pPr>
      <w:r>
        <w:t xml:space="preserve">Increased focus on </w:t>
      </w:r>
      <w:r>
        <w:rPr>
          <w:b/>
        </w:rPr>
        <w:t>natural gas</w:t>
      </w:r>
      <w:r>
        <w:t xml:space="preserve"> PSCs as transition fuel</w:t>
      </w:r>
    </w:p>
    <w:p>
      <w:pPr>
        <w:pStyle w:val="ListBullet"/>
      </w:pPr>
      <w:r>
        <w:t>Lower government take to incentivize gas development (e.g., Mozambique LNG)</w:t>
      </w:r>
    </w:p>
    <w:p>
      <w:r>
        <w:rPr>
          <w:b/>
        </w:rPr>
        <w:t>CCS and Hydrogen:</w:t>
      </w:r>
    </w:p>
    <w:p>
      <w:pPr>
        <w:pStyle w:val="ListBullet"/>
      </w:pPr>
      <w:r>
        <w:t xml:space="preserve">New PSC models for </w:t>
      </w:r>
      <w:r>
        <w:rPr>
          <w:b/>
        </w:rPr>
        <w:t>carbon capture and storage (CCS)</w:t>
      </w:r>
      <w:r>
        <w:t xml:space="preserve"> and </w:t>
      </w:r>
      <w:r>
        <w:rPr>
          <w:b/>
        </w:rPr>
        <w:t>hydrogen</w:t>
      </w:r>
      <w:r>
        <w:t xml:space="preserve"> production</w:t>
      </w:r>
    </w:p>
    <w:p>
      <w:pPr>
        <w:pStyle w:val="ListBullet"/>
      </w:pPr>
      <w:r>
        <w:t>Example: UK CCS licensing framework (separate from petroleum licensing)</w:t>
      </w:r>
    </w:p>
    <w:p>
      <w:pPr>
        <w:pStyle w:val="ListBullet"/>
      </w:pPr>
      <w:r>
        <w:rPr>
          <w:b/>
        </w:rPr>
        <w:t>Fiscal terms:</w:t>
      </w:r>
      <w:r>
        <w:t xml:space="preserve"> Lower government take, enhanced capital allowances, guaranteed off-take agreements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7. Key Examination Points and Best Practices</w:t>
      </w:r>
    </w:p>
    <w:p>
      <w:pPr>
        <w:pStyle w:val="Heading3"/>
      </w:pPr>
      <w:r>
        <w:t>7.1 Critical Concepts for ADIT Candidates</w:t>
      </w:r>
    </w:p>
    <w:p>
      <w:pPr>
        <w:pStyle w:val="ListNumber"/>
      </w:pPr>
      <w:r>
        <w:rPr>
          <w:b/>
        </w:rPr>
        <w:t>Master the PSC calculation waterfall</w:t>
      </w:r>
      <w:r>
        <w:t>: Sequential steps from gross production to net contractor position</w:t>
      </w:r>
    </w:p>
    <w:p>
      <w:pPr>
        <w:pStyle w:val="ListNumber"/>
      </w:pPr>
      <w:r>
        <w:rPr>
          <w:b/>
        </w:rPr>
        <w:t>Understand cost recovery ceiling mechanics</w:t>
      </w:r>
      <w:r>
        <w:t>: Impact on cash flow and unrecovered cost carry-forward</w:t>
      </w:r>
    </w:p>
    <w:p>
      <w:pPr>
        <w:pStyle w:val="ListNumber"/>
      </w:pPr>
      <w:r>
        <w:rPr>
          <w:b/>
        </w:rPr>
        <w:t>Distinguish PSC types</w:t>
      </w:r>
      <w:r>
        <w:t>: Classic (in-lieu) vs. Tax/Royalty vs. Risk Service Contracts</w:t>
      </w:r>
    </w:p>
    <w:p>
      <w:pPr>
        <w:pStyle w:val="ListNumber"/>
      </w:pPr>
      <w:r>
        <w:rPr>
          <w:b/>
        </w:rPr>
        <w:t>R-Factor progressivity</w:t>
      </w:r>
      <w:r>
        <w:t>: How cumulative profitability affects government take</w:t>
      </w:r>
    </w:p>
    <w:p>
      <w:pPr>
        <w:pStyle w:val="ListNumber"/>
      </w:pPr>
      <w:r>
        <w:rPr>
          <w:b/>
        </w:rPr>
        <w:t>Ring-fencing principles</w:t>
      </w:r>
      <w:r>
        <w:t>: Contract-level isolation and implications</w:t>
      </w:r>
    </w:p>
    <w:p>
      <w:pPr>
        <w:pStyle w:val="ListNumber"/>
      </w:pPr>
      <w:r>
        <w:rPr>
          <w:b/>
        </w:rPr>
        <w:t>Transfer pricing in PSCs</w:t>
      </w:r>
      <w:r>
        <w:t>: Focus on cost recovery audits, not profit allocation</w:t>
      </w:r>
    </w:p>
    <w:p>
      <w:pPr>
        <w:pStyle w:val="ListNumber"/>
      </w:pPr>
      <w:r>
        <w:rPr>
          <w:b/>
        </w:rPr>
        <w:t>Treaty analysis</w:t>
      </w:r>
      <w:r>
        <w:t>: Limited relief due to PE status; withholding tax considerations</w:t>
      </w:r>
    </w:p>
    <w:p>
      <w:pPr>
        <w:pStyle w:val="ListNumber"/>
      </w:pPr>
      <w:r>
        <w:rPr>
          <w:b/>
        </w:rPr>
        <w:t>Recent developments</w:t>
      </w:r>
      <w:r>
        <w:t>: Indonesia Gross Split, Pillar Two implications, energy transition</w:t>
      </w:r>
    </w:p>
    <w:p>
      <w:pPr>
        <w:pStyle w:val="Heading3"/>
      </w:pPr>
      <w:r>
        <w:t>7.2 Common Pitfalls</w:t>
      </w:r>
    </w:p>
    <w:p>
      <w:pPr>
        <w:pStyle w:val="ListBullet"/>
      </w:pPr>
      <w:r>
        <w:rPr>
          <w:b/>
        </w:rPr>
        <w:t>Confusing cost recovery with tax deductions</w:t>
      </w:r>
      <w:r>
        <w:t>: Cost recovery is contractual entitlement, not tax concept</w:t>
      </w:r>
    </w:p>
    <w:p>
      <w:pPr>
        <w:pStyle w:val="ListBullet"/>
      </w:pPr>
      <w:r>
        <w:rPr>
          <w:b/>
        </w:rPr>
        <w:t>Ignoring cost recovery ceiling</w:t>
      </w:r>
      <w:r>
        <w:t>: Failing to apply ceiling creates incorrect profit oil calculation</w:t>
      </w:r>
    </w:p>
    <w:p>
      <w:pPr>
        <w:pStyle w:val="ListBullet"/>
      </w:pPr>
      <w:r>
        <w:rPr>
          <w:b/>
        </w:rPr>
        <w:t>Misapplying R-Factor</w:t>
      </w:r>
      <w:r>
        <w:t>: Using current year revenue/cost instead of cumulative figures</w:t>
      </w:r>
    </w:p>
    <w:p>
      <w:pPr>
        <w:pStyle w:val="ListBullet"/>
      </w:pPr>
      <w:r>
        <w:rPr>
          <w:b/>
        </w:rPr>
        <w:t>Forgetting uplift</w:t>
      </w:r>
      <w:r>
        <w:t>: Unrecovered costs typically receive time-value compensation</w:t>
      </w:r>
    </w:p>
    <w:p>
      <w:pPr>
        <w:pStyle w:val="ListBullet"/>
      </w:pPr>
      <w:r>
        <w:rPr>
          <w:b/>
        </w:rPr>
        <w:t>Overlooking income tax treatment</w:t>
      </w:r>
      <w:r>
        <w:t>: In-lieu vs. direct taxation has major foreign tax credit implications</w:t>
      </w:r>
    </w:p>
    <w:p>
      <w:pPr>
        <w:pStyle w:val="ListBullet"/>
      </w:pPr>
      <w:r>
        <w:rPr>
          <w:b/>
        </w:rPr>
        <w:t>Assuming group consolidation</w:t>
      </w:r>
      <w:r>
        <w:t>: PSC ring-fencing prevents cross-contract loss offset</w:t>
      </w:r>
    </w:p>
    <w:p>
      <w:pPr>
        <w:pStyle w:val="Heading3"/>
      </w:pPr>
      <w:r>
        <w:t>7.3 Examination Techniques</w:t>
      </w:r>
    </w:p>
    <w:p>
      <w:r>
        <w:rPr>
          <w:b/>
        </w:rPr>
        <w:t>Calculation Questions:</w:t>
      </w:r>
    </w:p>
    <w:p>
      <w:pPr>
        <w:pStyle w:val="ListBullet"/>
      </w:pPr>
      <w:r>
        <w:t>Show all working step-by-step following waterfall structure</w:t>
      </w:r>
    </w:p>
    <w:p>
      <w:pPr>
        <w:pStyle w:val="ListBullet"/>
      </w:pPr>
      <w:r>
        <w:t>State assumptions clearly (e.g., depreciation methods, uplift rates)</w:t>
      </w:r>
    </w:p>
    <w:p>
      <w:pPr>
        <w:pStyle w:val="ListBullet"/>
      </w:pPr>
      <w:r>
        <w:t>Present results in tabular format for clarity</w:t>
      </w:r>
    </w:p>
    <w:p>
      <w:pPr>
        <w:pStyle w:val="ListBullet"/>
      </w:pPr>
      <w:r>
        <w:t>Calculate effective government take as validation check</w:t>
      </w:r>
    </w:p>
    <w:p>
      <w:r>
        <w:rPr>
          <w:b/>
        </w:rPr>
        <w:t>Analytical Questions:</w:t>
      </w:r>
    </w:p>
    <w:p>
      <w:pPr>
        <w:pStyle w:val="ListBullet"/>
      </w:pPr>
      <w:r>
        <w:t>Compare PSC vs. concession regime for specific fact pattern</w:t>
      </w:r>
    </w:p>
    <w:p>
      <w:pPr>
        <w:pStyle w:val="ListBullet"/>
      </w:pPr>
      <w:r>
        <w:t>Evaluate impact of fiscal term changes on project economics</w:t>
      </w:r>
    </w:p>
    <w:p>
      <w:pPr>
        <w:pStyle w:val="ListBullet"/>
      </w:pPr>
      <w:r>
        <w:t>Assess transfer pricing risks in cost recovery arrangements</w:t>
      </w:r>
    </w:p>
    <w:p>
      <w:pPr>
        <w:pStyle w:val="ListBullet"/>
      </w:pPr>
      <w:r>
        <w:t>Analyze treaty implications for profit repatriation</w:t>
      </w:r>
    </w:p>
    <w:p>
      <w:r>
        <w:rPr>
          <w:b/>
        </w:rPr>
        <w:t>Recent Developments:</w:t>
      </w:r>
    </w:p>
    <w:p>
      <w:pPr>
        <w:pStyle w:val="ListBullet"/>
      </w:pPr>
      <w:r>
        <w:t>Discuss Indonesia Gross Split model advantages/disadvantages</w:t>
      </w:r>
    </w:p>
    <w:p>
      <w:pPr>
        <w:pStyle w:val="ListBullet"/>
      </w:pPr>
      <w:r>
        <w:t>Evaluate Pillar Two impact on tax in-lieu PSCs</w:t>
      </w:r>
    </w:p>
    <w:p>
      <w:pPr>
        <w:pStyle w:val="ListBullet"/>
      </w:pPr>
      <w:r>
        <w:t>Assess energy transition implications for traditional PSC models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8. Further Reading and References</w:t>
      </w:r>
    </w:p>
    <w:p>
      <w:r>
        <w:rPr>
          <w:b/>
        </w:rPr>
        <w:t>Primary Legislation:</w:t>
      </w:r>
    </w:p>
    <w:p>
      <w:pPr>
        <w:pStyle w:val="ListBullet"/>
      </w:pPr>
      <w:r>
        <w:t>Indonesia: Oil &amp; Gas Law No. 22/2001, Government Regulation No. 53/2017 (Gross Split)</w:t>
      </w:r>
    </w:p>
    <w:p>
      <w:pPr>
        <w:pStyle w:val="ListBullet"/>
      </w:pPr>
      <w:r>
        <w:t>Malaysia: Petroleum Development Act 1974, Income Tax Act 1967</w:t>
      </w:r>
    </w:p>
    <w:p>
      <w:pPr>
        <w:pStyle w:val="ListBullet"/>
      </w:pPr>
      <w:r>
        <w:t>Ghana: Petroleum (Exploration and Production) Act 2016</w:t>
      </w:r>
    </w:p>
    <w:p>
      <w:pPr>
        <w:pStyle w:val="ListBullet"/>
      </w:pPr>
      <w:r>
        <w:t>Iraq: Federal Oil and Gas Law (draft)</w:t>
      </w:r>
    </w:p>
    <w:p>
      <w:r>
        <w:rPr>
          <w:b/>
        </w:rPr>
        <w:t>Model PSCs:</w:t>
      </w:r>
    </w:p>
    <w:p>
      <w:pPr>
        <w:pStyle w:val="ListBullet"/>
      </w:pPr>
      <w:r>
        <w:t>AIPN (Association of International Petroleum Negotiators) Model Form International Operating Agreement</w:t>
      </w:r>
    </w:p>
    <w:p>
      <w:pPr>
        <w:pStyle w:val="ListBullet"/>
      </w:pPr>
      <w:r>
        <w:t>World Bank Model Production Sharing Agreement</w:t>
      </w:r>
    </w:p>
    <w:p>
      <w:pPr>
        <w:pStyle w:val="ListBullet"/>
      </w:pPr>
      <w:r>
        <w:t>Iraq Model Technical Service Contract (2018)</w:t>
      </w:r>
    </w:p>
    <w:p>
      <w:r>
        <w:rPr>
          <w:b/>
        </w:rPr>
        <w:t>Guidance and Publications:</w:t>
      </w:r>
    </w:p>
    <w:p>
      <w:pPr>
        <w:pStyle w:val="ListBullet"/>
      </w:pPr>
      <w:r>
        <w:t>Daniel Johnston, "International Petroleum Fiscal Systems and Production Sharing Contracts" (1994, updated 2003)</w:t>
      </w:r>
    </w:p>
    <w:p>
      <w:pPr>
        <w:pStyle w:val="ListBullet"/>
      </w:pPr>
      <w:r>
        <w:t>IBA Energy Section, "Production Sharing Contracts: Comparative Analysis" (2019)</w:t>
      </w:r>
    </w:p>
    <w:p>
      <w:pPr>
        <w:pStyle w:val="ListBullet"/>
      </w:pPr>
      <w:r>
        <w:t>OECD, "Transfer Pricing in the Extractive Sector" (2017)</w:t>
      </w:r>
    </w:p>
    <w:p>
      <w:pPr>
        <w:pStyle w:val="ListBullet"/>
      </w:pPr>
      <w:r>
        <w:t>IMF, "Fiscal Regimes for Extractive Industries: Design and Implementation" (2012)</w:t>
      </w:r>
    </w:p>
    <w:p>
      <w:r>
        <w:rPr>
          <w:b/>
        </w:rPr>
        <w:t>OECD Standards:</w:t>
      </w:r>
    </w:p>
    <w:p>
      <w:pPr>
        <w:pStyle w:val="ListBullet"/>
      </w:pPr>
      <w:r>
        <w:t>BEPS Action 13: Country-by-Country Reporting (extractive industry specific guidance)</w:t>
      </w:r>
    </w:p>
    <w:p>
      <w:pPr>
        <w:pStyle w:val="ListBullet"/>
      </w:pPr>
      <w:r>
        <w:t>BEPS Action 10: Transfer Pricing and Commodities</w:t>
      </w:r>
    </w:p>
    <w:p>
      <w:pPr>
        <w:pStyle w:val="ListBullet"/>
      </w:pPr>
      <w:r>
        <w:t>Pillar Two GloBE Rules: Extractive Industries Working Group reports (2024-2025)</w:t>
      </w:r>
    </w:p>
    <w:p>
      <w:r>
        <w:rPr>
          <w:b/>
        </w:rPr>
        <w:t>Case Law and Arbitration:</w:t>
      </w:r>
    </w:p>
    <w:p>
      <w:pPr>
        <w:pStyle w:val="ListBullet"/>
      </w:pPr>
      <w:r>
        <w:rPr>
          <w:i/>
        </w:rPr>
        <w:t>Chevron Corporation v. Republic of Ecuador</w:t>
      </w:r>
      <w:r>
        <w:t>, UNCITRAL (2010) - stabilization clauses</w:t>
      </w:r>
    </w:p>
    <w:p>
      <w:pPr>
        <w:pStyle w:val="ListBullet"/>
      </w:pPr>
      <w:r>
        <w:rPr>
          <w:i/>
        </w:rPr>
        <w:t>Occidental Petroleum v. Republic of Ecuador</w:t>
      </w:r>
      <w:r>
        <w:t>, ICSID Case No. ARB/06/11 (2012) - farm-down taxation</w:t>
      </w:r>
    </w:p>
    <w:p>
      <w:pPr>
        <w:pStyle w:val="ListBullet"/>
      </w:pPr>
      <w:r>
        <w:rPr>
          <w:i/>
        </w:rPr>
        <w:t>Tullow Uganda Ltd v. Uganda Revenue Authority</w:t>
      </w:r>
      <w:r>
        <w:t xml:space="preserve"> (2018) - capital gains on PSC interests</w:t>
      </w:r>
    </w:p>
    <w:p>
      <w:pPr>
        <w:pStyle w:val="ListBullet"/>
      </w:pPr>
      <w:r>
        <w:rPr>
          <w:i/>
        </w:rPr>
        <w:t>ConocoPhillips v. Venezuela</w:t>
      </w:r>
      <w:r>
        <w:t>, ICSID Case No. ARB/07/30 (2019) - expropriation of PSC assets</w:t>
      </w:r>
    </w:p>
    <w:p>
      <w:r>
        <w:rPr>
          <w:b/>
        </w:rPr>
        <w:t>Industry Resources:</w:t>
      </w:r>
    </w:p>
    <w:p>
      <w:pPr>
        <w:pStyle w:val="ListBullet"/>
      </w:pPr>
      <w:r>
        <w:t>Petroleum Economist: Annual PSC terms survey</w:t>
      </w:r>
    </w:p>
    <w:p>
      <w:pPr>
        <w:pStyle w:val="ListBullet"/>
      </w:pPr>
      <w:r>
        <w:t>Wood Mackenzie: Global PSC fiscal analysis database</w:t>
      </w:r>
    </w:p>
    <w:p>
      <w:pPr>
        <w:pStyle w:val="ListBullet"/>
      </w:pPr>
      <w:r>
        <w:t>Rystad Energy: PSC economics benchmarking</w:t>
      </w:r>
    </w:p>
    <w:p>
      <w:pPr>
        <w:pStyle w:val="ListBullet"/>
      </w:pPr>
      <w:r>
        <w:t>International Energy Agency (IEA): Energy policies and fiscal regime analysis</w:t>
      </w:r>
    </w:p>
    <w:p>
      <w:pPr>
        <w:spacing w:before="120" w:after="120"/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