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51 Group trading company</w:t>
      </w:r>
    </w:p>
    <w:p>
      <w:pPr>
        <w:pStyle w:val="Heading1"/>
      </w:pPr>
      <w:r>
        <w:t>51. Group Trading Company</w:t>
      </w:r>
    </w:p>
    <w:p>
      <w:pPr>
        <w:pStyle w:val="Heading2"/>
      </w:pPr>
      <w:r>
        <w:t>1. Introduction</w:t>
      </w:r>
    </w:p>
    <w:p>
      <w:r>
        <w:t xml:space="preserve">A </w:t>
      </w:r>
      <w:r>
        <w:rPr>
          <w:b/>
        </w:rPr>
        <w:t>group trading company</w:t>
      </w:r>
      <w:r>
        <w:t xml:space="preserve"> is a specialized subsidiary established by oil and gas multinationals to centralize commodity trading activities, capturing margin that would otherwise accrue to third-party traders. Rather than selling production directly to unrelated traders at wellhead prices, integrated energy companies create dedicated trading entities to </w:t>
      </w:r>
      <w:r>
        <w:rPr>
          <w:b/>
        </w:rPr>
        <w:t>internalize trading profits</w:t>
      </w:r>
      <w:r>
        <w:t xml:space="preserve"> and optimize </w:t>
      </w:r>
      <w:r>
        <w:rPr>
          <w:b/>
        </w:rPr>
        <w:t>transfer pricing</w:t>
      </w:r>
      <w:r>
        <w:t xml:space="preserve">, </w:t>
      </w:r>
      <w:r>
        <w:rPr>
          <w:b/>
        </w:rPr>
        <w:t>logistics coordination</w:t>
      </w:r>
      <w:r>
        <w:t xml:space="preserve">, and </w:t>
      </w:r>
      <w:r>
        <w:rPr>
          <w:b/>
        </w:rPr>
        <w:t>risk management</w:t>
      </w:r>
      <w:r>
        <w:t>.</w:t>
      </w:r>
    </w:p>
    <w:p>
      <w:r>
        <w:t xml:space="preserve">The decision to establish a group trading company involves complex </w:t>
      </w:r>
      <w:r>
        <w:rPr>
          <w:b/>
        </w:rPr>
        <w:t>tax planning</w:t>
      </w:r>
      <w:r>
        <w:t xml:space="preserve">, </w:t>
      </w:r>
      <w:r>
        <w:rPr>
          <w:b/>
        </w:rPr>
        <w:t>jurisdiction selection</w:t>
      </w:r>
      <w:r>
        <w:t xml:space="preserve">, </w:t>
      </w:r>
      <w:r>
        <w:rPr>
          <w:b/>
        </w:rPr>
        <w:t>economic substance</w:t>
      </w:r>
      <w:r>
        <w:t xml:space="preserve"> compliance, and </w:t>
      </w:r>
      <w:r>
        <w:rPr>
          <w:b/>
        </w:rPr>
        <w:t>transfer pricing</w:t>
      </w:r>
      <w:r>
        <w:t xml:space="preserve"> analysis. Following the </w:t>
      </w:r>
      <w:r>
        <w:rPr>
          <w:b/>
        </w:rPr>
        <w:t>OECD Base Erosion and Profit Shifting (BEPS) Action Plans</w:t>
      </w:r>
      <w:r>
        <w:t xml:space="preserve"> and increased scrutiny from tax authorities worldwide, the establishment of trading companies requires meticulous structuring to withstand challenge.</w:t>
      </w:r>
    </w:p>
    <w:p>
      <w:r>
        <w:t xml:space="preserve">Oil and gas companies typically establish trading companies to achieve four primary objectives: (1) </w:t>
      </w:r>
      <w:r>
        <w:rPr>
          <w:b/>
        </w:rPr>
        <w:t>internalizing trading margins</w:t>
      </w:r>
      <w:r>
        <w:t xml:space="preserve"> (1-3% of revenue) that would otherwise be captured by third-party traders, (2) </w:t>
      </w:r>
      <w:r>
        <w:rPr>
          <w:b/>
        </w:rPr>
        <w:t>optimizing transfer pricing</w:t>
      </w:r>
      <w:r>
        <w:t xml:space="preserve"> through creation of comparable transactions using published commodity benchmarks, (3) </w:t>
      </w:r>
      <w:r>
        <w:rPr>
          <w:b/>
        </w:rPr>
        <w:t>centralizing logistics and risk management</w:t>
      </w:r>
      <w:r>
        <w:t xml:space="preserve"> to achieve economies of scale in freight, hedging, and credit assessment, and (4) </w:t>
      </w:r>
      <w:r>
        <w:rPr>
          <w:b/>
        </w:rPr>
        <w:t>achieving tax efficiency</w:t>
      </w:r>
      <w:r>
        <w:t xml:space="preserve"> by accumulating profits in low-tax jurisdictions (Switzerland 11-15%, Singapore 5-15%) with extensive treaty networks.</w:t>
      </w:r>
    </w:p>
    <w:p>
      <w:pPr>
        <w:spacing w:before="120" w:after="120"/>
        <w:pBdr>
          <w:bottom w:val="single" w:sz="6" w:space="1" w:color="auto"/>
        </w:pBdr>
      </w:pPr>
    </w:p>
    <w:p>
      <w:pPr>
        <w:pStyle w:val="Heading2"/>
      </w:pPr>
      <w:r>
        <w:t>2. Rationale for Establishing a Group Trading Company</w:t>
      </w:r>
    </w:p>
    <w:p>
      <w:pPr>
        <w:pStyle w:val="Heading3"/>
      </w:pPr>
      <w:r>
        <w:t>2.1 When to Establish a Trading Company</w:t>
      </w:r>
    </w:p>
    <w:p>
      <w:r>
        <w:t>A group trading company becomes economically viable when:</w:t>
      </w:r>
    </w:p>
    <w:p>
      <w:pPr>
        <w:pStyle w:val="ListNumber"/>
      </w:pPr>
      <w:r>
        <w:rPr>
          <w:b/>
        </w:rPr>
        <w:t>Production volumes justify dedicated infrastructure</w:t>
      </w:r>
      <w:r>
        <w:t xml:space="preserve">: Typically when annual production exceeds </w:t>
      </w:r>
      <w:r>
        <w:rPr>
          <w:b/>
        </w:rPr>
        <w:t>100,000 barrels of oil equivalent per day (boe/d)</w:t>
      </w:r>
      <w:r>
        <w:t>, justifying the fixed costs of traders, risk managers, and compliance personnel.</w:t>
      </w:r>
    </w:p>
    <w:p>
      <w:pPr>
        <w:pStyle w:val="ListNumber"/>
      </w:pPr>
      <w:r>
        <w:rPr>
          <w:b/>
        </w:rPr>
        <w:t>Margin capture opportunity</w:t>
      </w:r>
      <w:r>
        <w:t xml:space="preserve">: The spread between </w:t>
      </w:r>
      <w:r>
        <w:rPr>
          <w:b/>
        </w:rPr>
        <w:t>wellhead prices</w:t>
      </w:r>
      <w:r>
        <w:t xml:space="preserve"> and </w:t>
      </w:r>
      <w:r>
        <w:rPr>
          <w:b/>
        </w:rPr>
        <w:t>market prices</w:t>
      </w:r>
      <w:r>
        <w:t xml:space="preserve"> (Brent, WTI, Henry Hub benchmarks) provides sufficient profit to justify establishment costs.</w:t>
      </w:r>
    </w:p>
    <w:p>
      <w:pPr>
        <w:pStyle w:val="ListNumber"/>
      </w:pPr>
      <w:r>
        <w:rPr>
          <w:b/>
        </w:rPr>
        <w:t>Portfolio diversity</w:t>
      </w:r>
      <w:r>
        <w:t xml:space="preserve">: The company produces multiple commodities (crude oil, natural gas, natural gas liquids (NGLs), refined products) across geographic regions, enabling </w:t>
      </w:r>
      <w:r>
        <w:rPr>
          <w:b/>
        </w:rPr>
        <w:t>portfolio optimization</w:t>
      </w:r>
      <w:r>
        <w:t xml:space="preserve"> and </w:t>
      </w:r>
      <w:r>
        <w:rPr>
          <w:b/>
        </w:rPr>
        <w:t>arbitrage opportunities</w:t>
      </w:r>
      <w:r>
        <w:t>.</w:t>
      </w:r>
    </w:p>
    <w:p>
      <w:pPr>
        <w:pStyle w:val="ListNumber"/>
      </w:pPr>
      <w:r>
        <w:rPr>
          <w:b/>
        </w:rPr>
        <w:t>Third-party trading business</w:t>
      </w:r>
      <w:r>
        <w:t>: The trading company can generate additional income by trading third-party volumes, leveraging infrastructure and expertise.</w:t>
      </w:r>
    </w:p>
    <w:p>
      <w:pPr>
        <w:pStyle w:val="Heading3"/>
      </w:pPr>
      <w:r>
        <w:t>2.2 Benefits of a Group Trading Company</w:t>
      </w:r>
    </w:p>
    <w:p>
      <w:r>
        <w:rPr>
          <w:b/>
        </w:rPr>
        <w:t>A. Profit Margin Internalization</w:t>
      </w:r>
    </w:p>
    <w:p>
      <w:r>
        <w:t>Without a trading company:</w:t>
      </w:r>
    </w:p>
    <w:p>
      <w:pPr>
        <w:pStyle w:val="ListBullet"/>
      </w:pPr>
      <w:r>
        <w:t xml:space="preserve">Production sold to </w:t>
      </w:r>
      <w:r>
        <w:rPr>
          <w:b/>
        </w:rPr>
        <w:t>third-party traders</w:t>
      </w:r>
      <w:r>
        <w:t xml:space="preserve"> at discounted prices (typically 1-3% below benchmark)</w:t>
      </w:r>
    </w:p>
    <w:p>
      <w:pPr>
        <w:pStyle w:val="ListBullet"/>
      </w:pPr>
      <w:r>
        <w:t>Trading margin captured by external parties</w:t>
      </w:r>
    </w:p>
    <w:p>
      <w:r>
        <w:t>With a trading company:</w:t>
      </w:r>
    </w:p>
    <w:p>
      <w:pPr>
        <w:pStyle w:val="ListBullet"/>
      </w:pPr>
      <w:r>
        <w:t xml:space="preserve">Production transferred to </w:t>
      </w:r>
      <w:r>
        <w:rPr>
          <w:b/>
        </w:rPr>
        <w:t>group trading entity</w:t>
      </w:r>
      <w:r>
        <w:t xml:space="preserve"> at arm's length prices</w:t>
      </w:r>
    </w:p>
    <w:p>
      <w:pPr>
        <w:pStyle w:val="ListBullet"/>
      </w:pPr>
      <w:r>
        <w:t>Trading margin retained within group (1-3% of total revenue)</w:t>
      </w:r>
    </w:p>
    <w:p>
      <w:pPr>
        <w:pStyle w:val="ListBullet"/>
      </w:pPr>
      <w:r>
        <w:t xml:space="preserve">For $1 billion annual revenue, this represents </w:t>
      </w:r>
      <w:r>
        <w:rPr>
          <w:b/>
        </w:rPr>
        <w:t>$10-30 million</w:t>
      </w:r>
      <w:r>
        <w:t xml:space="preserve"> additional profit</w:t>
      </w:r>
    </w:p>
    <w:p>
      <w:r>
        <w:rPr>
          <w:b/>
        </w:rPr>
        <w:t>B. Transfer Pricing Optimization</w:t>
      </w:r>
    </w:p>
    <w:p>
      <w:pPr>
        <w:pStyle w:val="ListBullet"/>
      </w:pPr>
      <w:r>
        <w:t xml:space="preserve">Trading company provides </w:t>
      </w:r>
      <w:r>
        <w:rPr>
          <w:b/>
        </w:rPr>
        <w:t>commercial rationale</w:t>
      </w:r>
      <w:r>
        <w:t xml:space="preserve"> for intercompany pricing</w:t>
      </w:r>
    </w:p>
    <w:p>
      <w:pPr>
        <w:pStyle w:val="ListBullet"/>
      </w:pPr>
      <w:r>
        <w:t xml:space="preserve">Creates </w:t>
      </w:r>
      <w:r>
        <w:rPr>
          <w:b/>
        </w:rPr>
        <w:t>comparable transactions</w:t>
      </w:r>
      <w:r>
        <w:t xml:space="preserve"> for transfer pricing defense</w:t>
      </w:r>
    </w:p>
    <w:p>
      <w:pPr>
        <w:pStyle w:val="ListBullet"/>
      </w:pPr>
      <w:r>
        <w:t xml:space="preserve">Allows application of </w:t>
      </w:r>
      <w:r>
        <w:rPr>
          <w:b/>
        </w:rPr>
        <w:t>Comparable Uncontrolled Price (CUP)</w:t>
      </w:r>
      <w:r>
        <w:t xml:space="preserve"> method using published benchmark prices</w:t>
      </w:r>
    </w:p>
    <w:p>
      <w:r>
        <w:rPr>
          <w:b/>
        </w:rPr>
        <w:t>C. Logistics and Risk Management Centralization</w:t>
      </w:r>
    </w:p>
    <w:p>
      <w:pPr>
        <w:pStyle w:val="ListBullet"/>
      </w:pPr>
      <w:r>
        <w:t xml:space="preserve">Single entity manages </w:t>
      </w:r>
      <w:r>
        <w:rPr>
          <w:b/>
        </w:rPr>
        <w:t>freight</w:t>
      </w:r>
      <w:r>
        <w:t xml:space="preserve">, </w:t>
      </w:r>
      <w:r>
        <w:rPr>
          <w:b/>
        </w:rPr>
        <w:t>insurance</w:t>
      </w:r>
      <w:r>
        <w:t xml:space="preserve">, </w:t>
      </w:r>
      <w:r>
        <w:rPr>
          <w:b/>
        </w:rPr>
        <w:t>storage</w:t>
      </w:r>
      <w:r>
        <w:t xml:space="preserve">, and </w:t>
      </w:r>
      <w:r>
        <w:rPr>
          <w:b/>
        </w:rPr>
        <w:t>hedging</w:t>
      </w:r>
    </w:p>
    <w:p>
      <w:pPr>
        <w:pStyle w:val="ListBullet"/>
      </w:pPr>
      <w:r>
        <w:t xml:space="preserve">Economies of scale in </w:t>
      </w:r>
      <w:r>
        <w:rPr>
          <w:b/>
        </w:rPr>
        <w:t>derivatives trading</w:t>
      </w:r>
      <w:r>
        <w:t xml:space="preserve"> (options, forwards, swaps)</w:t>
      </w:r>
    </w:p>
    <w:p>
      <w:pPr>
        <w:pStyle w:val="ListBullet"/>
      </w:pPr>
      <w:r>
        <w:t xml:space="preserve">Centralized </w:t>
      </w:r>
      <w:r>
        <w:rPr>
          <w:b/>
        </w:rPr>
        <w:t>credit risk assessment</w:t>
      </w:r>
      <w:r>
        <w:t xml:space="preserve"> for counterparties</w:t>
      </w:r>
    </w:p>
    <w:p>
      <w:r>
        <w:rPr>
          <w:b/>
        </w:rPr>
        <w:t>D. Tax Efficiency</w:t>
      </w:r>
    </w:p>
    <w:p>
      <w:pPr>
        <w:pStyle w:val="ListBullet"/>
      </w:pPr>
      <w:r>
        <w:t xml:space="preserve">Profits accumulated in </w:t>
      </w:r>
      <w:r>
        <w:rPr>
          <w:b/>
        </w:rPr>
        <w:t>low-tax jurisdictions</w:t>
      </w:r>
      <w:r>
        <w:t xml:space="preserve"> (Switzerland 11-15%, Singapore 5-15%)</w:t>
      </w:r>
    </w:p>
    <w:p>
      <w:pPr>
        <w:pStyle w:val="ListBullet"/>
      </w:pPr>
      <w:r>
        <w:t xml:space="preserve">Deferral of </w:t>
      </w:r>
      <w:r>
        <w:rPr>
          <w:b/>
        </w:rPr>
        <w:t>dividend repatriation</w:t>
      </w:r>
      <w:r>
        <w:t xml:space="preserve"> from high-tax producing countries</w:t>
      </w:r>
    </w:p>
    <w:p>
      <w:pPr>
        <w:pStyle w:val="ListBullet"/>
      </w:pPr>
      <w:r>
        <w:t xml:space="preserve">Utilization of </w:t>
      </w:r>
      <w:r>
        <w:rPr>
          <w:b/>
        </w:rPr>
        <w:t>treaty networks</w:t>
      </w:r>
      <w:r>
        <w:t xml:space="preserve"> for reduced withholding taxes</w:t>
      </w:r>
    </w:p>
    <w:p>
      <w:pPr>
        <w:spacing w:before="120" w:after="120"/>
        <w:pBdr>
          <w:bottom w:val="single" w:sz="6" w:space="1" w:color="auto"/>
        </w:pBdr>
      </w:pPr>
    </w:p>
    <w:p>
      <w:pPr>
        <w:pStyle w:val="Heading2"/>
      </w:pPr>
      <w:r>
        <w:t>3. Jurisdiction Selection</w:t>
      </w:r>
    </w:p>
    <w:p>
      <w:pPr>
        <w:pStyle w:val="Heading3"/>
      </w:pPr>
      <w:r>
        <w:t>3.1 Switzerland</w:t>
      </w:r>
    </w:p>
    <w:p>
      <w:r>
        <w:rPr>
          <w:b/>
        </w:rPr>
        <w:t>A. Overview</w:t>
      </w:r>
    </w:p>
    <w:p>
      <w:r>
        <w:t>Switzerland is a leading global jurisdiction for commodity trading, with major trading houses (Vitol, Glencore, Trafigura, Mercuria) headquartered in Geneva, Zug, and Lugano. The Swiss commodity trading sector handles substantial volumes of global crude oil and metals trading.</w:t>
      </w:r>
    </w:p>
    <w:p>
      <w:r>
        <w:rPr>
          <w:b/>
        </w:rPr>
        <w:t>B. Tax Regime (2025)</w:t>
      </w:r>
    </w:p>
    <w:p>
      <w:r>
        <w:t xml:space="preserve">Switzerland operates a </w:t>
      </w:r>
      <w:r>
        <w:rPr>
          <w:b/>
        </w:rPr>
        <w:t>federal-cantonal tax system</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Tax Component</w:t>
            </w:r>
          </w:p>
        </w:tc>
        <w:tc>
          <w:tcPr>
            <w:tcW w:type="dxa" w:w="4320"/>
          </w:tcPr>
          <w:p>
            <w:r>
              <w:rPr>
                <w:b/>
              </w:rPr>
            </w:r>
            <w:r>
              <w:rPr>
                <w:b/>
              </w:rPr>
              <w:t>Rate</w:t>
            </w:r>
          </w:p>
        </w:tc>
      </w:tr>
      <w:tr>
        <w:tc>
          <w:tcPr>
            <w:tcW w:type="dxa" w:w="4320"/>
          </w:tcPr>
          <w:p>
            <w:r/>
            <w:r>
              <w:rPr>
                <w:b/>
              </w:rPr>
              <w:t>Federal corporate income tax</w:t>
            </w:r>
          </w:p>
        </w:tc>
        <w:tc>
          <w:tcPr>
            <w:tcW w:type="dxa" w:w="4320"/>
          </w:tcPr>
          <w:p>
            <w:r/>
            <w:r>
              <w:t>8.5% (7.8% effective on pre-tax profit)</w:t>
            </w:r>
          </w:p>
        </w:tc>
      </w:tr>
      <w:tr>
        <w:tc>
          <w:tcPr>
            <w:tcW w:type="dxa" w:w="4320"/>
          </w:tcPr>
          <w:p>
            <w:r/>
            <w:r>
              <w:rPr>
                <w:b/>
              </w:rPr>
              <w:t>Cantonal and communal taxes</w:t>
            </w:r>
          </w:p>
        </w:tc>
        <w:tc>
          <w:tcPr>
            <w:tcW w:type="dxa" w:w="4320"/>
          </w:tcPr>
          <w:p>
            <w:r/>
            <w:r>
              <w:t>3.5% to 12.0% (varies by canton)</w:t>
            </w:r>
          </w:p>
        </w:tc>
      </w:tr>
      <w:tr>
        <w:tc>
          <w:tcPr>
            <w:tcW w:type="dxa" w:w="4320"/>
          </w:tcPr>
          <w:p>
            <w:r/>
            <w:r>
              <w:rPr>
                <w:b/>
              </w:rPr>
              <w:t>Combined effective rate</w:t>
            </w:r>
          </w:p>
        </w:tc>
        <w:tc>
          <w:tcPr>
            <w:tcW w:type="dxa" w:w="4320"/>
          </w:tcPr>
          <w:p>
            <w:r/>
            <w:r>
              <w:rPr>
                <w:b/>
              </w:rPr>
              <w:t>11.8% to 20.5%</w:t>
            </w:r>
          </w:p>
        </w:tc>
      </w:tr>
    </w:tbl>
    <w:p/>
    <w:p>
      <w:r>
        <w:rPr>
          <w:b/>
        </w:rPr>
        <w:t>Favorable Cantons for Trading</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Canton</w:t>
            </w:r>
          </w:p>
        </w:tc>
        <w:tc>
          <w:tcPr>
            <w:tcW w:type="dxa" w:w="2880"/>
          </w:tcPr>
          <w:p>
            <w:r>
              <w:rPr>
                <w:b/>
              </w:rPr>
            </w:r>
            <w:r>
              <w:rPr>
                <w:b/>
              </w:rPr>
              <w:t>Effective CIT Rate (2025)</w:t>
            </w:r>
          </w:p>
        </w:tc>
        <w:tc>
          <w:tcPr>
            <w:tcW w:type="dxa" w:w="2880"/>
          </w:tcPr>
          <w:p>
            <w:r>
              <w:rPr>
                <w:b/>
              </w:rPr>
            </w:r>
            <w:r>
              <w:rPr>
                <w:b/>
              </w:rPr>
              <w:t>Key Features</w:t>
            </w:r>
          </w:p>
        </w:tc>
      </w:tr>
      <w:tr>
        <w:tc>
          <w:tcPr>
            <w:tcW w:type="dxa" w:w="2880"/>
          </w:tcPr>
          <w:p>
            <w:r/>
            <w:r>
              <w:rPr>
                <w:b/>
              </w:rPr>
              <w:t>Zug</w:t>
            </w:r>
          </w:p>
        </w:tc>
        <w:tc>
          <w:tcPr>
            <w:tcW w:type="dxa" w:w="2880"/>
          </w:tcPr>
          <w:p>
            <w:r/>
            <w:r>
              <w:t>11.85%</w:t>
            </w:r>
          </w:p>
        </w:tc>
        <w:tc>
          <w:tcPr>
            <w:tcW w:type="dxa" w:w="2880"/>
          </w:tcPr>
          <w:p>
            <w:r/>
            <w:r>
              <w:t>Major commodity trading hub; strong infrastructure</w:t>
            </w:r>
          </w:p>
        </w:tc>
      </w:tr>
      <w:tr>
        <w:tc>
          <w:tcPr>
            <w:tcW w:type="dxa" w:w="2880"/>
          </w:tcPr>
          <w:p>
            <w:r/>
            <w:r>
              <w:rPr>
                <w:b/>
              </w:rPr>
              <w:t>Schwyz</w:t>
            </w:r>
          </w:p>
        </w:tc>
        <w:tc>
          <w:tcPr>
            <w:tcW w:type="dxa" w:w="2880"/>
          </w:tcPr>
          <w:p>
            <w:r/>
            <w:r>
              <w:t>11.8%</w:t>
            </w:r>
          </w:p>
        </w:tc>
        <w:tc>
          <w:tcPr>
            <w:tcW w:type="dxa" w:w="2880"/>
          </w:tcPr>
          <w:p>
            <w:r/>
            <w:r>
              <w:t>Adjacent to Zug; lower establishment costs</w:t>
            </w:r>
          </w:p>
        </w:tc>
      </w:tr>
      <w:tr>
        <w:tc>
          <w:tcPr>
            <w:tcW w:type="dxa" w:w="2880"/>
          </w:tcPr>
          <w:p>
            <w:r/>
            <w:r>
              <w:rPr>
                <w:b/>
              </w:rPr>
              <w:t>Nidwalden</w:t>
            </w:r>
          </w:p>
        </w:tc>
        <w:tc>
          <w:tcPr>
            <w:tcW w:type="dxa" w:w="2880"/>
          </w:tcPr>
          <w:p>
            <w:r/>
            <w:r>
              <w:t>12.0%</w:t>
            </w:r>
          </w:p>
        </w:tc>
        <w:tc>
          <w:tcPr>
            <w:tcW w:type="dxa" w:w="2880"/>
          </w:tcPr>
          <w:p>
            <w:r/>
            <w:r>
              <w:t>Growing trading hub; favorable ruling practice</w:t>
            </w:r>
          </w:p>
        </w:tc>
      </w:tr>
      <w:tr>
        <w:tc>
          <w:tcPr>
            <w:tcW w:type="dxa" w:w="2880"/>
          </w:tcPr>
          <w:p>
            <w:r/>
            <w:r>
              <w:rPr>
                <w:b/>
              </w:rPr>
              <w:t>Lucerne</w:t>
            </w:r>
          </w:p>
        </w:tc>
        <w:tc>
          <w:tcPr>
            <w:tcW w:type="dxa" w:w="2880"/>
          </w:tcPr>
          <w:p>
            <w:r/>
            <w:r>
              <w:t>12.2%</w:t>
            </w:r>
          </w:p>
        </w:tc>
        <w:tc>
          <w:tcPr>
            <w:tcW w:type="dxa" w:w="2880"/>
          </w:tcPr>
          <w:p>
            <w:r/>
            <w:r>
              <w:t>Introduced trading incentives in 2024</w:t>
            </w:r>
          </w:p>
        </w:tc>
      </w:tr>
      <w:tr>
        <w:tc>
          <w:tcPr>
            <w:tcW w:type="dxa" w:w="2880"/>
          </w:tcPr>
          <w:p>
            <w:r/>
            <w:r>
              <w:rPr>
                <w:b/>
              </w:rPr>
              <w:t>Geneva</w:t>
            </w:r>
          </w:p>
        </w:tc>
        <w:tc>
          <w:tcPr>
            <w:tcW w:type="dxa" w:w="2880"/>
          </w:tcPr>
          <w:p>
            <w:r/>
            <w:r>
              <w:t>14.0%</w:t>
            </w:r>
          </w:p>
        </w:tc>
        <w:tc>
          <w:tcPr>
            <w:tcW w:type="dxa" w:w="2880"/>
          </w:tcPr>
          <w:p>
            <w:r/>
            <w:r>
              <w:t>International reputation; treaty access</w:t>
            </w:r>
          </w:p>
        </w:tc>
      </w:tr>
    </w:tbl>
    <w:p/>
    <w:p>
      <w:r>
        <w:rPr>
          <w:b/>
        </w:rPr>
        <w:t>C. Cantonal Incentives</w:t>
      </w:r>
    </w:p>
    <w:p>
      <w:r>
        <w:t xml:space="preserve">Several cantons (Grisons, Basel-Stadt, Zug, Lucerne) offer </w:t>
      </w:r>
      <w:r>
        <w:rPr>
          <w:b/>
        </w:rPr>
        <w:t>tax rulings</w:t>
      </w:r>
      <w:r>
        <w:t xml:space="preserve"> for commodity trading companies, providing:</w:t>
      </w:r>
    </w:p>
    <w:p>
      <w:pPr>
        <w:pStyle w:val="ListBullet"/>
      </w:pPr>
      <w:r>
        <w:rPr>
          <w:b/>
        </w:rPr>
        <w:t>Lump-sum taxation</w:t>
      </w:r>
      <w:r>
        <w:t xml:space="preserve"> for qualifying activities</w:t>
      </w:r>
    </w:p>
    <w:p>
      <w:pPr>
        <w:pStyle w:val="ListBullet"/>
      </w:pPr>
      <w:r>
        <w:rPr>
          <w:b/>
        </w:rPr>
        <w:t>Reduced effective rates</w:t>
      </w:r>
      <w:r>
        <w:t xml:space="preserve"> (historically 9-11% before OECD Pillar Two)</w:t>
      </w:r>
    </w:p>
    <w:p>
      <w:pPr>
        <w:pStyle w:val="ListBullet"/>
      </w:pPr>
      <w:r>
        <w:rPr>
          <w:b/>
        </w:rPr>
        <w:t>Stability</w:t>
      </w:r>
      <w:r>
        <w:t xml:space="preserve"> through advance ruling confirmations</w:t>
      </w:r>
    </w:p>
    <w:p>
      <w:r>
        <w:rPr>
          <w:b/>
        </w:rPr>
        <w:t>D. OECD Pillar Two Impact</w:t>
      </w:r>
    </w:p>
    <w:p>
      <w:r>
        <w:t xml:space="preserve">From 2024, the </w:t>
      </w:r>
      <w:r>
        <w:rPr>
          <w:b/>
        </w:rPr>
        <w:t>Global Anti-Base Erosion (GloBE)</w:t>
      </w:r>
      <w:r>
        <w:t xml:space="preserve"> rules impose a </w:t>
      </w:r>
      <w:r>
        <w:rPr>
          <w:b/>
        </w:rPr>
        <w:t>15% minimum effective tax rate</w:t>
      </w:r>
      <w:r>
        <w:t xml:space="preserve"> for multinational groups with revenue exceeding </w:t>
      </w:r>
      <w:r>
        <w:rPr>
          <w:b/>
        </w:rPr>
        <w:t>€750 million</w:t>
      </w:r>
      <w:r>
        <w:t xml:space="preserve">. Switzerland introduced a </w:t>
      </w:r>
      <w:r>
        <w:rPr>
          <w:b/>
        </w:rPr>
        <w:t>top-up tax</w:t>
      </w:r>
      <w:r>
        <w:t xml:space="preserve"> to comply, ensuring all cantons meet or exceed 15% for in-scope groups.</w:t>
      </w:r>
    </w:p>
    <w:p>
      <w:r>
        <w:t xml:space="preserve">The </w:t>
      </w:r>
      <w:r>
        <w:rPr>
          <w:b/>
        </w:rPr>
        <w:t>GloBE rules</w:t>
      </w:r>
      <w:r>
        <w:t xml:space="preserve"> operate through three mechanisms: (1) </w:t>
      </w:r>
      <w:r>
        <w:rPr>
          <w:b/>
        </w:rPr>
        <w:t>Qualified Domestic Minimum Top-up Tax (QDMTT)</w:t>
      </w:r>
      <w:r>
        <w:t xml:space="preserve"> allowing jurisdictions to impose their own top-up tax, (2) </w:t>
      </w:r>
      <w:r>
        <w:rPr>
          <w:b/>
        </w:rPr>
        <w:t>Income Inclusion Rule (IIR)</w:t>
      </w:r>
      <w:r>
        <w:t xml:space="preserve"> permitting parent entities to assess top-up tax on low-taxed subsidiaries, and (3) </w:t>
      </w:r>
      <w:r>
        <w:rPr>
          <w:b/>
        </w:rPr>
        <w:t>Undertaxed Profits Rule (UTPR)</w:t>
      </w:r>
      <w:r>
        <w:t xml:space="preserve"> as a backstop mechanism.</w:t>
      </w:r>
    </w:p>
    <w:p>
      <w:r>
        <w:rPr>
          <w:b/>
        </w:rPr>
        <w:t>Effect</w:t>
      </w:r>
      <w:r>
        <w:t xml:space="preserve">: Historical sub-12% rates still apply to </w:t>
      </w:r>
      <w:r>
        <w:rPr>
          <w:b/>
        </w:rPr>
        <w:t>mid-sized trading companies</w:t>
      </w:r>
      <w:r>
        <w:t xml:space="preserve"> below the €750M threshold; large multinationals face 15% minimum.</w:t>
      </w:r>
    </w:p>
    <w:p>
      <w:r>
        <w:rPr>
          <w:b/>
        </w:rPr>
        <w:t>E. Economic Substance Requirements</w:t>
      </w:r>
    </w:p>
    <w:p>
      <w:r>
        <w:t>Swiss trading companies must demonstrate:</w:t>
      </w:r>
    </w:p>
    <w:p>
      <w:pPr>
        <w:pStyle w:val="ListNumber"/>
      </w:pPr>
      <w:r>
        <w:rPr>
          <w:b/>
        </w:rPr>
        <w:t>Qualified personnel</w:t>
      </w:r>
      <w:r>
        <w:t xml:space="preserve"> in Switzerland:</w:t>
      </w:r>
    </w:p>
    <w:p>
      <w:pPr>
        <w:pStyle w:val="ListBullet"/>
        <w:ind w:left="360"/>
      </w:pPr>
      <w:r>
        <w:rPr>
          <w:b/>
        </w:rPr>
        <w:t>Senior traders</w:t>
      </w:r>
      <w:r>
        <w:t xml:space="preserve"> with decision-making authority</w:t>
      </w:r>
    </w:p>
    <w:p>
      <w:pPr>
        <w:pStyle w:val="ListBullet"/>
        <w:ind w:left="360"/>
      </w:pPr>
      <w:r>
        <w:rPr>
          <w:b/>
        </w:rPr>
        <w:t>Risk managers</w:t>
      </w:r>
      <w:r>
        <w:t xml:space="preserve"> and </w:t>
      </w:r>
      <w:r>
        <w:rPr>
          <w:b/>
        </w:rPr>
        <w:t>compliance officers</w:t>
      </w:r>
    </w:p>
    <w:p>
      <w:pPr>
        <w:pStyle w:val="ListBullet"/>
        <w:ind w:left="360"/>
      </w:pPr>
      <w:r>
        <w:rPr>
          <w:b/>
        </w:rPr>
        <w:t>Back-office support</w:t>
      </w:r>
      <w:r>
        <w:t xml:space="preserve"> (settlement, accounting)</w:t>
      </w:r>
    </w:p>
    <w:p>
      <w:pPr>
        <w:pStyle w:val="ListNumber"/>
      </w:pPr>
      <w:r>
        <w:rPr>
          <w:b/>
        </w:rPr>
        <w:t>Physical presence</w:t>
      </w:r>
      <w:r>
        <w:t>:</w:t>
      </w:r>
    </w:p>
    <w:p>
      <w:pPr>
        <w:pStyle w:val="ListBullet"/>
        <w:ind w:left="360"/>
      </w:pPr>
      <w:r>
        <w:rPr>
          <w:b/>
        </w:rPr>
        <w:t>Office space</w:t>
      </w:r>
      <w:r>
        <w:t xml:space="preserve"> proportionate to headcount</w:t>
      </w:r>
    </w:p>
    <w:p>
      <w:pPr>
        <w:pStyle w:val="ListBullet"/>
        <w:ind w:left="360"/>
      </w:pPr>
      <w:r>
        <w:rPr>
          <w:b/>
        </w:rPr>
        <w:t>IT infrastructure</w:t>
      </w:r>
      <w:r>
        <w:t xml:space="preserve"> for trading operations</w:t>
      </w:r>
    </w:p>
    <w:p>
      <w:pPr>
        <w:pStyle w:val="ListNumber"/>
      </w:pPr>
      <w:r>
        <w:rPr>
          <w:b/>
        </w:rPr>
        <w:t>Key decisions made in Switzerland</w:t>
      </w:r>
      <w:r>
        <w:t>:</w:t>
      </w:r>
    </w:p>
    <w:p>
      <w:pPr>
        <w:pStyle w:val="ListBullet"/>
        <w:ind w:left="360"/>
      </w:pPr>
      <w:r>
        <w:rPr>
          <w:b/>
        </w:rPr>
        <w:t>Board meetings</w:t>
      </w:r>
      <w:r>
        <w:t xml:space="preserve"> and </w:t>
      </w:r>
      <w:r>
        <w:rPr>
          <w:b/>
        </w:rPr>
        <w:t>strategy sessions</w:t>
      </w:r>
      <w:r>
        <w:t xml:space="preserve"> held locally</w:t>
      </w:r>
    </w:p>
    <w:p>
      <w:pPr>
        <w:pStyle w:val="ListBullet"/>
        <w:ind w:left="360"/>
      </w:pPr>
      <w:r>
        <w:rPr>
          <w:b/>
        </w:rPr>
        <w:t>Trade approval authority</w:t>
      </w:r>
      <w:r>
        <w:t xml:space="preserve"> vested in Swiss-resident personnel</w:t>
      </w:r>
    </w:p>
    <w:p>
      <w:pPr>
        <w:pStyle w:val="ListNumber"/>
      </w:pPr>
      <w:r>
        <w:rPr>
          <w:b/>
        </w:rPr>
        <w:t>Genuine commercial rationale</w:t>
      </w:r>
      <w:r>
        <w:t>:</w:t>
      </w:r>
    </w:p>
    <w:p>
      <w:pPr>
        <w:pStyle w:val="ListBullet"/>
        <w:ind w:left="360"/>
      </w:pPr>
      <w:r>
        <w:t xml:space="preserve">Trading with </w:t>
      </w:r>
      <w:r>
        <w:rPr>
          <w:b/>
        </w:rPr>
        <w:t>third parties</w:t>
      </w:r>
      <w:r>
        <w:t xml:space="preserve"> (not purely intra-group)</w:t>
      </w:r>
    </w:p>
    <w:p>
      <w:pPr>
        <w:pStyle w:val="ListBullet"/>
        <w:ind w:left="360"/>
      </w:pPr>
      <w:r>
        <w:rPr>
          <w:b/>
        </w:rPr>
        <w:t>Market-making activities</w:t>
      </w:r>
      <w:r>
        <w:t xml:space="preserve"> and </w:t>
      </w:r>
      <w:r>
        <w:rPr>
          <w:b/>
        </w:rPr>
        <w:t>portfolio management</w:t>
      </w:r>
    </w:p>
    <w:p>
      <w:r>
        <w:rPr>
          <w:b/>
        </w:rPr>
        <w:t>F. Treaty Network</w:t>
      </w:r>
    </w:p>
    <w:p>
      <w:r>
        <w:t xml:space="preserve">Switzerland has </w:t>
      </w:r>
      <w:r>
        <w:rPr>
          <w:b/>
        </w:rPr>
        <w:t>100+ double tax treaties</w:t>
      </w:r>
      <w:r>
        <w:t>, providing:</w:t>
      </w:r>
    </w:p>
    <w:p>
      <w:pPr>
        <w:pStyle w:val="ListBullet"/>
      </w:pPr>
      <w:r>
        <w:rPr>
          <w:b/>
        </w:rPr>
        <w:t>0-5% withholding tax (WHT)</w:t>
      </w:r>
      <w:r>
        <w:t xml:space="preserve"> on dividends (depending on ownership threshold)</w:t>
      </w:r>
    </w:p>
    <w:p>
      <w:pPr>
        <w:pStyle w:val="ListBullet"/>
      </w:pPr>
      <w:r>
        <w:rPr>
          <w:b/>
        </w:rPr>
        <w:t>0-10% WHT</w:t>
      </w:r>
      <w:r>
        <w:t xml:space="preserve"> on interest and royalties</w:t>
      </w:r>
    </w:p>
    <w:p>
      <w:pPr>
        <w:pStyle w:val="ListBullet"/>
      </w:pPr>
      <w:r>
        <w:t xml:space="preserve">Extensive </w:t>
      </w:r>
      <w:r>
        <w:rPr>
          <w:b/>
        </w:rPr>
        <w:t>OECD Model Treaty</w:t>
      </w:r>
      <w:r>
        <w:t xml:space="preserve"> network</w:t>
      </w:r>
    </w:p>
    <w:p>
      <w:pPr>
        <w:spacing w:before="120" w:after="120"/>
        <w:pBdr>
          <w:bottom w:val="single" w:sz="6" w:space="1" w:color="auto"/>
        </w:pBdr>
      </w:pPr>
    </w:p>
    <w:p>
      <w:pPr>
        <w:pStyle w:val="Heading3"/>
      </w:pPr>
      <w:r>
        <w:t>3.2 Singapore</w:t>
      </w:r>
    </w:p>
    <w:p>
      <w:r>
        <w:rPr>
          <w:b/>
        </w:rPr>
        <w:t>A. Overview</w:t>
      </w:r>
    </w:p>
    <w:p>
      <w:r>
        <w:t xml:space="preserve">Singapore has emerged as </w:t>
      </w:r>
      <w:r>
        <w:rPr>
          <w:b/>
        </w:rPr>
        <w:t>Asia's leading commodity trading hub</w:t>
      </w:r>
      <w:r>
        <w:t xml:space="preserve">, with major oil traders (Trafigura Asia, Mercuria Asia) establishing regional headquarters. Singapore's </w:t>
      </w:r>
      <w:r>
        <w:rPr>
          <w:b/>
        </w:rPr>
        <w:t>strategic location</w:t>
      </w:r>
      <w:r>
        <w:t xml:space="preserve"> between Middle East producers and Asian consumers, combined with </w:t>
      </w:r>
      <w:r>
        <w:rPr>
          <w:b/>
        </w:rPr>
        <w:t>world-class infrastructure</w:t>
      </w:r>
      <w:r>
        <w:t xml:space="preserve"> (port, storage, financial services), makes it attractive for trading operations.</w:t>
      </w:r>
    </w:p>
    <w:p>
      <w:r>
        <w:rPr>
          <w:b/>
        </w:rPr>
        <w:t>B. Global Trader Programme (GTP)</w:t>
      </w:r>
    </w:p>
    <w:p>
      <w:r>
        <w:t xml:space="preserve">The </w:t>
      </w:r>
      <w:r>
        <w:rPr>
          <w:b/>
        </w:rPr>
        <w:t>Enterprise Singapore Global Trader Programme</w:t>
      </w:r>
      <w:r>
        <w:t xml:space="preserve"> offers </w:t>
      </w:r>
      <w:r>
        <w:rPr>
          <w:b/>
        </w:rPr>
        <w:t>concessionary tax rates</w:t>
      </w:r>
      <w:r>
        <w:t xml:space="preserve"> for qualifying international traders: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Tier</w:t>
            </w:r>
          </w:p>
        </w:tc>
        <w:tc>
          <w:tcPr>
            <w:tcW w:type="dxa" w:w="2880"/>
          </w:tcPr>
          <w:p>
            <w:r>
              <w:rPr>
                <w:b/>
              </w:rPr>
            </w:r>
            <w:r>
              <w:rPr>
                <w:b/>
              </w:rPr>
              <w:t>Tax Rate</w:t>
            </w:r>
          </w:p>
        </w:tc>
        <w:tc>
          <w:tcPr>
            <w:tcW w:type="dxa" w:w="2880"/>
          </w:tcPr>
          <w:p>
            <w:r>
              <w:rPr>
                <w:b/>
              </w:rPr>
            </w:r>
            <w:r>
              <w:rPr>
                <w:b/>
              </w:rPr>
              <w:t>Qualifying Criteria</w:t>
            </w:r>
          </w:p>
        </w:tc>
      </w:tr>
      <w:tr>
        <w:tc>
          <w:tcPr>
            <w:tcW w:type="dxa" w:w="2880"/>
          </w:tcPr>
          <w:p>
            <w:r/>
            <w:r>
              <w:rPr>
                <w:b/>
              </w:rPr>
              <w:t>Tier 1</w:t>
            </w:r>
          </w:p>
        </w:tc>
        <w:tc>
          <w:tcPr>
            <w:tcW w:type="dxa" w:w="2880"/>
          </w:tcPr>
          <w:p>
            <w:r/>
            <w:r>
              <w:t>5%</w:t>
            </w:r>
          </w:p>
        </w:tc>
        <w:tc>
          <w:tcPr>
            <w:tcW w:type="dxa" w:w="2880"/>
          </w:tcPr>
          <w:p>
            <w:r/>
            <w:r>
              <w:t>Substantial business presence; extensive use of Singapore services; high local headcount</w:t>
            </w:r>
          </w:p>
        </w:tc>
      </w:tr>
      <w:tr>
        <w:tc>
          <w:tcPr>
            <w:tcW w:type="dxa" w:w="2880"/>
          </w:tcPr>
          <w:p>
            <w:r/>
            <w:r>
              <w:rPr>
                <w:b/>
              </w:rPr>
              <w:t>Tier 2</w:t>
            </w:r>
          </w:p>
        </w:tc>
        <w:tc>
          <w:tcPr>
            <w:tcW w:type="dxa" w:w="2880"/>
          </w:tcPr>
          <w:p>
            <w:r/>
            <w:r>
              <w:t>10%</w:t>
            </w:r>
          </w:p>
        </w:tc>
        <w:tc>
          <w:tcPr>
            <w:tcW w:type="dxa" w:w="2880"/>
          </w:tcPr>
          <w:p>
            <w:r/>
            <w:r>
              <w:t>Established international trader; significant Singapore operations</w:t>
            </w:r>
          </w:p>
        </w:tc>
      </w:tr>
      <w:tr>
        <w:tc>
          <w:tcPr>
            <w:tcW w:type="dxa" w:w="2880"/>
          </w:tcPr>
          <w:p>
            <w:r/>
            <w:r>
              <w:rPr>
                <w:b/>
              </w:rPr>
              <w:t>Tier 3</w:t>
            </w:r>
          </w:p>
        </w:tc>
        <w:tc>
          <w:tcPr>
            <w:tcW w:type="dxa" w:w="2880"/>
          </w:tcPr>
          <w:p>
            <w:r/>
            <w:r>
              <w:t>15%</w:t>
            </w:r>
          </w:p>
        </w:tc>
        <w:tc>
          <w:tcPr>
            <w:tcW w:type="dxa" w:w="2880"/>
          </w:tcPr>
          <w:p>
            <w:r/>
            <w:r>
              <w:t>International trader with qualifying activities; moderate Singapore presence</w:t>
            </w:r>
          </w:p>
        </w:tc>
      </w:tr>
    </w:tbl>
    <w:p/>
    <w:p>
      <w:r>
        <w:rPr>
          <w:b/>
        </w:rPr>
        <w:t>Standard corporate tax rate</w:t>
      </w:r>
      <w:r>
        <w:t>: 17% (for non-GTP income)</w:t>
      </w:r>
    </w:p>
    <w:p>
      <w:r>
        <w:t>The Tier 3 rate of 15% was introduced in 2024 to align with the OECD Pillar Two global minimum effective tax rate of 15%.</w:t>
      </w:r>
    </w:p>
    <w:p>
      <w:r>
        <w:rPr>
          <w:b/>
        </w:rPr>
        <w:t>C. GTP Requirements (2025)</w:t>
      </w:r>
    </w:p>
    <w:p>
      <w:r>
        <w:t>To qualify for GTP incentives, companies must:</w:t>
      </w:r>
    </w:p>
    <w:p>
      <w:pPr>
        <w:pStyle w:val="ListNumber"/>
      </w:pPr>
      <w:r>
        <w:rPr>
          <w:b/>
        </w:rPr>
        <w:t>Established international trader</w:t>
      </w:r>
      <w:r>
        <w:t>:</w:t>
      </w:r>
    </w:p>
    <w:p>
      <w:pPr>
        <w:pStyle w:val="ListBullet"/>
        <w:ind w:left="360"/>
      </w:pPr>
      <w:r>
        <w:t xml:space="preserve">Proven </w:t>
      </w:r>
      <w:r>
        <w:rPr>
          <w:b/>
        </w:rPr>
        <w:t>track record</w:t>
      </w:r>
      <w:r>
        <w:t xml:space="preserve"> in commodity trading</w:t>
      </w:r>
    </w:p>
    <w:p>
      <w:pPr>
        <w:pStyle w:val="ListBullet"/>
        <w:ind w:left="360"/>
      </w:pPr>
      <w:r>
        <w:rPr>
          <w:b/>
        </w:rPr>
        <w:t>Global trading network</w:t>
      </w:r>
      <w:r>
        <w:t xml:space="preserve"> and distribution channels</w:t>
      </w:r>
    </w:p>
    <w:p>
      <w:pPr>
        <w:pStyle w:val="ListNumber"/>
      </w:pPr>
      <w:r>
        <w:rPr>
          <w:b/>
        </w:rPr>
        <w:t>Substantial business activities in Singapore</w:t>
      </w:r>
      <w:r>
        <w:t>:</w:t>
      </w:r>
    </w:p>
    <w:p>
      <w:pPr>
        <w:pStyle w:val="ListBullet"/>
        <w:ind w:left="360"/>
      </w:pPr>
      <w:r>
        <w:rPr>
          <w:b/>
        </w:rPr>
        <w:t>Strategic management</w:t>
      </w:r>
      <w:r>
        <w:t xml:space="preserve"> functions (planning, business development)</w:t>
      </w:r>
    </w:p>
    <w:p>
      <w:pPr>
        <w:pStyle w:val="ListBullet"/>
        <w:ind w:left="360"/>
      </w:pPr>
      <w:r>
        <w:rPr>
          <w:b/>
        </w:rPr>
        <w:t>Risk management</w:t>
      </w:r>
      <w:r>
        <w:t xml:space="preserve"> and </w:t>
      </w:r>
      <w:r>
        <w:rPr>
          <w:b/>
        </w:rPr>
        <w:t>compliance</w:t>
      </w:r>
      <w:r>
        <w:t xml:space="preserve"> teams</w:t>
      </w:r>
    </w:p>
    <w:p>
      <w:pPr>
        <w:pStyle w:val="ListBullet"/>
        <w:ind w:left="360"/>
      </w:pPr>
      <w:r>
        <w:rPr>
          <w:b/>
        </w:rPr>
        <w:t>Treasury and financing</w:t>
      </w:r>
      <w:r>
        <w:t xml:space="preserve"> operations</w:t>
      </w:r>
    </w:p>
    <w:p>
      <w:pPr>
        <w:pStyle w:val="ListBullet"/>
        <w:ind w:left="360"/>
      </w:pPr>
      <w:r>
        <w:rPr>
          <w:b/>
        </w:rPr>
        <w:t>Logistics and supply chain</w:t>
      </w:r>
      <w:r>
        <w:t xml:space="preserve"> management</w:t>
      </w:r>
    </w:p>
    <w:p>
      <w:pPr>
        <w:pStyle w:val="ListNumber"/>
      </w:pPr>
      <w:r>
        <w:rPr>
          <w:b/>
        </w:rPr>
        <w:t>Local employment</w:t>
      </w:r>
      <w:r>
        <w:t>:</w:t>
      </w:r>
    </w:p>
    <w:p>
      <w:pPr>
        <w:pStyle w:val="ListBullet"/>
        <w:ind w:left="360"/>
      </w:pPr>
      <w:r>
        <w:rPr>
          <w:b/>
        </w:rPr>
        <w:t>Minimum 5-10 qualified professionals</w:t>
      </w:r>
      <w:r>
        <w:t xml:space="preserve"> based in Singapore</w:t>
      </w:r>
    </w:p>
    <w:p>
      <w:pPr>
        <w:pStyle w:val="ListBullet"/>
        <w:ind w:left="360"/>
      </w:pPr>
      <w:r>
        <w:t xml:space="preserve">Preference for </w:t>
      </w:r>
      <w:r>
        <w:rPr>
          <w:b/>
        </w:rPr>
        <w:t>Singaporean nationals</w:t>
      </w:r>
      <w:r>
        <w:t xml:space="preserve"> and </w:t>
      </w:r>
      <w:r>
        <w:rPr>
          <w:b/>
        </w:rPr>
        <w:t>permanent residents</w:t>
      </w:r>
    </w:p>
    <w:p>
      <w:pPr>
        <w:pStyle w:val="ListNumber"/>
      </w:pPr>
      <w:r>
        <w:rPr>
          <w:b/>
        </w:rPr>
        <w:t>Use of Singapore services</w:t>
      </w:r>
      <w:r>
        <w:t>:</w:t>
      </w:r>
    </w:p>
    <w:p>
      <w:pPr>
        <w:pStyle w:val="ListBullet"/>
        <w:ind w:left="360"/>
      </w:pPr>
      <w:r>
        <w:rPr>
          <w:b/>
        </w:rPr>
        <w:t>Banking and financial services</w:t>
      </w:r>
      <w:r>
        <w:t xml:space="preserve"> (trade finance, hedging)</w:t>
      </w:r>
    </w:p>
    <w:p>
      <w:pPr>
        <w:pStyle w:val="ListBullet"/>
        <w:ind w:left="360"/>
      </w:pPr>
      <w:r>
        <w:rPr>
          <w:b/>
        </w:rPr>
        <w:t>Logistics and shipping</w:t>
      </w:r>
      <w:r>
        <w:t xml:space="preserve"> services</w:t>
      </w:r>
    </w:p>
    <w:p>
      <w:pPr>
        <w:pStyle w:val="ListBullet"/>
        <w:ind w:left="360"/>
      </w:pPr>
      <w:r>
        <w:rPr>
          <w:b/>
        </w:rPr>
        <w:t>Legal and arbitration</w:t>
      </w:r>
      <w:r>
        <w:t xml:space="preserve"> services (Singapore International Arbitration Centre)</w:t>
      </w:r>
    </w:p>
    <w:p>
      <w:pPr>
        <w:pStyle w:val="ListNumber"/>
      </w:pPr>
      <w:r>
        <w:rPr>
          <w:b/>
        </w:rPr>
        <w:t>Third-party trading</w:t>
      </w:r>
      <w:r>
        <w:t>:</w:t>
      </w:r>
    </w:p>
    <w:p>
      <w:pPr>
        <w:pStyle w:val="ListBullet"/>
        <w:ind w:left="360"/>
      </w:pPr>
      <w:r>
        <w:t xml:space="preserve">Significant portion of trading with </w:t>
      </w:r>
      <w:r>
        <w:rPr>
          <w:b/>
        </w:rPr>
        <w:t>unrelated parties</w:t>
      </w:r>
      <w:r>
        <w:t xml:space="preserve"> (not purely intra-group)</w:t>
      </w:r>
    </w:p>
    <w:p>
      <w:r>
        <w:rPr>
          <w:b/>
        </w:rPr>
        <w:t>D. Economic Substance</w:t>
      </w:r>
    </w:p>
    <w:p>
      <w:r>
        <w:t xml:space="preserve">Singapore's </w:t>
      </w:r>
      <w:r>
        <w:rPr>
          <w:b/>
        </w:rPr>
        <w:t>Inland Revenue Authority of Singapore (IRAS)</w:t>
      </w:r>
      <w:r>
        <w:t xml:space="preserve"> scrutinizes substance through:</w:t>
      </w:r>
    </w:p>
    <w:p>
      <w:pPr>
        <w:pStyle w:val="ListBullet"/>
      </w:pPr>
      <w:r>
        <w:rPr>
          <w:b/>
        </w:rPr>
        <w:t>On-site visits</w:t>
      </w:r>
      <w:r>
        <w:t xml:space="preserve"> to verify physical presence</w:t>
      </w:r>
    </w:p>
    <w:p>
      <w:pPr>
        <w:pStyle w:val="ListBullet"/>
      </w:pPr>
      <w:r>
        <w:rPr>
          <w:b/>
        </w:rPr>
        <w:t>Personnel interviews</w:t>
      </w:r>
      <w:r>
        <w:t xml:space="preserve"> to confirm decision-making authority</w:t>
      </w:r>
    </w:p>
    <w:p>
      <w:pPr>
        <w:pStyle w:val="ListBullet"/>
      </w:pPr>
      <w:r>
        <w:rPr>
          <w:b/>
        </w:rPr>
        <w:t>Board minutes review</w:t>
      </w:r>
      <w:r>
        <w:t xml:space="preserve"> to evidence Singapore-based governance</w:t>
      </w:r>
    </w:p>
    <w:p>
      <w:pPr>
        <w:pStyle w:val="ListBullet"/>
      </w:pPr>
      <w:r>
        <w:rPr>
          <w:b/>
        </w:rPr>
        <w:t>Transaction flow analysis</w:t>
      </w:r>
      <w:r>
        <w:t xml:space="preserve"> to verify genuine trading activities</w:t>
      </w:r>
    </w:p>
    <w:p>
      <w:r>
        <w:rPr>
          <w:b/>
        </w:rPr>
        <w:t>E. Treaty Network</w:t>
      </w:r>
    </w:p>
    <w:p>
      <w:r>
        <w:t xml:space="preserve">Singapore has </w:t>
      </w:r>
      <w:r>
        <w:rPr>
          <w:b/>
        </w:rPr>
        <w:t>90+ comprehensive double tax agreements</w:t>
      </w:r>
      <w:r>
        <w:t>, including treaties with major oil producers (United Arab Emirates, Qatar, Indonesia, Malaysia, United Kingdom, Norway).</w:t>
      </w:r>
    </w:p>
    <w:p>
      <w:r>
        <w:rPr>
          <w:b/>
        </w:rPr>
        <w:t>Typical treaty rates</w:t>
      </w:r>
      <w:r>
        <w:t>:</w:t>
      </w:r>
    </w:p>
    <w:p>
      <w:pPr>
        <w:pStyle w:val="ListBullet"/>
      </w:pPr>
      <w:r>
        <w:rPr>
          <w:b/>
        </w:rPr>
        <w:t>Dividends</w:t>
      </w:r>
      <w:r>
        <w:t>: 5-10% (0% for certain participations)</w:t>
      </w:r>
    </w:p>
    <w:p>
      <w:pPr>
        <w:pStyle w:val="ListBullet"/>
      </w:pPr>
      <w:r>
        <w:rPr>
          <w:b/>
        </w:rPr>
        <w:t>Interest</w:t>
      </w:r>
      <w:r>
        <w:t>: 10-15%</w:t>
      </w:r>
    </w:p>
    <w:p>
      <w:pPr>
        <w:pStyle w:val="ListBullet"/>
      </w:pPr>
      <w:r>
        <w:rPr>
          <w:b/>
        </w:rPr>
        <w:t>Royalties</w:t>
      </w:r>
      <w:r>
        <w:t>: 10-15%</w:t>
      </w:r>
    </w:p>
    <w:p>
      <w:pPr>
        <w:spacing w:before="120" w:after="120"/>
        <w:pBdr>
          <w:bottom w:val="single" w:sz="6" w:space="1" w:color="auto"/>
        </w:pBdr>
      </w:pPr>
    </w:p>
    <w:p>
      <w:pPr>
        <w:pStyle w:val="Heading3"/>
      </w:pPr>
      <w:r>
        <w:t>3.3 Netherlands</w:t>
      </w:r>
    </w:p>
    <w:p>
      <w:r>
        <w:rPr>
          <w:b/>
        </w:rPr>
        <w:t>A. Overview</w:t>
      </w:r>
    </w:p>
    <w:p>
      <w:r>
        <w:t xml:space="preserve">The </w:t>
      </w:r>
      <w:r>
        <w:rPr>
          <w:b/>
        </w:rPr>
        <w:t>Netherlands</w:t>
      </w:r>
      <w:r>
        <w:t xml:space="preserve"> (particularly Rotterdam) is Europe's largest port and a major commodity trading hub. The Netherlands offers </w:t>
      </w:r>
      <w:r>
        <w:rPr>
          <w:b/>
        </w:rPr>
        <w:t>extensive treaty network</w:t>
      </w:r>
      <w:r>
        <w:t xml:space="preserve">, </w:t>
      </w:r>
      <w:r>
        <w:rPr>
          <w:b/>
        </w:rPr>
        <w:t>advance pricing agreement (APA) program</w:t>
      </w:r>
      <w:r>
        <w:t xml:space="preserve">, and </w:t>
      </w:r>
      <w:r>
        <w:rPr>
          <w:b/>
        </w:rPr>
        <w:t>favorable holding company regime</w:t>
      </w:r>
      <w:r>
        <w:t>.</w:t>
      </w:r>
    </w:p>
    <w:p>
      <w:r>
        <w:rPr>
          <w:b/>
        </w:rPr>
        <w:t>B. Tax Regime (2025)</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Rate</w:t>
            </w:r>
          </w:p>
        </w:tc>
      </w:tr>
      <w:tr>
        <w:tc>
          <w:tcPr>
            <w:tcW w:type="dxa" w:w="4320"/>
          </w:tcPr>
          <w:p>
            <w:r/>
            <w:r>
              <w:rPr>
                <w:b/>
              </w:rPr>
              <w:t>Corporate income tax</w:t>
            </w:r>
          </w:p>
        </w:tc>
        <w:tc>
          <w:tcPr>
            <w:tcW w:type="dxa" w:w="4320"/>
          </w:tcPr>
          <w:p>
            <w:r/>
            <w:r>
              <w:t>19% (first €200,000); 25.8% (above €200,000)</w:t>
            </w:r>
          </w:p>
        </w:tc>
      </w:tr>
      <w:tr>
        <w:tc>
          <w:tcPr>
            <w:tcW w:type="dxa" w:w="4320"/>
          </w:tcPr>
          <w:p>
            <w:r/>
            <w:r>
              <w:rPr>
                <w:b/>
              </w:rPr>
              <w:t>Participation exemption</w:t>
            </w:r>
          </w:p>
        </w:tc>
        <w:tc>
          <w:tcPr>
            <w:tcW w:type="dxa" w:w="4320"/>
          </w:tcPr>
          <w:p>
            <w:r/>
            <w:r>
              <w:t>0% tax on qualifying dividends and capital gains</w:t>
            </w:r>
          </w:p>
        </w:tc>
      </w:tr>
      <w:tr>
        <w:tc>
          <w:tcPr>
            <w:tcW w:type="dxa" w:w="4320"/>
          </w:tcPr>
          <w:p>
            <w:r/>
            <w:r>
              <w:rPr>
                <w:b/>
              </w:rPr>
              <w:t>Withholding tax on dividends</w:t>
            </w:r>
          </w:p>
        </w:tc>
        <w:tc>
          <w:tcPr>
            <w:tcW w:type="dxa" w:w="4320"/>
          </w:tcPr>
          <w:p>
            <w:r/>
            <w:r>
              <w:t>15% (subject to treaty reduction)</w:t>
            </w:r>
          </w:p>
        </w:tc>
      </w:tr>
    </w:tbl>
    <w:p/>
    <w:p>
      <w:r>
        <w:rPr>
          <w:b/>
        </w:rPr>
        <w:t>C. Cooperative Structure</w:t>
      </w:r>
    </w:p>
    <w:p>
      <w:r>
        <w:t xml:space="preserve">Dutch </w:t>
      </w:r>
      <w:r>
        <w:rPr>
          <w:b/>
        </w:rPr>
        <w:t>cooperatives</w:t>
      </w:r>
      <w:r>
        <w:t xml:space="preserve"> historically provided tax efficiency but face increased scrutiny under the </w:t>
      </w:r>
      <w:r>
        <w:rPr>
          <w:b/>
        </w:rPr>
        <w:t>Anti-Tax Avoidance Directive (ATAD)</w:t>
      </w:r>
      <w:r>
        <w:t xml:space="preserve"> and </w:t>
      </w:r>
      <w:r>
        <w:rPr>
          <w:b/>
        </w:rPr>
        <w:t>substance requirements</w:t>
      </w:r>
      <w:r>
        <w:t>.</w:t>
      </w:r>
    </w:p>
    <w:p>
      <w:r>
        <w:t xml:space="preserve">The </w:t>
      </w:r>
      <w:r>
        <w:rPr>
          <w:b/>
        </w:rPr>
        <w:t>ATAD</w:t>
      </w:r>
      <w:r>
        <w:t>, adopted by the European Union Council Directive 2016/1164 and amended by Directive 2017/952, implements anti-avoidance measures across EU member states including interest limitation rules, exit taxation, general anti-abuse rules, controlled foreign company (CFC) rules, and hybrid mismatch rules. These directives apply from 2019 (ATAD I) and 2020 (ATAD II), requiring Netherlands entities to demonstrate genuine economic substance to access favorable tax treatment.</w:t>
      </w:r>
    </w:p>
    <w:p>
      <w:pPr>
        <w:spacing w:before="120" w:after="120"/>
        <w:pBdr>
          <w:bottom w:val="single" w:sz="6" w:space="1" w:color="auto"/>
        </w:pBdr>
      </w:pPr>
    </w:p>
    <w:p>
      <w:pPr>
        <w:pStyle w:val="Heading3"/>
      </w:pPr>
      <w:r>
        <w:t>3.4 United Kingdom</w:t>
      </w:r>
    </w:p>
    <w:p>
      <w:r>
        <w:rPr>
          <w:b/>
        </w:rPr>
        <w:t>A. Overview</w:t>
      </w:r>
    </w:p>
    <w:p>
      <w:r>
        <w:t xml:space="preserve">The United Kingdom, particularly London, is a major center for </w:t>
      </w:r>
      <w:r>
        <w:rPr>
          <w:b/>
        </w:rPr>
        <w:t>energy trading</w:t>
      </w:r>
      <w:r>
        <w:t xml:space="preserve"> (particularly oil derivatives, carbon trading). The UK offers </w:t>
      </w:r>
      <w:r>
        <w:rPr>
          <w:b/>
        </w:rPr>
        <w:t>strong legal framework</w:t>
      </w:r>
      <w:r>
        <w:t xml:space="preserve">, </w:t>
      </w:r>
      <w:r>
        <w:rPr>
          <w:b/>
        </w:rPr>
        <w:t>financial services infrastructure</w:t>
      </w:r>
      <w:r>
        <w:t xml:space="preserve">, and </w:t>
      </w:r>
      <w:r>
        <w:rPr>
          <w:b/>
        </w:rPr>
        <w:t>arbitration facilities</w:t>
      </w:r>
      <w:r>
        <w:t>.</w:t>
      </w:r>
    </w:p>
    <w:p>
      <w:r>
        <w:rPr>
          <w:b/>
        </w:rPr>
        <w:t>B. Tax Regime (2025)</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Rate</w:t>
            </w:r>
          </w:p>
        </w:tc>
      </w:tr>
      <w:tr>
        <w:tc>
          <w:tcPr>
            <w:tcW w:type="dxa" w:w="4320"/>
          </w:tcPr>
          <w:p>
            <w:r/>
            <w:r>
              <w:rPr>
                <w:b/>
              </w:rPr>
              <w:t>Corporate income tax</w:t>
            </w:r>
          </w:p>
        </w:tc>
        <w:tc>
          <w:tcPr>
            <w:tcW w:type="dxa" w:w="4320"/>
          </w:tcPr>
          <w:p>
            <w:r/>
            <w:r>
              <w:t>25% (19% for profits up to £50,000)</w:t>
            </w:r>
          </w:p>
        </w:tc>
      </w:tr>
      <w:tr>
        <w:tc>
          <w:tcPr>
            <w:tcW w:type="dxa" w:w="4320"/>
          </w:tcPr>
          <w:p>
            <w:r/>
            <w:r>
              <w:rPr>
                <w:b/>
              </w:rPr>
              <w:t>Participation exemption</w:t>
            </w:r>
          </w:p>
        </w:tc>
        <w:tc>
          <w:tcPr>
            <w:tcW w:type="dxa" w:w="4320"/>
          </w:tcPr>
          <w:p>
            <w:r/>
            <w:r>
              <w:rPr>
                <w:b/>
              </w:rPr>
              <w:t>Substantial Shareholding Exemption (SSE)</w:t>
            </w:r>
            <w:r>
              <w:t>: 0% on capital gains from qualifying subsidiaries</w:t>
            </w:r>
          </w:p>
        </w:tc>
      </w:tr>
      <w:tr>
        <w:tc>
          <w:tcPr>
            <w:tcW w:type="dxa" w:w="4320"/>
          </w:tcPr>
          <w:p>
            <w:r/>
            <w:r>
              <w:rPr>
                <w:b/>
              </w:rPr>
              <w:t>Withholding tax on dividends</w:t>
            </w:r>
          </w:p>
        </w:tc>
        <w:tc>
          <w:tcPr>
            <w:tcW w:type="dxa" w:w="4320"/>
          </w:tcPr>
          <w:p>
            <w:r/>
            <w:r>
              <w:t>0%</w:t>
            </w:r>
          </w:p>
        </w:tc>
      </w:tr>
    </w:tbl>
    <w:p/>
    <w:p>
      <w:r>
        <w:rPr>
          <w:b/>
        </w:rPr>
        <w:t>C. Considerations</w:t>
      </w:r>
    </w:p>
    <w:p>
      <w:pPr>
        <w:pStyle w:val="ListBullet"/>
      </w:pPr>
      <w:r>
        <w:rPr>
          <w:b/>
        </w:rPr>
        <w:t>Higher tax rate</w:t>
      </w:r>
      <w:r>
        <w:t xml:space="preserve"> (25%) compared to Switzerland (11-15%) and Singapore (5-15%)</w:t>
      </w:r>
    </w:p>
    <w:p>
      <w:pPr>
        <w:pStyle w:val="ListBullet"/>
      </w:pPr>
      <w:r>
        <w:rPr>
          <w:b/>
        </w:rPr>
        <w:t>Strong commercial substance</w:t>
      </w:r>
      <w:r>
        <w:t xml:space="preserve"> easier to demonstrate due to deep local market</w:t>
      </w:r>
    </w:p>
    <w:p>
      <w:pPr>
        <w:pStyle w:val="ListBullet"/>
      </w:pPr>
      <w:r>
        <w:rPr>
          <w:b/>
        </w:rPr>
        <w:t>Treaty network</w:t>
      </w:r>
      <w:r>
        <w:t>: 130+ treaties</w:t>
      </w:r>
    </w:p>
    <w:p>
      <w:pPr>
        <w:spacing w:before="120" w:after="120"/>
        <w:pBdr>
          <w:bottom w:val="single" w:sz="6" w:space="1" w:color="auto"/>
        </w:pBdr>
      </w:pPr>
    </w:p>
    <w:p>
      <w:pPr>
        <w:pStyle w:val="Heading2"/>
      </w:pPr>
      <w:r>
        <w:t>4. Economic Substance Requirements</w:t>
      </w:r>
    </w:p>
    <w:p>
      <w:pPr>
        <w:pStyle w:val="Heading3"/>
      </w:pPr>
      <w:r>
        <w:t>4.1 OECD BEPS and Substance</w:t>
      </w:r>
    </w:p>
    <w:p>
      <w:r>
        <w:t xml:space="preserve">The </w:t>
      </w:r>
      <w:r>
        <w:rPr>
          <w:b/>
        </w:rPr>
        <w:t>OECD BEPS Action Plan</w:t>
      </w:r>
      <w:r>
        <w:t xml:space="preserve"> (particularly </w:t>
      </w:r>
      <w:r>
        <w:rPr>
          <w:b/>
        </w:rPr>
        <w:t>Action 5</w:t>
      </w:r>
      <w:r>
        <w:t xml:space="preserve"> on harmful tax practices and </w:t>
      </w:r>
      <w:r>
        <w:rPr>
          <w:b/>
        </w:rPr>
        <w:t>Actions 8-10</w:t>
      </w:r>
      <w:r>
        <w:t xml:space="preserve"> on transfer pricing) emphasizes </w:t>
      </w:r>
      <w:r>
        <w:rPr>
          <w:b/>
        </w:rPr>
        <w:t>substance over form</w:t>
      </w:r>
      <w:r>
        <w:t xml:space="preserve">, requiring that profits be taxed where </w:t>
      </w:r>
      <w:r>
        <w:rPr>
          <w:b/>
        </w:rPr>
        <w:t>value-creating activities</w:t>
      </w:r>
      <w:r>
        <w:t xml:space="preserve"> occur.</w:t>
      </w:r>
    </w:p>
    <w:p>
      <w:r>
        <w:rPr>
          <w:b/>
        </w:rPr>
        <w:t>Key BEPS Principles</w:t>
      </w:r>
      <w:r>
        <w:t>:</w:t>
      </w:r>
    </w:p>
    <w:p>
      <w:pPr>
        <w:pStyle w:val="ListNumber"/>
      </w:pPr>
      <w:r>
        <w:rPr>
          <w:b/>
        </w:rPr>
        <w:t>Alignment of profits with value creation</w:t>
      </w:r>
      <w:r>
        <w:t xml:space="preserve">: Profits should be allocated to entities performing </w:t>
      </w:r>
      <w:r>
        <w:rPr>
          <w:b/>
        </w:rPr>
        <w:t>functions</w:t>
      </w:r>
      <w:r>
        <w:t xml:space="preserve">, owning </w:t>
      </w:r>
      <w:r>
        <w:rPr>
          <w:b/>
        </w:rPr>
        <w:t>assets</w:t>
      </w:r>
      <w:r>
        <w:t xml:space="preserve">, and bearing </w:t>
      </w:r>
      <w:r>
        <w:rPr>
          <w:b/>
        </w:rPr>
        <w:t>risks</w:t>
      </w:r>
      <w:r>
        <w:t>.</w:t>
      </w:r>
    </w:p>
    <w:p>
      <w:pPr>
        <w:pStyle w:val="ListNumber"/>
      </w:pPr>
      <w:r>
        <w:rPr>
          <w:b/>
        </w:rPr>
        <w:t>Economic substance requirements</w:t>
      </w:r>
      <w:r>
        <w:t>: Low-tax jurisdictions must impose substance standards to avoid "harmful tax practices" classification.</w:t>
      </w:r>
    </w:p>
    <w:p>
      <w:pPr>
        <w:pStyle w:val="ListNumber"/>
      </w:pPr>
      <w:r>
        <w:rPr>
          <w:b/>
        </w:rPr>
        <w:t>Transfer pricing documentation</w:t>
      </w:r>
      <w:r>
        <w:t xml:space="preserve">: </w:t>
      </w:r>
      <w:r>
        <w:rPr>
          <w:b/>
        </w:rPr>
        <w:t>Master File</w:t>
      </w:r>
      <w:r>
        <w:t xml:space="preserve">, </w:t>
      </w:r>
      <w:r>
        <w:rPr>
          <w:b/>
        </w:rPr>
        <w:t>Local File</w:t>
      </w:r>
      <w:r>
        <w:t xml:space="preserve">, and </w:t>
      </w:r>
      <w:r>
        <w:rPr>
          <w:b/>
        </w:rPr>
        <w:t>Country-by-Country Reporting (CbCR)</w:t>
      </w:r>
      <w:r>
        <w:t xml:space="preserve"> must evidence substance.</w:t>
      </w:r>
    </w:p>
    <w:p>
      <w:pPr>
        <w:pStyle w:val="Heading3"/>
      </w:pPr>
      <w:r>
        <w:t>4.2 Core Substance Requirements for Trading Companies</w:t>
      </w:r>
    </w:p>
    <w:p>
      <w:r>
        <w:t>A trading company must demonstrate:</w:t>
      </w:r>
    </w:p>
    <w:p>
      <w:r>
        <w:rPr>
          <w:b/>
        </w:rPr>
        <w:t>A. Adequate Personnel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Function</w:t>
            </w:r>
          </w:p>
        </w:tc>
        <w:tc>
          <w:tcPr>
            <w:tcW w:type="dxa" w:w="4320"/>
          </w:tcPr>
          <w:p>
            <w:r>
              <w:rPr>
                <w:b/>
              </w:rPr>
            </w:r>
            <w:r>
              <w:rPr>
                <w:b/>
              </w:rPr>
              <w:t>Minimum Requirement</w:t>
            </w:r>
          </w:p>
        </w:tc>
      </w:tr>
      <w:tr>
        <w:tc>
          <w:tcPr>
            <w:tcW w:type="dxa" w:w="4320"/>
          </w:tcPr>
          <w:p>
            <w:r/>
            <w:r>
              <w:rPr>
                <w:b/>
              </w:rPr>
              <w:t>Senior traders</w:t>
            </w:r>
          </w:p>
        </w:tc>
        <w:tc>
          <w:tcPr>
            <w:tcW w:type="dxa" w:w="4320"/>
          </w:tcPr>
          <w:p>
            <w:r/>
            <w:r>
              <w:t>2-3 experienced professionals with profit and loss (P&amp;L) responsibility</w:t>
            </w:r>
          </w:p>
        </w:tc>
      </w:tr>
      <w:tr>
        <w:tc>
          <w:tcPr>
            <w:tcW w:type="dxa" w:w="4320"/>
          </w:tcPr>
          <w:p>
            <w:r/>
            <w:r>
              <w:rPr>
                <w:b/>
              </w:rPr>
              <w:t>Risk managers</w:t>
            </w:r>
          </w:p>
        </w:tc>
        <w:tc>
          <w:tcPr>
            <w:tcW w:type="dxa" w:w="4320"/>
          </w:tcPr>
          <w:p>
            <w:r/>
            <w:r>
              <w:t>1-2 qualified professionals monitoring exposure</w:t>
            </w:r>
          </w:p>
        </w:tc>
      </w:tr>
      <w:tr>
        <w:tc>
          <w:tcPr>
            <w:tcW w:type="dxa" w:w="4320"/>
          </w:tcPr>
          <w:p>
            <w:r/>
            <w:r>
              <w:rPr>
                <w:b/>
              </w:rPr>
              <w:t>Compliance officers</w:t>
            </w:r>
          </w:p>
        </w:tc>
        <w:tc>
          <w:tcPr>
            <w:tcW w:type="dxa" w:w="4320"/>
          </w:tcPr>
          <w:p>
            <w:r/>
            <w:r>
              <w:t>1+ ensuring regulatory compliance (sanctions, know your customer (KYC), anti-money laundering (AML))</w:t>
            </w:r>
          </w:p>
        </w:tc>
      </w:tr>
      <w:tr>
        <w:tc>
          <w:tcPr>
            <w:tcW w:type="dxa" w:w="4320"/>
          </w:tcPr>
          <w:p>
            <w:r/>
            <w:r>
              <w:rPr>
                <w:b/>
              </w:rPr>
              <w:t>Operations/back-office</w:t>
            </w:r>
          </w:p>
        </w:tc>
        <w:tc>
          <w:tcPr>
            <w:tcW w:type="dxa" w:w="4320"/>
          </w:tcPr>
          <w:p>
            <w:r/>
            <w:r>
              <w:t>2-5 personnel handling settlements, confirmations, accounting</w:t>
            </w:r>
          </w:p>
        </w:tc>
      </w:tr>
    </w:tbl>
    <w:p/>
    <w:p>
      <w:r>
        <w:rPr>
          <w:b/>
        </w:rPr>
        <w:t>Total headcount</w:t>
      </w:r>
      <w:r>
        <w:t xml:space="preserve">: Typically </w:t>
      </w:r>
      <w:r>
        <w:rPr>
          <w:b/>
        </w:rPr>
        <w:t>5-15 employees</w:t>
      </w:r>
      <w:r>
        <w:t xml:space="preserve"> depending on trading volume.</w:t>
      </w:r>
    </w:p>
    <w:p>
      <w:r>
        <w:rPr>
          <w:b/>
        </w:rPr>
        <w:t>B. Physical Presence</w:t>
      </w:r>
    </w:p>
    <w:p>
      <w:pPr>
        <w:pStyle w:val="ListBullet"/>
      </w:pPr>
      <w:r>
        <w:rPr>
          <w:b/>
        </w:rPr>
        <w:t>Dedicated office space</w:t>
      </w:r>
      <w:r>
        <w:t xml:space="preserve"> with trading infrastructure (Bloomberg terminals, risk management systems)</w:t>
      </w:r>
    </w:p>
    <w:p>
      <w:pPr>
        <w:pStyle w:val="ListBullet"/>
      </w:pPr>
      <w:r>
        <w:rPr>
          <w:b/>
        </w:rPr>
        <w:t>IT systems</w:t>
      </w:r>
      <w:r>
        <w:t xml:space="preserve"> for trade execution, position monitoring, and reporting</w:t>
      </w:r>
    </w:p>
    <w:p>
      <w:pPr>
        <w:pStyle w:val="ListBullet"/>
      </w:pPr>
      <w:r>
        <w:rPr>
          <w:b/>
        </w:rPr>
        <w:t>Proportionality</w:t>
      </w:r>
      <w:r>
        <w:t>: Office size and facilities consistent with declared activities</w:t>
      </w:r>
    </w:p>
    <w:p>
      <w:r>
        <w:rPr>
          <w:b/>
        </w:rPr>
        <w:t>C. Decision-Making Authority</w:t>
      </w:r>
    </w:p>
    <w:p>
      <w:pPr>
        <w:pStyle w:val="ListBullet"/>
      </w:pPr>
      <w:r>
        <w:rPr>
          <w:b/>
        </w:rPr>
        <w:t>Board meetings</w:t>
      </w:r>
      <w:r>
        <w:t xml:space="preserve"> held in jurisdiction, with local directors having voting authority</w:t>
      </w:r>
    </w:p>
    <w:p>
      <w:pPr>
        <w:pStyle w:val="ListBullet"/>
      </w:pPr>
      <w:r>
        <w:rPr>
          <w:b/>
        </w:rPr>
        <w:t>Trading mandates and limits</w:t>
      </w:r>
      <w:r>
        <w:t xml:space="preserve"> approved by local management</w:t>
      </w:r>
    </w:p>
    <w:p>
      <w:pPr>
        <w:pStyle w:val="ListBullet"/>
      </w:pPr>
      <w:r>
        <w:rPr>
          <w:b/>
        </w:rPr>
        <w:t>Risk management decisions</w:t>
      </w:r>
      <w:r>
        <w:t xml:space="preserve"> (hedging, position limits) made locally</w:t>
      </w:r>
    </w:p>
    <w:p>
      <w:r>
        <w:rPr>
          <w:b/>
        </w:rPr>
        <w:t>D. Core Income-Generating Activities (CIGA)</w:t>
      </w:r>
    </w:p>
    <w:p>
      <w:r>
        <w:t>The following activities must be performed in the jurisdiction:</w:t>
      </w:r>
    </w:p>
    <w:p>
      <w:pPr>
        <w:pStyle w:val="ListNumber"/>
      </w:pPr>
      <w:r>
        <w:rPr>
          <w:b/>
        </w:rPr>
        <w:t>Trade origination and negotiation</w:t>
      </w:r>
      <w:r>
        <w:t>: Identifying counterparties, negotiating terms</w:t>
      </w:r>
    </w:p>
    <w:p>
      <w:pPr>
        <w:pStyle w:val="ListNumber"/>
      </w:pPr>
      <w:r>
        <w:rPr>
          <w:b/>
        </w:rPr>
        <w:t>Pricing and execution</w:t>
      </w:r>
      <w:r>
        <w:t>: Determining prices, executing trades</w:t>
      </w:r>
    </w:p>
    <w:p>
      <w:pPr>
        <w:pStyle w:val="ListNumber"/>
      </w:pPr>
      <w:r>
        <w:rPr>
          <w:b/>
        </w:rPr>
        <w:t>Risk management</w:t>
      </w:r>
      <w:r>
        <w:t>: Hedging, position management</w:t>
      </w:r>
    </w:p>
    <w:p>
      <w:pPr>
        <w:pStyle w:val="ListNumber"/>
      </w:pPr>
      <w:r>
        <w:rPr>
          <w:b/>
        </w:rPr>
        <w:t>Logistics coordination</w:t>
      </w:r>
      <w:r>
        <w:t>: Arranging freight, storage, insurance</w:t>
      </w:r>
    </w:p>
    <w:p>
      <w:pPr>
        <w:pStyle w:val="ListNumber"/>
      </w:pPr>
      <w:r>
        <w:rPr>
          <w:b/>
        </w:rPr>
        <w:t>Credit risk assessment</w:t>
      </w:r>
      <w:r>
        <w:t>: Evaluating counterparty creditworthiness</w:t>
      </w:r>
    </w:p>
    <w:p>
      <w:r>
        <w:rPr>
          <w:b/>
        </w:rPr>
        <w:t>Outsourced functions</w:t>
      </w:r>
      <w:r>
        <w:t xml:space="preserve"> (e.g., IT, HR, accounting) do not undermine substance if CIGA performed locally.</w:t>
      </w:r>
    </w:p>
    <w:p>
      <w:pPr>
        <w:spacing w:before="120" w:after="120"/>
        <w:pBdr>
          <w:bottom w:val="single" w:sz="6" w:space="1" w:color="auto"/>
        </w:pBdr>
      </w:pPr>
    </w:p>
    <w:p>
      <w:pPr>
        <w:pStyle w:val="Heading2"/>
      </w:pPr>
      <w:r>
        <w:t>5. Transfer Pricing for Trading Companies</w:t>
      </w:r>
    </w:p>
    <w:p>
      <w:pPr>
        <w:pStyle w:val="Heading3"/>
      </w:pPr>
      <w:r>
        <w:t>5.1 Comparable Uncontrolled Price (CUP) Method</w:t>
      </w:r>
    </w:p>
    <w:p>
      <w:r>
        <w:t xml:space="preserve">The </w:t>
      </w:r>
      <w:r>
        <w:rPr>
          <w:b/>
        </w:rPr>
        <w:t>CUP method</w:t>
      </w:r>
      <w:r>
        <w:t xml:space="preserve"> is the </w:t>
      </w:r>
      <w:r>
        <w:rPr>
          <w:b/>
        </w:rPr>
        <w:t>most appropriate</w:t>
      </w:r>
      <w:r>
        <w:t xml:space="preserve"> transfer pricing method for commodity transactions, as established in the OECD Transfer Pricing Guidelines 2022, Chapter II. The CUP method compares the price charged in a controlled transaction with the price charged in a comparable uncontrolled transaction under comparable circumstances.</w:t>
      </w:r>
    </w:p>
    <w:p>
      <w:r>
        <w:rPr>
          <w:b/>
        </w:rPr>
        <w:t>A. Application to Crude Oil</w:t>
      </w:r>
    </w:p>
    <w:p>
      <w:r>
        <w:rPr>
          <w:b/>
        </w:rPr>
        <w:t>Step 1: Identify comparable transaction</w:t>
      </w:r>
    </w:p>
    <w:p>
      <w:pPr>
        <w:pStyle w:val="ListBullet"/>
      </w:pPr>
      <w:r>
        <w:t xml:space="preserve">Use </w:t>
      </w:r>
      <w:r>
        <w:rPr>
          <w:b/>
        </w:rPr>
        <w:t>published benchmark prices</w:t>
      </w:r>
      <w:r>
        <w:t xml:space="preserve">: </w:t>
      </w:r>
      <w:r>
        <w:rPr>
          <w:b/>
        </w:rPr>
        <w:t>Brent Crude</w:t>
      </w:r>
      <w:r>
        <w:t xml:space="preserve"> (North Sea), </w:t>
      </w:r>
      <w:r>
        <w:rPr>
          <w:b/>
        </w:rPr>
        <w:t>West Texas Intermediate (WTI)</w:t>
      </w:r>
      <w:r>
        <w:t xml:space="preserve"> (U.S.), </w:t>
      </w:r>
      <w:r>
        <w:rPr>
          <w:b/>
        </w:rPr>
        <w:t>Dubai Crude</w:t>
      </w:r>
      <w:r>
        <w:t xml:space="preserve"> (Middle East)</w:t>
      </w:r>
    </w:p>
    <w:p>
      <w:pPr>
        <w:pStyle w:val="ListBullet"/>
      </w:pPr>
      <w:r>
        <w:t xml:space="preserve">Adjust for </w:t>
      </w:r>
      <w:r>
        <w:rPr>
          <w:b/>
        </w:rPr>
        <w:t>quality differentials</w:t>
      </w:r>
      <w:r>
        <w:t xml:space="preserve"> (API gravity, sulfur content)</w:t>
      </w:r>
    </w:p>
    <w:p>
      <w:pPr>
        <w:pStyle w:val="ListBullet"/>
      </w:pPr>
      <w:r>
        <w:t xml:space="preserve">Adjust for </w:t>
      </w:r>
      <w:r>
        <w:rPr>
          <w:b/>
        </w:rPr>
        <w:t>location differentials</w:t>
      </w:r>
      <w:r>
        <w:t xml:space="preserve"> (freight, pipeline tariffs)</w:t>
      </w:r>
    </w:p>
    <w:p>
      <w:r>
        <w:rPr>
          <w:b/>
        </w:rPr>
        <w:t>Step 2: Pricing formula</w:t>
      </w:r>
    </w:p>
    <w:p>
      <w:pPr>
        <w:shd w:fill="F0F0F0"/>
        <w:spacing w:after="0" w:line="240" w:lineRule="auto"/>
      </w:pPr>
      <w:r>
        <w:rPr>
          <w:rFonts w:ascii="Courier New" w:hAnsi="Courier New"/>
          <w:sz w:val="20"/>
        </w:rPr>
        <w:t>Transfer Price = Benchmark Price ± Quality Adjustment ± Location Adjustment</w:t>
      </w:r>
    </w:p>
    <w:p/>
    <w:p>
      <w:r>
        <w:rPr>
          <w:b/>
        </w:rPr>
        <w:t>Step 3: Timing</w:t>
      </w:r>
    </w:p>
    <w:p>
      <w:pPr>
        <w:pStyle w:val="ListBullet"/>
      </w:pPr>
      <w:r>
        <w:t xml:space="preserve">Determine </w:t>
      </w:r>
      <w:r>
        <w:rPr>
          <w:b/>
        </w:rPr>
        <w:t>pricing date</w:t>
      </w:r>
      <w:r>
        <w:t>: Date of lifting, bill of lading, or monthly average</w:t>
      </w:r>
    </w:p>
    <w:p>
      <w:pPr>
        <w:pStyle w:val="ListBullet"/>
      </w:pPr>
      <w:r>
        <w:t>Ensure consistent methodology across comparable and controlled transactions</w:t>
      </w:r>
    </w:p>
    <w:p>
      <w:r>
        <w:rPr>
          <w:b/>
        </w:rPr>
        <w:t>B. Application to Natural Gas</w:t>
      </w:r>
    </w:p>
    <w:p>
      <w:pPr>
        <w:pStyle w:val="ListBullet"/>
      </w:pPr>
      <w:r>
        <w:rPr>
          <w:b/>
        </w:rPr>
        <w:t>Benchmarks</w:t>
      </w:r>
      <w:r>
        <w:t xml:space="preserve">: </w:t>
      </w:r>
      <w:r>
        <w:rPr>
          <w:b/>
        </w:rPr>
        <w:t>Henry Hub</w:t>
      </w:r>
      <w:r>
        <w:t xml:space="preserve"> (U.S.), </w:t>
      </w:r>
      <w:r>
        <w:rPr>
          <w:b/>
        </w:rPr>
        <w:t>National Balancing Point (NBP)</w:t>
      </w:r>
      <w:r>
        <w:t xml:space="preserve"> (UK), </w:t>
      </w:r>
      <w:r>
        <w:rPr>
          <w:b/>
        </w:rPr>
        <w:t>Title Transfer Facility (TTF)</w:t>
      </w:r>
      <w:r>
        <w:t xml:space="preserve"> (Netherlands)</w:t>
      </w:r>
    </w:p>
    <w:p>
      <w:pPr>
        <w:pStyle w:val="ListBullet"/>
      </w:pPr>
      <w:r>
        <w:t xml:space="preserve">Gas-specific adjustments: </w:t>
      </w:r>
      <w:r>
        <w:rPr>
          <w:b/>
        </w:rPr>
        <w:t>pipeline vs. liquefied natural gas (LNG)</w:t>
      </w:r>
      <w:r>
        <w:t xml:space="preserve">, </w:t>
      </w:r>
      <w:r>
        <w:rPr>
          <w:b/>
        </w:rPr>
        <w:t>seasonal demand</w:t>
      </w:r>
      <w:r>
        <w:t xml:space="preserve">, </w:t>
      </w:r>
      <w:r>
        <w:rPr>
          <w:b/>
        </w:rPr>
        <w:t>calorific value</w:t>
      </w:r>
    </w:p>
    <w:p>
      <w:pPr>
        <w:pStyle w:val="Heading3"/>
      </w:pPr>
      <w:r>
        <w:t>5.2 Trading Company Remuneration</w:t>
      </w:r>
    </w:p>
    <w:p>
      <w:r>
        <w:t xml:space="preserve">The trading company earns a </w:t>
      </w:r>
      <w:r>
        <w:rPr>
          <w:b/>
        </w:rPr>
        <w:t>trading margin</w:t>
      </w:r>
      <w:r>
        <w:t xml:space="preserve"> reflecting:</w:t>
      </w:r>
    </w:p>
    <w:p>
      <w:pPr>
        <w:pStyle w:val="ListNumber"/>
      </w:pPr>
      <w:r>
        <w:rPr>
          <w:b/>
        </w:rPr>
        <w:t>Functions performed</w:t>
      </w:r>
      <w:r>
        <w:t>: Trade execution, risk management, logistics, credit risk</w:t>
      </w:r>
    </w:p>
    <w:p>
      <w:pPr>
        <w:pStyle w:val="ListNumber"/>
      </w:pPr>
      <w:r>
        <w:rPr>
          <w:b/>
        </w:rPr>
        <w:t>Assets employed</w:t>
      </w:r>
      <w:r>
        <w:t>: Working capital, trading infrastructure, systems</w:t>
      </w:r>
    </w:p>
    <w:p>
      <w:pPr>
        <w:pStyle w:val="ListNumber"/>
      </w:pPr>
      <w:r>
        <w:rPr>
          <w:b/>
        </w:rPr>
        <w:t>Risks assumed</w:t>
      </w:r>
      <w:r>
        <w:t>: Market risk (price volatility), credit risk (counterparty default), logistics risk (delays, quality issues)</w:t>
      </w:r>
    </w:p>
    <w:p>
      <w:r>
        <w:rPr>
          <w:b/>
        </w:rPr>
        <w:t>Typical margin</w:t>
      </w:r>
      <w:r>
        <w:t xml:space="preserve">: </w:t>
      </w:r>
      <w:r>
        <w:rPr>
          <w:b/>
        </w:rPr>
        <w:t>1-3% of traded value</w:t>
      </w:r>
      <w:r>
        <w:t xml:space="preserve"> or </w:t>
      </w:r>
      <w:r>
        <w:rPr>
          <w:b/>
        </w:rPr>
        <w:t>cost plus 5-15% markup</w:t>
      </w:r>
      <w:r>
        <w:t xml:space="preserve"> on operating expenses.</w:t>
      </w:r>
    </w:p>
    <w:p>
      <w:r>
        <w:rPr>
          <w:b/>
        </w:rPr>
        <w:t>Example</w:t>
      </w:r>
      <w:r>
        <w:t>: If the trading company purchases crude at $80/barrel and sells at $82/barrel, the $2 margin must be defensible as arm's length based on:</w:t>
      </w:r>
    </w:p>
    <w:p>
      <w:pPr>
        <w:pStyle w:val="ListBullet"/>
      </w:pPr>
      <w:r>
        <w:rPr>
          <w:b/>
        </w:rPr>
        <w:t>External benchmarks</w:t>
      </w:r>
      <w:r>
        <w:t xml:space="preserve"> from unrelated trading companies (publicly available data limited)</w:t>
      </w:r>
    </w:p>
    <w:p>
      <w:pPr>
        <w:pStyle w:val="ListBullet"/>
      </w:pPr>
      <w:r>
        <w:rPr>
          <w:b/>
        </w:rPr>
        <w:t>Cost Plus method</w:t>
      </w:r>
      <w:r>
        <w:t>: Operating expenses + arm's length markup</w:t>
      </w:r>
    </w:p>
    <w:p>
      <w:pPr>
        <w:pStyle w:val="ListBullet"/>
      </w:pPr>
      <w:r>
        <w:rPr>
          <w:b/>
        </w:rPr>
        <w:t>Transactional Net Margin Method (TNMM)</w:t>
      </w:r>
      <w:r>
        <w:t>: Operating margin (Earnings Before Interest and Tax (EBIT)/Sales) compared to independent traders</w:t>
      </w:r>
    </w:p>
    <w:p>
      <w:pPr>
        <w:pStyle w:val="Heading3"/>
      </w:pPr>
      <w:r>
        <w:t>5.3 Advance Pricing Agreements (APAs)</w:t>
      </w:r>
    </w:p>
    <w:p>
      <w:r>
        <w:t xml:space="preserve">Many jurisdictions offer </w:t>
      </w:r>
      <w:r>
        <w:rPr>
          <w:b/>
        </w:rPr>
        <w:t>APAs</w:t>
      </w:r>
      <w:r>
        <w:t xml:space="preserve"> providing </w:t>
      </w:r>
      <w:r>
        <w:rPr>
          <w:b/>
        </w:rPr>
        <w:t>certainty</w:t>
      </w:r>
      <w:r>
        <w:t xml:space="preserve"> on transfer pricing methodology: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Jurisdiction</w:t>
            </w:r>
          </w:p>
        </w:tc>
        <w:tc>
          <w:tcPr>
            <w:tcW w:type="dxa" w:w="2160"/>
          </w:tcPr>
          <w:p>
            <w:r>
              <w:rPr>
                <w:b/>
              </w:rPr>
            </w:r>
            <w:r>
              <w:rPr>
                <w:b/>
              </w:rPr>
              <w:t>APA Program</w:t>
            </w:r>
          </w:p>
        </w:tc>
        <w:tc>
          <w:tcPr>
            <w:tcW w:type="dxa" w:w="2160"/>
          </w:tcPr>
          <w:p>
            <w:r>
              <w:rPr>
                <w:b/>
              </w:rPr>
            </w:r>
            <w:r>
              <w:rPr>
                <w:b/>
              </w:rPr>
              <w:t>Typical Duration</w:t>
            </w:r>
          </w:p>
        </w:tc>
        <w:tc>
          <w:tcPr>
            <w:tcW w:type="dxa" w:w="2160"/>
          </w:tcPr>
          <w:p>
            <w:r>
              <w:rPr>
                <w:b/>
              </w:rPr>
            </w:r>
            <w:r>
              <w:rPr>
                <w:b/>
              </w:rPr>
              <w:t>Fees</w:t>
            </w:r>
          </w:p>
        </w:tc>
      </w:tr>
      <w:tr>
        <w:tc>
          <w:tcPr>
            <w:tcW w:type="dxa" w:w="2160"/>
          </w:tcPr>
          <w:p>
            <w:r/>
            <w:r>
              <w:rPr>
                <w:b/>
              </w:rPr>
              <w:t>Switzerland</w:t>
            </w:r>
          </w:p>
        </w:tc>
        <w:tc>
          <w:tcPr>
            <w:tcW w:type="dxa" w:w="2160"/>
          </w:tcPr>
          <w:p>
            <w:r/>
            <w:r>
              <w:t>Yes (cantonal)</w:t>
            </w:r>
          </w:p>
        </w:tc>
        <w:tc>
          <w:tcPr>
            <w:tcW w:type="dxa" w:w="2160"/>
          </w:tcPr>
          <w:p>
            <w:r/>
            <w:r>
              <w:t>5 years</w:t>
            </w:r>
          </w:p>
        </w:tc>
        <w:tc>
          <w:tcPr>
            <w:tcW w:type="dxa" w:w="2160"/>
          </w:tcPr>
          <w:p>
            <w:r/>
            <w:r>
              <w:t>CHF 50,000-100,000</w:t>
            </w:r>
          </w:p>
        </w:tc>
      </w:tr>
      <w:tr>
        <w:tc>
          <w:tcPr>
            <w:tcW w:type="dxa" w:w="2160"/>
          </w:tcPr>
          <w:p>
            <w:r/>
            <w:r>
              <w:rPr>
                <w:b/>
              </w:rPr>
              <w:t>Singapore</w:t>
            </w:r>
          </w:p>
        </w:tc>
        <w:tc>
          <w:tcPr>
            <w:tcW w:type="dxa" w:w="2160"/>
          </w:tcPr>
          <w:p>
            <w:r/>
            <w:r>
              <w:t>Yes (IRAS)</w:t>
            </w:r>
          </w:p>
        </w:tc>
        <w:tc>
          <w:tcPr>
            <w:tcW w:type="dxa" w:w="2160"/>
          </w:tcPr>
          <w:p>
            <w:r/>
            <w:r>
              <w:t>5 years</w:t>
            </w:r>
          </w:p>
        </w:tc>
        <w:tc>
          <w:tcPr>
            <w:tcW w:type="dxa" w:w="2160"/>
          </w:tcPr>
          <w:p>
            <w:r/>
            <w:r>
              <w:t>SGD 25,000-50,000</w:t>
            </w:r>
          </w:p>
        </w:tc>
      </w:tr>
      <w:tr>
        <w:tc>
          <w:tcPr>
            <w:tcW w:type="dxa" w:w="2160"/>
          </w:tcPr>
          <w:p>
            <w:r/>
            <w:r>
              <w:rPr>
                <w:b/>
              </w:rPr>
              <w:t>Netherlands</w:t>
            </w:r>
          </w:p>
        </w:tc>
        <w:tc>
          <w:tcPr>
            <w:tcW w:type="dxa" w:w="2160"/>
          </w:tcPr>
          <w:p>
            <w:r/>
            <w:r>
              <w:t>Yes (robust)</w:t>
            </w:r>
          </w:p>
        </w:tc>
        <w:tc>
          <w:tcPr>
            <w:tcW w:type="dxa" w:w="2160"/>
          </w:tcPr>
          <w:p>
            <w:r/>
            <w:r>
              <w:t>4-5 years</w:t>
            </w:r>
          </w:p>
        </w:tc>
        <w:tc>
          <w:tcPr>
            <w:tcW w:type="dxa" w:w="2160"/>
          </w:tcPr>
          <w:p>
            <w:r/>
            <w:r>
              <w:t>€25,000-75,000</w:t>
            </w:r>
          </w:p>
        </w:tc>
      </w:tr>
      <w:tr>
        <w:tc>
          <w:tcPr>
            <w:tcW w:type="dxa" w:w="2160"/>
          </w:tcPr>
          <w:p>
            <w:r/>
            <w:r>
              <w:rPr>
                <w:b/>
              </w:rPr>
              <w:t>UK</w:t>
            </w:r>
          </w:p>
        </w:tc>
        <w:tc>
          <w:tcPr>
            <w:tcW w:type="dxa" w:w="2160"/>
          </w:tcPr>
          <w:p>
            <w:r/>
            <w:r>
              <w:t>Yes (HMRC)</w:t>
            </w:r>
          </w:p>
        </w:tc>
        <w:tc>
          <w:tcPr>
            <w:tcW w:type="dxa" w:w="2160"/>
          </w:tcPr>
          <w:p>
            <w:r/>
            <w:r>
              <w:t>5 years</w:t>
            </w:r>
          </w:p>
        </w:tc>
        <w:tc>
          <w:tcPr>
            <w:tcW w:type="dxa" w:w="2160"/>
          </w:tcPr>
          <w:p>
            <w:r/>
            <w:r>
              <w:t>£50,000-100,000</w:t>
            </w:r>
          </w:p>
        </w:tc>
      </w:tr>
    </w:tbl>
    <w:p/>
    <w:p>
      <w:r>
        <w:rPr>
          <w:b/>
        </w:rPr>
        <w:t>Benefits</w:t>
      </w:r>
      <w:r>
        <w:t>: Pre-approval of methodology, reduced audit risk, certainty for tax planning.</w:t>
      </w:r>
    </w:p>
    <w:p>
      <w:r>
        <w:t xml:space="preserve">An </w:t>
      </w:r>
      <w:r>
        <w:rPr>
          <w:b/>
        </w:rPr>
        <w:t>APA</w:t>
      </w:r>
      <w:r>
        <w:t xml:space="preserve"> is an agreement between a taxpayer and one or more tax authorities establishing the transfer pricing methodology for specified controlled transactions over a fixed period. APAs may be unilateral (one tax authority), bilateral (two tax authorities under a treaty), or multilateral (three or more tax authorities).</w:t>
      </w:r>
    </w:p>
    <w:p>
      <w:pPr>
        <w:spacing w:before="120" w:after="120"/>
        <w:pBdr>
          <w:bottom w:val="single" w:sz="6" w:space="1" w:color="auto"/>
        </w:pBdr>
      </w:pPr>
    </w:p>
    <w:p>
      <w:pPr>
        <w:pStyle w:val="Heading2"/>
      </w:pPr>
      <w:r>
        <w:t>6. Anti-Avoidance Considerations</w:t>
      </w:r>
    </w:p>
    <w:p>
      <w:pPr>
        <w:pStyle w:val="Heading3"/>
      </w:pPr>
      <w:r>
        <w:t>6.1 "Sixth Method" Rule</w:t>
      </w:r>
    </w:p>
    <w:p>
      <w:r>
        <w:t xml:space="preserve">Several </w:t>
      </w:r>
      <w:r>
        <w:rPr>
          <w:b/>
        </w:rPr>
        <w:t>resource-rich countries</w:t>
      </w:r>
      <w:r>
        <w:t xml:space="preserve"> (Nigeria, Ghana, Kenya) have introduced the </w:t>
      </w:r>
      <w:r>
        <w:rPr>
          <w:b/>
        </w:rPr>
        <w:t>"Sixth Method" rule</w:t>
      </w:r>
      <w:r>
        <w:t>, which allows tax authorities to:</w:t>
      </w:r>
    </w:p>
    <w:p>
      <w:pPr>
        <w:pStyle w:val="ListNumber"/>
      </w:pPr>
      <w:r>
        <w:rPr>
          <w:b/>
        </w:rPr>
        <w:t>Disregard intercompany transactions</w:t>
      </w:r>
      <w:r>
        <w:t xml:space="preserve"> with trading companies lacking substance</w:t>
      </w:r>
    </w:p>
    <w:p>
      <w:pPr>
        <w:pStyle w:val="ListNumber"/>
      </w:pPr>
      <w:r>
        <w:rPr>
          <w:b/>
        </w:rPr>
        <w:t>Recharacterize income</w:t>
      </w:r>
      <w:r>
        <w:t>: Treat trading profits as producing country income subject to higher tax</w:t>
      </w:r>
    </w:p>
    <w:p>
      <w:pPr>
        <w:pStyle w:val="ListNumber"/>
      </w:pPr>
      <w:r>
        <w:rPr>
          <w:b/>
        </w:rPr>
        <w:t>Apply "sixth method"</w:t>
      </w:r>
      <w:r>
        <w:t>: Use alternative valuation ignoring comparables if deemed abusive</w:t>
      </w:r>
    </w:p>
    <w:p>
      <w:r>
        <w:t>The "sixth method" refers to a transfer pricing approach beyond the five OECD-approved methods (CUP, resale price, cost plus, TNMM, profit split), permitting tax authorities to apply alternative valuations when the standard methods are deemed inappropriate or manipulated.</w:t>
      </w:r>
    </w:p>
    <w:p>
      <w:r>
        <w:rPr>
          <w:b/>
        </w:rPr>
        <w:t>Defense</w:t>
      </w:r>
      <w:r>
        <w:t>: Demonstrable economic substance in trading jurisdiction.</w:t>
      </w:r>
    </w:p>
    <w:p>
      <w:pPr>
        <w:pStyle w:val="Heading3"/>
      </w:pPr>
      <w:r>
        <w:t>6.2 EU State Aid</w:t>
      </w:r>
    </w:p>
    <w:p>
      <w:r>
        <w:t xml:space="preserve">Switzerland's historical </w:t>
      </w:r>
      <w:r>
        <w:rPr>
          <w:b/>
        </w:rPr>
        <w:t>mixed company</w:t>
      </w:r>
      <w:r>
        <w:t xml:space="preserve"> and </w:t>
      </w:r>
      <w:r>
        <w:rPr>
          <w:b/>
        </w:rPr>
        <w:t>holding company regimes</w:t>
      </w:r>
      <w:r>
        <w:t xml:space="preserve"> were challenged as </w:t>
      </w:r>
      <w:r>
        <w:rPr>
          <w:b/>
        </w:rPr>
        <w:t>harmful tax practices</w:t>
      </w:r>
      <w:r>
        <w:t>:</w:t>
      </w:r>
    </w:p>
    <w:p>
      <w:pPr>
        <w:pStyle w:val="ListBullet"/>
      </w:pPr>
      <w:r>
        <w:rPr>
          <w:b/>
        </w:rPr>
        <w:t>EU Code of Conduct Group</w:t>
      </w:r>
      <w:r>
        <w:t xml:space="preserve"> identified Swiss cantonal rulings as potential state aid</w:t>
      </w:r>
    </w:p>
    <w:p>
      <w:pPr>
        <w:pStyle w:val="ListBullet"/>
      </w:pPr>
      <w:r>
        <w:t xml:space="preserve">Switzerland </w:t>
      </w:r>
      <w:r>
        <w:rPr>
          <w:b/>
        </w:rPr>
        <w:t>abolished special regimes</w:t>
      </w:r>
      <w:r>
        <w:t xml:space="preserve"> (2020), replaced with </w:t>
      </w:r>
      <w:r>
        <w:rPr>
          <w:b/>
        </w:rPr>
        <w:t>uniform patent box</w:t>
      </w:r>
      <w:r>
        <w:t xml:space="preserve"> and </w:t>
      </w:r>
      <w:r>
        <w:rPr>
          <w:b/>
        </w:rPr>
        <w:t>research and development (R&amp;D) super-deduction</w:t>
      </w:r>
    </w:p>
    <w:p>
      <w:pPr>
        <w:pStyle w:val="ListBullet"/>
      </w:pPr>
      <w:r>
        <w:rPr>
          <w:b/>
        </w:rPr>
        <w:t>Transitional relief</w:t>
      </w:r>
      <w:r>
        <w:t xml:space="preserve"> expired; all companies now subject to standard rates (with OECD Pillar Two minimum 15%)</w:t>
      </w:r>
    </w:p>
    <w:p>
      <w:pPr>
        <w:pStyle w:val="Heading3"/>
      </w:pPr>
      <w:r>
        <w:t>6.3 Transfer Pricing Adjustments</w:t>
      </w:r>
    </w:p>
    <w:p>
      <w:r>
        <w:t>Tax authorities increasingly scrutinize trading companies, leading to:</w:t>
      </w:r>
    </w:p>
    <w:p>
      <w:pPr>
        <w:pStyle w:val="ListBullet"/>
      </w:pPr>
      <w:r>
        <w:rPr>
          <w:b/>
        </w:rPr>
        <w:t>Primary adjustments</w:t>
      </w:r>
      <w:r>
        <w:t>: Reallocation of profits from trading company to producing affiliate</w:t>
      </w:r>
    </w:p>
    <w:p>
      <w:pPr>
        <w:pStyle w:val="ListBullet"/>
      </w:pPr>
      <w:r>
        <w:rPr>
          <w:b/>
        </w:rPr>
        <w:t>Secondary adjustments</w:t>
      </w:r>
      <w:r>
        <w:t>: Constructive dividends from trading company to parent (triggering withholding tax)</w:t>
      </w:r>
    </w:p>
    <w:p>
      <w:pPr>
        <w:pStyle w:val="ListBullet"/>
      </w:pPr>
      <w:r>
        <w:rPr>
          <w:b/>
        </w:rPr>
        <w:t>Penalties</w:t>
      </w:r>
      <w:r>
        <w:t>: 10-50% of additional tax (varies by jurisdiction)</w:t>
      </w:r>
    </w:p>
    <w:p>
      <w:r>
        <w:rPr>
          <w:b/>
        </w:rPr>
        <w:t>Documentation requirements</w:t>
      </w:r>
      <w:r>
        <w:t>:</w:t>
      </w:r>
    </w:p>
    <w:p>
      <w:pPr>
        <w:pStyle w:val="ListBullet"/>
      </w:pPr>
      <w:r>
        <w:rPr>
          <w:b/>
        </w:rPr>
        <w:t>Master File</w:t>
      </w:r>
      <w:r>
        <w:t>: Group structure, value chain analysis, intangibles ownership</w:t>
      </w:r>
    </w:p>
    <w:p>
      <w:pPr>
        <w:pStyle w:val="ListBullet"/>
      </w:pPr>
      <w:r>
        <w:rPr>
          <w:b/>
        </w:rPr>
        <w:t>Local File</w:t>
      </w:r>
      <w:r>
        <w:t>: Detailed functional analysis, comparables, and calculations</w:t>
      </w:r>
    </w:p>
    <w:p>
      <w:pPr>
        <w:pStyle w:val="ListBullet"/>
      </w:pPr>
      <w:r>
        <w:rPr>
          <w:b/>
        </w:rPr>
        <w:t>Country-by-Country Report (CbCR)</w:t>
      </w:r>
      <w:r>
        <w:t>: Revenue, profit, tax, and headcount by jurisdiction (for groups &gt;€750M)</w:t>
      </w:r>
    </w:p>
    <w:p>
      <w:pPr>
        <w:spacing w:before="120" w:after="120"/>
        <w:pBdr>
          <w:bottom w:val="single" w:sz="6" w:space="1" w:color="auto"/>
        </w:pBdr>
      </w:pPr>
    </w:p>
    <w:p>
      <w:pPr>
        <w:pStyle w:val="Heading2"/>
      </w:pPr>
      <w:r>
        <w:t>7. Worked Examples</w:t>
      </w:r>
    </w:p>
    <w:p>
      <w:r>
        <w:t>═══════════════════════════════════════════</w:t>
      </w:r>
    </w:p>
    <w:p>
      <w:r>
        <w:rPr>
          <w:b/>
        </w:rPr>
        <w:t>WORKED EXAMPLE 1: Swiss Trading Company Establishment</w:t>
      </w:r>
    </w:p>
    <w:p>
      <w:r>
        <w:t>═══════════════════════════════════════════</w:t>
      </w:r>
    </w:p>
    <w:p>
      <w:r>
        <w:rPr>
          <w:b/>
        </w:rPr>
        <w:t>Facts:</w:t>
      </w:r>
    </w:p>
    <w:p>
      <w:r>
        <w:t xml:space="preserve">EnergyGlobal plc, a UK-listed oil and gas company, produces 150,000 boe/d from Norwegian and UK North Sea fields. Production is sold to third-party traders (Vitol, Trafigura) at prices approximately </w:t>
      </w:r>
      <w:r>
        <w:rPr>
          <w:b/>
        </w:rPr>
        <w:t>2% below Brent benchmark</w:t>
      </w:r>
      <w:r>
        <w:t xml:space="preserve">, costing the group approximately </w:t>
      </w:r>
      <w:r>
        <w:rPr>
          <w:b/>
        </w:rPr>
        <w:t>$40 million annually</w:t>
      </w:r>
      <w:r>
        <w:t xml:space="preserve"> in foregone trading margins (based on $80/bbl average price).</w:t>
      </w:r>
    </w:p>
    <w:p>
      <w:r>
        <w:t xml:space="preserve">The Board is considering establishing a trading company in </w:t>
      </w:r>
      <w:r>
        <w:rPr>
          <w:b/>
        </w:rPr>
        <w:t>Zug, Switzerland</w:t>
      </w:r>
      <w:r>
        <w:t xml:space="preserve"> to internalize trading margins. The company would:</w:t>
      </w:r>
    </w:p>
    <w:p>
      <w:pPr>
        <w:pStyle w:val="ListBullet"/>
      </w:pPr>
      <w:r>
        <w:t>Purchase all group production at arm's length prices (Brent benchmark ± adjustments)</w:t>
      </w:r>
    </w:p>
    <w:p>
      <w:pPr>
        <w:pStyle w:val="ListBullet"/>
      </w:pPr>
      <w:r>
        <w:t>Sell to refineries and end-users at market prices</w:t>
      </w:r>
    </w:p>
    <w:p>
      <w:pPr>
        <w:pStyle w:val="ListBullet"/>
      </w:pPr>
      <w:r>
        <w:t>Employ 8 personnel (3 traders, 2 risk managers, 3 back-office)</w:t>
      </w:r>
    </w:p>
    <w:p>
      <w:pPr>
        <w:pStyle w:val="ListBullet"/>
      </w:pPr>
      <w:r>
        <w:t>Annual operating costs: CHF 5 million (personnel, office, systems)</w:t>
      </w:r>
    </w:p>
    <w:p>
      <w:r>
        <w:rPr>
          <w:b/>
        </w:rPr>
        <w:t>Required:</w:t>
      </w:r>
    </w:p>
    <w:p>
      <w:r>
        <w:t>Analyze the tax efficiency and economic viability of establishing the Swiss trading company, calculating:</w:t>
      </w:r>
    </w:p>
    <w:p>
      <w:pPr>
        <w:pStyle w:val="ListNumber"/>
      </w:pPr>
      <w:r>
        <w:t>Annual profit retained through margin internalization</w:t>
      </w:r>
    </w:p>
    <w:p>
      <w:pPr>
        <w:pStyle w:val="ListNumber"/>
      </w:pPr>
      <w:r>
        <w:t>Tax cost in Switzerland (Zug canton)</w:t>
      </w:r>
    </w:p>
    <w:p>
      <w:pPr>
        <w:pStyle w:val="ListNumber"/>
      </w:pPr>
      <w:r>
        <w:t>Comparison to current structure (sale to third-party traders)</w:t>
      </w:r>
    </w:p>
    <w:p>
      <w:pPr>
        <w:pStyle w:val="ListNumber"/>
      </w:pPr>
      <w:r>
        <w:t>Economic substance requirements and compliance considerations</w:t>
      </w:r>
    </w:p>
    <w:p>
      <w:r>
        <w:rPr>
          <w:b/>
        </w:rPr>
        <w:t>Analysis:</w:t>
      </w:r>
    </w:p>
    <w:p>
      <w:r>
        <w:rPr>
          <w:b/>
        </w:rPr>
        <w:t>Step 1: Calculate Internalized Trading Margin</w:t>
      </w:r>
    </w:p>
    <w:p>
      <w:r>
        <w:t>Current structure:</w:t>
      </w:r>
    </w:p>
    <w:p>
      <w:pPr>
        <w:pStyle w:val="ListBullet"/>
      </w:pPr>
      <w:r>
        <w:t xml:space="preserve">Annual production: 150,000 boe/d × 365 days = </w:t>
      </w:r>
      <w:r>
        <w:rPr>
          <w:b/>
        </w:rPr>
        <w:t>54.75 million boe</w:t>
      </w:r>
    </w:p>
    <w:p>
      <w:pPr>
        <w:pStyle w:val="ListBullet"/>
      </w:pPr>
      <w:r>
        <w:t>Average price: $80/bbl</w:t>
      </w:r>
    </w:p>
    <w:p>
      <w:pPr>
        <w:pStyle w:val="ListBullet"/>
      </w:pPr>
      <w:r>
        <w:t xml:space="preserve">Gross revenue (at market): 54.75M × $80 = </w:t>
      </w:r>
      <w:r>
        <w:rPr>
          <w:b/>
        </w:rPr>
        <w:t>$4.38 billion</w:t>
      </w:r>
    </w:p>
    <w:p>
      <w:pPr>
        <w:pStyle w:val="ListBullet"/>
      </w:pPr>
      <w:r>
        <w:t xml:space="preserve">Sale price to third-party traders: $4.38B × 98% = </w:t>
      </w:r>
      <w:r>
        <w:rPr>
          <w:b/>
        </w:rPr>
        <w:t>$4.29 billion</w:t>
      </w:r>
    </w:p>
    <w:p>
      <w:pPr>
        <w:pStyle w:val="ListBullet"/>
      </w:pPr>
      <w:r>
        <w:rPr>
          <w:b/>
        </w:rPr>
        <w:t>Foregone margin: $90 million</w:t>
      </w:r>
      <w:r>
        <w:t xml:space="preserve"> (approximately 2%)</w:t>
      </w:r>
    </w:p>
    <w:p>
      <w:r>
        <w:t>With Swiss trading company:</w:t>
      </w:r>
    </w:p>
    <w:p>
      <w:pPr>
        <w:pStyle w:val="ListBullet"/>
      </w:pPr>
      <w:r>
        <w:t>Trading company purchases from producing affiliates at arm's length (Brent ± adjustments)</w:t>
      </w:r>
    </w:p>
    <w:p>
      <w:pPr>
        <w:pStyle w:val="ListBullet"/>
      </w:pPr>
      <w:r>
        <w:t>Trading company sells to external customers at market prices</w:t>
      </w:r>
    </w:p>
    <w:p>
      <w:pPr>
        <w:pStyle w:val="ListBullet"/>
      </w:pPr>
      <w:r>
        <w:rPr>
          <w:b/>
        </w:rPr>
        <w:t>Trading margin captured: $90 million</w:t>
      </w:r>
      <w:r>
        <w:t xml:space="preserve"> (equal to previously foregone margin)</w:t>
      </w:r>
    </w:p>
    <w:p>
      <w:r>
        <w:rPr>
          <w:b/>
        </w:rPr>
        <w:t>Step 2: Calculate Trading Company Profit</w:t>
      </w:r>
    </w:p>
    <w:p>
      <w:pPr>
        <w:shd w:fill="F0F0F0"/>
        <w:spacing w:after="0" w:line="240" w:lineRule="auto"/>
      </w:pPr>
      <w:r>
        <w:rPr>
          <w:rFonts w:ascii="Courier New" w:hAnsi="Courier New"/>
          <w:sz w:val="20"/>
        </w:rPr>
        <w:t>Trading revenue (to external customers):        $4.38 billion</w:t>
      </w:r>
    </w:p>
    <w:p>
      <w:pPr>
        <w:shd w:fill="F0F0F0"/>
        <w:spacing w:after="0" w:line="240" w:lineRule="auto"/>
      </w:pPr>
      <w:r>
        <w:rPr>
          <w:rFonts w:ascii="Courier New" w:hAnsi="Courier New"/>
          <w:sz w:val="20"/>
        </w:rPr>
        <w:t>Less: Purchases from producing affiliates:      $4.29 billion (arm's length transfer price)</w:t>
      </w:r>
    </w:p>
    <w:p>
      <w:pPr>
        <w:shd w:fill="F0F0F0"/>
        <w:spacing w:after="0" w:line="240" w:lineRule="auto"/>
      </w:pPr>
      <w:r>
        <w:rPr>
          <w:rFonts w:ascii="Courier New" w:hAnsi="Courier New"/>
          <w:sz w:val="20"/>
        </w:rPr>
        <w:t>Gross trading margin:                           $90 million</w:t>
      </w:r>
    </w:p>
    <w:p>
      <w:pPr>
        <w:shd w:fill="F0F0F0"/>
        <w:spacing w:after="0" w:line="240" w:lineRule="auto"/>
      </w:pPr>
      <w:r>
        <w:rPr>
          <w:rFonts w:ascii="Courier New" w:hAnsi="Courier New"/>
          <w:sz w:val="20"/>
        </w:rPr>
        <w:t>Less: Operating expenses:                       $5 million (CHF 5M ÷ CHF/USD 0.91)</w:t>
      </w:r>
    </w:p>
    <w:p>
      <w:pPr>
        <w:shd w:fill="F0F0F0"/>
        <w:spacing w:after="0" w:line="240" w:lineRule="auto"/>
      </w:pPr>
      <w:r>
        <w:rPr>
          <w:rFonts w:ascii="Courier New" w:hAnsi="Courier New"/>
          <w:sz w:val="20"/>
        </w:rPr>
        <w:t>Earnings Before Interest and Tax (EBIT):        $85 million</w:t>
      </w:r>
    </w:p>
    <w:p/>
    <w:p>
      <w:r>
        <w:rPr>
          <w:b/>
        </w:rPr>
        <w:t>Step 3: Calculate Swiss Tax</w:t>
      </w:r>
    </w:p>
    <w:p>
      <w:r>
        <w:t xml:space="preserve">Zug canton effective corporate income tax rate (2025): </w:t>
      </w:r>
      <w:r>
        <w:rPr>
          <w:b/>
        </w:rPr>
        <w:t>11.85%</w:t>
      </w:r>
    </w:p>
    <w:p>
      <w:pPr>
        <w:shd w:fill="F0F0F0"/>
        <w:spacing w:after="0" w:line="240" w:lineRule="auto"/>
      </w:pPr>
      <w:r>
        <w:rPr>
          <w:rFonts w:ascii="Courier New" w:hAnsi="Courier New"/>
          <w:sz w:val="20"/>
        </w:rPr>
        <w:t>Taxable profit:                                 $85 million</w:t>
      </w:r>
    </w:p>
    <w:p>
      <w:pPr>
        <w:shd w:fill="F0F0F0"/>
        <w:spacing w:after="0" w:line="240" w:lineRule="auto"/>
      </w:pPr>
      <w:r>
        <w:rPr>
          <w:rFonts w:ascii="Courier New" w:hAnsi="Courier New"/>
          <w:sz w:val="20"/>
        </w:rPr>
        <w:t>Swiss tax (11.85%):                             $10.07 million</w:t>
      </w:r>
    </w:p>
    <w:p>
      <w:pPr>
        <w:shd w:fill="F0F0F0"/>
        <w:spacing w:after="0" w:line="240" w:lineRule="auto"/>
      </w:pPr>
      <w:r>
        <w:rPr>
          <w:rFonts w:ascii="Courier New" w:hAnsi="Courier New"/>
          <w:sz w:val="20"/>
        </w:rPr>
        <w:t>After-tax profit:                               $74.93 million</w:t>
      </w:r>
    </w:p>
    <w:p/>
    <w:p>
      <w:r>
        <w:rPr>
          <w:b/>
        </w:rPr>
        <w:t>Effective tax rate</w:t>
      </w:r>
      <w:r>
        <w:t xml:space="preserve">: 10.07 / 90 = </w:t>
      </w:r>
      <w:r>
        <w:rPr>
          <w:b/>
        </w:rPr>
        <w:t>11.2%</w:t>
      </w:r>
      <w:r>
        <w:t xml:space="preserve"> on gross trading margin</w:t>
      </w:r>
    </w:p>
    <w:p>
      <w:r>
        <w:rPr>
          <w:b/>
        </w:rPr>
        <w:t>Step 4: Compare to Alternative Structures</w:t>
      </w:r>
    </w:p>
    <w:p>
      <w:r>
        <w:rPr>
          <w:b/>
        </w:rPr>
        <w:t>Alternative 1: Direct sales by producing affiliates</w:t>
      </w:r>
    </w:p>
    <w:p>
      <w:r>
        <w:t>If producing affiliates sold directly at market prices:</w:t>
      </w:r>
    </w:p>
    <w:p>
      <w:pPr>
        <w:pStyle w:val="ListBullet"/>
      </w:pPr>
      <w:r>
        <w:t xml:space="preserve">Additional $90M profit recognized in </w:t>
      </w:r>
      <w:r>
        <w:rPr>
          <w:b/>
        </w:rPr>
        <w:t>Norway</w:t>
      </w:r>
      <w:r>
        <w:t xml:space="preserve"> and </w:t>
      </w:r>
      <w:r>
        <w:rPr>
          <w:b/>
        </w:rPr>
        <w:t>UK</w:t>
      </w:r>
    </w:p>
    <w:p>
      <w:pPr>
        <w:pStyle w:val="ListBullet"/>
      </w:pPr>
      <w:r>
        <w:t xml:space="preserve">Norway petroleum tax: </w:t>
      </w:r>
      <w:r>
        <w:rPr>
          <w:b/>
        </w:rPr>
        <w:t>78%</w:t>
      </w:r>
      <w:r>
        <w:t xml:space="preserve"> (22% corporate income tax (CIT) + 56% special petroleum tax)</w:t>
      </w:r>
    </w:p>
    <w:p>
      <w:pPr>
        <w:pStyle w:val="ListBullet"/>
      </w:pPr>
      <w:r>
        <w:t xml:space="preserve">UK petroleum tax (2024-2025): </w:t>
      </w:r>
      <w:r>
        <w:rPr>
          <w:b/>
        </w:rPr>
        <w:t>78%</w:t>
      </w:r>
      <w:r>
        <w:t xml:space="preserve"> (30% ring fence CIT + 10% supplementary charge + 38% Energy Profits Levy from November 2024)</w:t>
      </w:r>
    </w:p>
    <w:p>
      <w:pPr>
        <w:pStyle w:val="ListBullet"/>
      </w:pPr>
      <w:r>
        <w:t xml:space="preserve">Weighted average tax (assuming 60% Norway, 40% UK): (0.6 × 78%) + (0.4 × 78%) = </w:t>
      </w:r>
      <w:r>
        <w:rPr>
          <w:b/>
        </w:rPr>
        <w:t>78%</w:t>
      </w:r>
    </w:p>
    <w:p>
      <w:pPr>
        <w:shd w:fill="F0F0F0"/>
        <w:spacing w:after="0" w:line="240" w:lineRule="auto"/>
      </w:pPr>
      <w:r>
        <w:rPr>
          <w:rFonts w:ascii="Courier New" w:hAnsi="Courier New"/>
          <w:sz w:val="20"/>
        </w:rPr>
        <w:t>Additional profit:                              $90 million</w:t>
      </w:r>
    </w:p>
    <w:p>
      <w:pPr>
        <w:shd w:fill="F0F0F0"/>
        <w:spacing w:after="0" w:line="240" w:lineRule="auto"/>
      </w:pPr>
      <w:r>
        <w:rPr>
          <w:rFonts w:ascii="Courier New" w:hAnsi="Courier New"/>
          <w:sz w:val="20"/>
        </w:rPr>
        <w:t>Tax (78%):                                      $70.20 million</w:t>
      </w:r>
    </w:p>
    <w:p>
      <w:pPr>
        <w:shd w:fill="F0F0F0"/>
        <w:spacing w:after="0" w:line="240" w:lineRule="auto"/>
      </w:pPr>
      <w:r>
        <w:rPr>
          <w:rFonts w:ascii="Courier New" w:hAnsi="Courier New"/>
          <w:sz w:val="20"/>
        </w:rPr>
        <w:t>After-tax profit:                               $19.80 million</w:t>
      </w:r>
    </w:p>
    <w:p/>
    <w:p>
      <w:r>
        <w:rPr>
          <w:b/>
        </w:rPr>
        <w:t>Benefit of Swiss trading company</w:t>
      </w:r>
      <w:r>
        <w:t>:</w:t>
      </w:r>
    </w:p>
    <w:p>
      <w:pPr>
        <w:pStyle w:val="ListBullet"/>
      </w:pPr>
      <w:r>
        <w:t xml:space="preserve">After-tax profit with Swiss structure: </w:t>
      </w:r>
      <w:r>
        <w:rPr>
          <w:b/>
        </w:rPr>
        <w:t>$74.93M</w:t>
      </w:r>
    </w:p>
    <w:p>
      <w:pPr>
        <w:pStyle w:val="ListBullet"/>
      </w:pPr>
      <w:r>
        <w:t xml:space="preserve">After-tax profit with direct sales: </w:t>
      </w:r>
      <w:r>
        <w:rPr>
          <w:b/>
        </w:rPr>
        <w:t>$19.80M</w:t>
      </w:r>
    </w:p>
    <w:p>
      <w:pPr>
        <w:pStyle w:val="ListBullet"/>
      </w:pPr>
      <w:r>
        <w:rPr>
          <w:b/>
        </w:rPr>
        <w:t>Additional after-tax profit: $55.13 million</w:t>
      </w:r>
    </w:p>
    <w:p>
      <w:r>
        <w:rPr>
          <w:b/>
        </w:rPr>
        <w:t>Alternative 2: Sale to third-party traders (current)</w:t>
      </w:r>
    </w:p>
    <w:p>
      <w:pPr>
        <w:pStyle w:val="ListBullet"/>
      </w:pPr>
      <w:r>
        <w:t xml:space="preserve">Trading margin foregone: </w:t>
      </w:r>
      <w:r>
        <w:rPr>
          <w:b/>
        </w:rPr>
        <w:t>$90M</w:t>
      </w:r>
      <w:r>
        <w:t xml:space="preserve"> (captured by external traders)</w:t>
      </w:r>
    </w:p>
    <w:p>
      <w:pPr>
        <w:pStyle w:val="ListBullet"/>
      </w:pPr>
      <w:r>
        <w:t>No additional tax to EnergyGlobal</w:t>
      </w:r>
    </w:p>
    <w:p>
      <w:pPr>
        <w:pStyle w:val="ListBullet"/>
      </w:pPr>
      <w:r>
        <w:t xml:space="preserve">After-tax benefit: </w:t>
      </w:r>
      <w:r>
        <w:rPr>
          <w:b/>
        </w:rPr>
        <w:t>$0</w:t>
      </w:r>
    </w:p>
    <w:p>
      <w:r>
        <w:rPr>
          <w:b/>
        </w:rPr>
        <w:t>Step 5: Economic Substance Assessment</w:t>
      </w:r>
    </w:p>
    <w:p>
      <w:r>
        <w:rPr>
          <w:b/>
        </w:rPr>
        <w:t>Personnel</w:t>
      </w:r>
      <w:r>
        <w:t>:</w:t>
      </w:r>
    </w:p>
    <w:p>
      <w:pPr>
        <w:pStyle w:val="ListBullet"/>
      </w:pPr>
      <w:r>
        <w:t>3 senior traders (decision-making authority, P&amp;L responsibility) ✓</w:t>
      </w:r>
    </w:p>
    <w:p>
      <w:pPr>
        <w:pStyle w:val="ListBullet"/>
      </w:pPr>
      <w:r>
        <w:t>2 risk managers (monitoring positions, hedging) ✓</w:t>
      </w:r>
    </w:p>
    <w:p>
      <w:pPr>
        <w:pStyle w:val="ListBullet"/>
      </w:pPr>
      <w:r>
        <w:t>3 back-office (settlements, confirmations, accounting) ✓</w:t>
      </w:r>
    </w:p>
    <w:p>
      <w:pPr>
        <w:pStyle w:val="ListBullet"/>
      </w:pPr>
      <w:r>
        <w:rPr>
          <w:b/>
        </w:rPr>
        <w:t>Total: 8 employees</w:t>
      </w:r>
      <w:r>
        <w:t xml:space="preserve"> — adequate for 54.75M boe/d trading volume</w:t>
      </w:r>
    </w:p>
    <w:p>
      <w:r>
        <w:rPr>
          <w:b/>
        </w:rPr>
        <w:t>Physical presence</w:t>
      </w:r>
      <w:r>
        <w:t>:</w:t>
      </w:r>
    </w:p>
    <w:p>
      <w:pPr>
        <w:pStyle w:val="ListBullet"/>
      </w:pPr>
      <w:r>
        <w:t>Office in Zug with trading infrastructure (Bloomberg, risk systems) ✓</w:t>
      </w:r>
    </w:p>
    <w:p>
      <w:pPr>
        <w:pStyle w:val="ListBullet"/>
      </w:pPr>
      <w:r>
        <w:t>Proportionate to headcount and activities ✓</w:t>
      </w:r>
    </w:p>
    <w:p>
      <w:r>
        <w:rPr>
          <w:b/>
        </w:rPr>
        <w:t>Decision-making</w:t>
      </w:r>
      <w:r>
        <w:t>:</w:t>
      </w:r>
    </w:p>
    <w:p>
      <w:pPr>
        <w:pStyle w:val="ListBullet"/>
      </w:pPr>
      <w:r>
        <w:t>Board meetings in Zug ✓</w:t>
      </w:r>
    </w:p>
    <w:p>
      <w:pPr>
        <w:pStyle w:val="ListBullet"/>
      </w:pPr>
      <w:r>
        <w:t>Trading mandates approved by Swiss-based management ✓</w:t>
      </w:r>
    </w:p>
    <w:p>
      <w:pPr>
        <w:pStyle w:val="ListBullet"/>
      </w:pPr>
      <w:r>
        <w:t>Risk limits and hedging decisions made locally ✓</w:t>
      </w:r>
    </w:p>
    <w:p>
      <w:r>
        <w:rPr>
          <w:b/>
        </w:rPr>
        <w:t>Core income-generating activities</w:t>
      </w:r>
      <w:r>
        <w:t>:</w:t>
      </w:r>
    </w:p>
    <w:p>
      <w:pPr>
        <w:pStyle w:val="ListBullet"/>
      </w:pPr>
      <w:r>
        <w:t>Trade execution (buying from producing affiliates, selling to customers) ✓</w:t>
      </w:r>
    </w:p>
    <w:p>
      <w:pPr>
        <w:pStyle w:val="ListBullet"/>
      </w:pPr>
      <w:r>
        <w:t>Pricing (applying Brent benchmark with adjustments) ✓</w:t>
      </w:r>
    </w:p>
    <w:p>
      <w:pPr>
        <w:pStyle w:val="ListBullet"/>
      </w:pPr>
      <w:r>
        <w:t>Risk management (hedging price exposure) ✓</w:t>
      </w:r>
    </w:p>
    <w:p>
      <w:pPr>
        <w:pStyle w:val="ListBullet"/>
      </w:pPr>
      <w:r>
        <w:t>Logistics (arranging shipping, storage) ✓</w:t>
      </w:r>
    </w:p>
    <w:p>
      <w:r>
        <w:rPr>
          <w:b/>
        </w:rPr>
        <w:t>Third-party business</w:t>
      </w:r>
      <w:r>
        <w:t>:</w:t>
      </w:r>
    </w:p>
    <w:p>
      <w:pPr>
        <w:pStyle w:val="ListBullet"/>
      </w:pPr>
      <w:r>
        <w:t>Initially 100% intra-group (purchases from producing affiliates)</w:t>
      </w:r>
    </w:p>
    <w:p>
      <w:pPr>
        <w:pStyle w:val="ListBullet"/>
      </w:pPr>
      <w:r>
        <w:t xml:space="preserve">Recommendation: Pursue </w:t>
      </w:r>
      <w:r>
        <w:rPr>
          <w:b/>
        </w:rPr>
        <w:t>10-20% third-party trading</w:t>
      </w:r>
      <w:r>
        <w:t xml:space="preserve"> (purchasing from unrelated producers or selling to new customers) to strengthen commercial substance</w:t>
      </w:r>
    </w:p>
    <w:p>
      <w:r>
        <w:rPr>
          <w:b/>
        </w:rPr>
        <w:t>Step 6: Transfer Pricing Defense</w:t>
      </w:r>
    </w:p>
    <w:p>
      <w:r>
        <w:rPr>
          <w:b/>
        </w:rPr>
        <w:t>Method</w:t>
      </w:r>
      <w:r>
        <w:t>: Comparable Uncontrolled Price (CUP)</w:t>
      </w:r>
    </w:p>
    <w:p>
      <w:pPr>
        <w:pStyle w:val="ListBullet"/>
      </w:pPr>
      <w:r>
        <w:t xml:space="preserve">Producing affiliates sell to trading company at </w:t>
      </w:r>
      <w:r>
        <w:rPr>
          <w:b/>
        </w:rPr>
        <w:t>Brent benchmark</w:t>
      </w:r>
      <w:r>
        <w:t xml:space="preserve"> ± adjustments (quality, location)</w:t>
      </w:r>
    </w:p>
    <w:p>
      <w:pPr>
        <w:pStyle w:val="ListBullet"/>
      </w:pPr>
      <w:r>
        <w:t>Adjustments documented based on published differentials (Platts, Argus)</w:t>
      </w:r>
    </w:p>
    <w:p>
      <w:pPr>
        <w:pStyle w:val="ListBullet"/>
      </w:pPr>
      <w:r>
        <w:t>Quarterly or monthly pricing based on average Brent</w:t>
      </w:r>
    </w:p>
    <w:p>
      <w:r>
        <w:rPr>
          <w:b/>
        </w:rPr>
        <w:t>Trading company margin</w:t>
      </w:r>
      <w:r>
        <w:t xml:space="preserve">: $90M / $4.29B = </w:t>
      </w:r>
      <w:r>
        <w:rPr>
          <w:b/>
        </w:rPr>
        <w:t>2.1%</w:t>
      </w:r>
      <w:r>
        <w:t xml:space="preserve"> markup on purchases</w:t>
      </w:r>
    </w:p>
    <w:p>
      <w:pPr>
        <w:pStyle w:val="ListBullet"/>
      </w:pPr>
      <w:r>
        <w:t>Defensible as arm's length based on functions, assets, and risks</w:t>
      </w:r>
    </w:p>
    <w:p>
      <w:pPr>
        <w:pStyle w:val="ListBullet"/>
      </w:pPr>
      <w:r>
        <w:t>Comparable to independent trading companies (limited public data, but industry estimates 1-3%)</w:t>
      </w:r>
    </w:p>
    <w:p>
      <w:r>
        <w:rPr>
          <w:b/>
        </w:rPr>
        <w:t>Step 7: OECD Pillar Two Impact</w:t>
      </w:r>
    </w:p>
    <w:p>
      <w:r>
        <w:t xml:space="preserve">EnergyGlobal plc consolidated revenue: </w:t>
      </w:r>
      <w:r>
        <w:rPr>
          <w:b/>
        </w:rPr>
        <w:t>$8 billion</w:t>
      </w:r>
      <w:r>
        <w:t xml:space="preserve"> (exceeds €750M threshold)</w:t>
      </w:r>
    </w:p>
    <w:p>
      <w:r>
        <w:rPr>
          <w:b/>
        </w:rPr>
        <w:t>GloBE minimum tax</w:t>
      </w:r>
      <w:r>
        <w:t>: 15%</w:t>
      </w:r>
    </w:p>
    <w:p>
      <w:r>
        <w:t xml:space="preserve">Current Swiss effective tax rate: </w:t>
      </w:r>
      <w:r>
        <w:rPr>
          <w:b/>
        </w:rPr>
        <w:t>11.85%</w:t>
      </w:r>
    </w:p>
    <w:p>
      <w:r>
        <w:rPr>
          <w:b/>
        </w:rPr>
        <w:t>Top-up tax required</w:t>
      </w:r>
      <w:r>
        <w:t xml:space="preserve">: 15% - 11.85% = </w:t>
      </w:r>
      <w:r>
        <w:rPr>
          <w:b/>
        </w:rPr>
        <w:t>3.15%</w:t>
      </w:r>
    </w:p>
    <w:p>
      <w:pPr>
        <w:shd w:fill="F0F0F0"/>
        <w:spacing w:after="0" w:line="240" w:lineRule="auto"/>
      </w:pPr>
      <w:r>
        <w:rPr>
          <w:rFonts w:ascii="Courier New" w:hAnsi="Courier New"/>
          <w:sz w:val="20"/>
        </w:rPr>
        <w:t>Top-up tax:                                     $85M × 3.15% = $2.68 million</w:t>
      </w:r>
    </w:p>
    <w:p>
      <w:pPr>
        <w:shd w:fill="F0F0F0"/>
        <w:spacing w:after="0" w:line="240" w:lineRule="auto"/>
      </w:pPr>
      <w:r>
        <w:rPr>
          <w:rFonts w:ascii="Courier New" w:hAnsi="Courier New"/>
          <w:sz w:val="20"/>
        </w:rPr>
        <w:t>Total tax (Swiss + top-up):                     $10.07M + $2.68M = $12.75 million</w:t>
      </w:r>
    </w:p>
    <w:p>
      <w:pPr>
        <w:shd w:fill="F0F0F0"/>
        <w:spacing w:after="0" w:line="240" w:lineRule="auto"/>
      </w:pPr>
      <w:r>
        <w:rPr>
          <w:rFonts w:ascii="Courier New" w:hAnsi="Courier New"/>
          <w:sz w:val="20"/>
        </w:rPr>
        <w:t>Effective rate:                                 15.0%</w:t>
      </w:r>
    </w:p>
    <w:p>
      <w:pPr>
        <w:shd w:fill="F0F0F0"/>
        <w:spacing w:after="0" w:line="240" w:lineRule="auto"/>
      </w:pPr>
      <w:r>
        <w:rPr>
          <w:rFonts w:ascii="Courier New" w:hAnsi="Courier New"/>
          <w:sz w:val="20"/>
        </w:rPr>
        <w:t>After-tax profit (with Pillar Two):             $85M - $12.75M = $72.25 million</w:t>
      </w:r>
    </w:p>
    <w:p/>
    <w:p>
      <w:r>
        <w:rPr>
          <w:b/>
        </w:rPr>
        <w:t>Revised benefit vs. direct sales</w:t>
      </w:r>
      <w:r>
        <w:t>:</w:t>
      </w:r>
    </w:p>
    <w:p>
      <w:pPr>
        <w:pStyle w:val="ListBullet"/>
      </w:pPr>
      <w:r>
        <w:t xml:space="preserve">After-tax profit with Swiss structure (Pillar Two): </w:t>
      </w:r>
      <w:r>
        <w:rPr>
          <w:b/>
        </w:rPr>
        <w:t>$72.25M</w:t>
      </w:r>
    </w:p>
    <w:p>
      <w:pPr>
        <w:pStyle w:val="ListBullet"/>
      </w:pPr>
      <w:r>
        <w:t xml:space="preserve">After-tax profit with direct sales: </w:t>
      </w:r>
      <w:r>
        <w:rPr>
          <w:b/>
        </w:rPr>
        <w:t>$19.80M</w:t>
      </w:r>
    </w:p>
    <w:p>
      <w:pPr>
        <w:pStyle w:val="ListBullet"/>
      </w:pPr>
      <w:r>
        <w:rPr>
          <w:b/>
        </w:rPr>
        <w:t>Additional after-tax profit: $52.45 million</w:t>
      </w:r>
    </w:p>
    <w:p>
      <w:r>
        <w:rPr>
          <w:b/>
        </w:rPr>
        <w:t>Conclusion:</w:t>
      </w:r>
    </w:p>
    <w:p>
      <w:r>
        <w:t xml:space="preserve">Establishing a Swiss trading company in Zug is highly economically viable, generating </w:t>
      </w:r>
      <w:r>
        <w:rPr>
          <w:b/>
        </w:rPr>
        <w:t>$52.45 million additional after-tax profit</w:t>
      </w:r>
      <w:r>
        <w:t xml:space="preserve"> annually (after OECD Pillar Two top-up tax). The structure is defensible provided:</w:t>
      </w:r>
    </w:p>
    <w:p>
      <w:pPr>
        <w:pStyle w:val="ListNumber"/>
      </w:pPr>
      <w:r>
        <w:rPr>
          <w:b/>
        </w:rPr>
        <w:t>Economic substance</w:t>
      </w:r>
      <w:r>
        <w:t xml:space="preserve"> requirements are met (8 employees, physical presence, local decision-making)</w:t>
      </w:r>
    </w:p>
    <w:p>
      <w:pPr>
        <w:pStyle w:val="ListNumber"/>
      </w:pPr>
      <w:r>
        <w:rPr>
          <w:b/>
        </w:rPr>
        <w:t>Transfer pricing</w:t>
      </w:r>
      <w:r>
        <w:t xml:space="preserve"> is documented using CUP method with published benchmarks</w:t>
      </w:r>
    </w:p>
    <w:p>
      <w:pPr>
        <w:pStyle w:val="ListNumber"/>
      </w:pPr>
      <w:r>
        <w:rPr>
          <w:b/>
        </w:rPr>
        <w:t>Third-party trading</w:t>
      </w:r>
      <w:r>
        <w:t xml:space="preserve"> (10-20% of volume) is pursued to strengthen commercial rationale</w:t>
      </w:r>
    </w:p>
    <w:p>
      <w:pPr>
        <w:pStyle w:val="ListNumber"/>
      </w:pPr>
      <w:r>
        <w:rPr>
          <w:b/>
        </w:rPr>
        <w:t>OECD Pillar Two compliance</w:t>
      </w:r>
      <w:r>
        <w:t xml:space="preserve"> (15% minimum tax) is maintained through top-up tax payment</w:t>
      </w:r>
    </w:p>
    <w:p>
      <w:r>
        <w:t xml:space="preserve">The </w:t>
      </w:r>
      <w:r>
        <w:rPr>
          <w:b/>
        </w:rPr>
        <w:t>effective tax rate</w:t>
      </w:r>
      <w:r>
        <w:t xml:space="preserve"> (15% with Pillar Two) is substantially lower than the </w:t>
      </w:r>
      <w:r>
        <w:rPr>
          <w:b/>
        </w:rPr>
        <w:t>78%</w:t>
      </w:r>
      <w:r>
        <w:t xml:space="preserve"> rate on direct sales from producing affiliates, justifying the establishment and ongoing costs (CHF 5M annually).</w:t>
      </w:r>
    </w:p>
    <w:p>
      <w:r>
        <w:t>═══════════════════════════════════════════</w:t>
      </w:r>
    </w:p>
    <w:p>
      <w:pPr>
        <w:spacing w:before="120" w:after="120"/>
        <w:pBdr>
          <w:bottom w:val="single" w:sz="6" w:space="1" w:color="auto"/>
        </w:pBdr>
      </w:pPr>
    </w:p>
    <w:p>
      <w:r>
        <w:t>═══════════════════════════════════════════</w:t>
      </w:r>
    </w:p>
    <w:p>
      <w:r>
        <w:rPr>
          <w:b/>
        </w:rPr>
        <w:t>WORKED EXAMPLE 2: Singapore vs. Switzerland Trading Company Comparison</w:t>
      </w:r>
    </w:p>
    <w:p>
      <w:r>
        <w:t>═══════════════════════════════════════════</w:t>
      </w:r>
    </w:p>
    <w:p>
      <w:r>
        <w:rPr>
          <w:b/>
        </w:rPr>
        <w:t>Facts:</w:t>
      </w:r>
    </w:p>
    <w:p>
      <w:r>
        <w:t>AsiaEnergy Ltd., a Singapore-listed oil and gas company, produces 80,000 boe/d from Indonesian and Malaysian fields. The company is considering establishing a trading company to internalize trading margins and optimize regional logistics.</w:t>
      </w:r>
    </w:p>
    <w:p>
      <w:r>
        <w:t>Two jurisdictions are under consideration:</w:t>
      </w:r>
    </w:p>
    <w:p>
      <w:r>
        <w:rPr>
          <w:b/>
        </w:rPr>
        <w:t>Option 1: Singapore (GTP Tier 1)</w:t>
      </w:r>
    </w:p>
    <w:p>
      <w:pPr>
        <w:pStyle w:val="ListBullet"/>
      </w:pPr>
      <w:r>
        <w:t xml:space="preserve">Concessionary tax rate: </w:t>
      </w:r>
      <w:r>
        <w:rPr>
          <w:b/>
        </w:rPr>
        <w:t>5%</w:t>
      </w:r>
    </w:p>
    <w:p>
      <w:pPr>
        <w:pStyle w:val="ListBullet"/>
      </w:pPr>
      <w:r>
        <w:t>Estimated establishment cost: SGD 500,000</w:t>
      </w:r>
    </w:p>
    <w:p>
      <w:pPr>
        <w:pStyle w:val="ListBullet"/>
      </w:pPr>
      <w:r>
        <w:t>Annual operating cost: SGD 8 million (12 employees, office, systems)</w:t>
      </w:r>
    </w:p>
    <w:p>
      <w:r>
        <w:rPr>
          <w:b/>
        </w:rPr>
        <w:t>Option 2: Switzerland (Zug)</w:t>
      </w:r>
    </w:p>
    <w:p>
      <w:pPr>
        <w:pStyle w:val="ListBullet"/>
      </w:pPr>
      <w:r>
        <w:t xml:space="preserve">Effective tax rate: </w:t>
      </w:r>
      <w:r>
        <w:rPr>
          <w:b/>
        </w:rPr>
        <w:t>15%</w:t>
      </w:r>
      <w:r>
        <w:t xml:space="preserve"> (with OECD Pillar Two top-up tax)</w:t>
      </w:r>
    </w:p>
    <w:p>
      <w:pPr>
        <w:pStyle w:val="ListBullet"/>
      </w:pPr>
      <w:r>
        <w:t>Estimated establishment cost: CHF 300,000</w:t>
      </w:r>
    </w:p>
    <w:p>
      <w:pPr>
        <w:pStyle w:val="ListBullet"/>
      </w:pPr>
      <w:r>
        <w:t>Annual operating cost: CHF 6 million (8 employees, office, systems)</w:t>
      </w:r>
    </w:p>
    <w:p>
      <w:r>
        <w:rPr>
          <w:b/>
        </w:rPr>
        <w:t>Assumptions:</w:t>
      </w:r>
    </w:p>
    <w:p>
      <w:pPr>
        <w:pStyle w:val="ListBullet"/>
      </w:pPr>
      <w:r>
        <w:t xml:space="preserve">Annual trading margin captured: </w:t>
      </w:r>
      <w:r>
        <w:rPr>
          <w:b/>
        </w:rPr>
        <w:t>$60 million</w:t>
      </w:r>
      <w:r>
        <w:t xml:space="preserve"> (current 2.5% foregone margin)</w:t>
      </w:r>
    </w:p>
    <w:p>
      <w:pPr>
        <w:pStyle w:val="ListBullet"/>
      </w:pPr>
      <w:r>
        <w:t xml:space="preserve">AsiaEnergy consolidated revenue: </w:t>
      </w:r>
      <w:r>
        <w:rPr>
          <w:b/>
        </w:rPr>
        <w:t>$5 billion</w:t>
      </w:r>
      <w:r>
        <w:t xml:space="preserve"> (exceeds €750M threshold for Pillar Two)</w:t>
      </w:r>
    </w:p>
    <w:p>
      <w:pPr>
        <w:pStyle w:val="ListBullet"/>
      </w:pPr>
      <w:r>
        <w:t xml:space="preserve">Producing affiliates in Indonesia and Malaysia subject to </w:t>
      </w:r>
      <w:r>
        <w:rPr>
          <w:b/>
        </w:rPr>
        <w:t>40-50% combined tax rates</w:t>
      </w:r>
      <w:r>
        <w:t xml:space="preserve"> (CIT + petroleum taxes)</w:t>
      </w:r>
    </w:p>
    <w:p>
      <w:pPr>
        <w:pStyle w:val="ListBullet"/>
      </w:pPr>
      <w:r>
        <w:t>Exchange rates: SGD/USD 1.35, CHF/USD 0.91</w:t>
      </w:r>
    </w:p>
    <w:p>
      <w:r>
        <w:rPr>
          <w:b/>
        </w:rPr>
        <w:t>Required:</w:t>
      </w:r>
    </w:p>
    <w:p>
      <w:r>
        <w:t>Compare the two options, analyzing:</w:t>
      </w:r>
    </w:p>
    <w:p>
      <w:pPr>
        <w:pStyle w:val="ListNumber"/>
      </w:pPr>
      <w:r>
        <w:t>After-tax profit in each jurisdiction</w:t>
      </w:r>
    </w:p>
    <w:p>
      <w:pPr>
        <w:pStyle w:val="ListNumber"/>
      </w:pPr>
      <w:r>
        <w:t>Economic substance requirements and ease of compliance</w:t>
      </w:r>
    </w:p>
    <w:p>
      <w:pPr>
        <w:pStyle w:val="ListNumber"/>
      </w:pPr>
      <w:r>
        <w:t>Treaty network and dividend repatriation costs</w:t>
      </w:r>
    </w:p>
    <w:p>
      <w:pPr>
        <w:pStyle w:val="ListNumber"/>
      </w:pPr>
      <w:r>
        <w:t>Strategic considerations (proximity to operations, market access, regulatory environment)</w:t>
      </w:r>
    </w:p>
    <w:p>
      <w:r>
        <w:rPr>
          <w:b/>
        </w:rPr>
        <w:t>Analysis:</w:t>
      </w:r>
    </w:p>
    <w:p>
      <w:r>
        <w:rPr>
          <w:b/>
        </w:rPr>
        <w:t>Step 1: Calculate After-Tax Profit</w:t>
      </w:r>
    </w:p>
    <w:p>
      <w:r>
        <w:rPr>
          <w:b/>
        </w:rPr>
        <w:t>Option 1: Singapore (GTP Tier 1)</w:t>
      </w:r>
    </w:p>
    <w:p>
      <w:pPr>
        <w:shd w:fill="F0F0F0"/>
        <w:spacing w:after="0" w:line="240" w:lineRule="auto"/>
      </w:pPr>
      <w:r>
        <w:rPr>
          <w:rFonts w:ascii="Courier New" w:hAnsi="Courier New"/>
          <w:sz w:val="20"/>
        </w:rPr>
        <w:t>Trading margin captured:                        $60 million</w:t>
      </w:r>
    </w:p>
    <w:p>
      <w:pPr>
        <w:shd w:fill="F0F0F0"/>
        <w:spacing w:after="0" w:line="240" w:lineRule="auto"/>
      </w:pPr>
      <w:r>
        <w:rPr>
          <w:rFonts w:ascii="Courier New" w:hAnsi="Courier New"/>
          <w:sz w:val="20"/>
        </w:rPr>
        <w:t>Less: Operating expenses:                       $8M ÷ 1.35 = $5.93 million</w:t>
      </w:r>
    </w:p>
    <w:p>
      <w:pPr>
        <w:shd w:fill="F0F0F0"/>
        <w:spacing w:after="0" w:line="240" w:lineRule="auto"/>
      </w:pPr>
      <w:r>
        <w:rPr>
          <w:rFonts w:ascii="Courier New" w:hAnsi="Courier New"/>
          <w:sz w:val="20"/>
        </w:rPr>
        <w:t>Earnings Before Tax:                            $54.07 million</w:t>
      </w:r>
    </w:p>
    <w:p>
      <w:pPr>
        <w:shd w:fill="F0F0F0"/>
        <w:spacing w:after="0" w:line="240" w:lineRule="auto"/>
      </w:pPr>
      <w:r>
        <w:rPr>
          <w:rFonts w:ascii="Courier New" w:hAnsi="Courier New"/>
          <w:sz w:val="20"/>
        </w:rPr>
        <w:t>Singapore tax (5% GTP rate):                    $2.70 million</w:t>
      </w:r>
    </w:p>
    <w:p>
      <w:pPr>
        <w:shd w:fill="F0F0F0"/>
        <w:spacing w:after="0" w:line="240" w:lineRule="auto"/>
      </w:pPr>
      <w:r>
        <w:rPr>
          <w:rFonts w:ascii="Courier New" w:hAnsi="Courier New"/>
          <w:sz w:val="20"/>
        </w:rPr>
        <w:t>After-tax profit:                               $51.37 million</w:t>
      </w:r>
    </w:p>
    <w:p/>
    <w:p>
      <w:r>
        <w:rPr>
          <w:b/>
        </w:rPr>
        <w:t>Effective tax rate</w:t>
      </w:r>
      <w:r>
        <w:t xml:space="preserve">: 2.70 / 60 = </w:t>
      </w:r>
      <w:r>
        <w:rPr>
          <w:b/>
        </w:rPr>
        <w:t>4.5%</w:t>
      </w:r>
      <w:r>
        <w:t xml:space="preserve"> on gross margin</w:t>
      </w:r>
    </w:p>
    <w:p>
      <w:r>
        <w:rPr>
          <w:b/>
        </w:rPr>
        <w:t>Option 2: Switzerland (Zug with Pillar Two)</w:t>
      </w:r>
    </w:p>
    <w:p>
      <w:pPr>
        <w:shd w:fill="F0F0F0"/>
        <w:spacing w:after="0" w:line="240" w:lineRule="auto"/>
      </w:pPr>
      <w:r>
        <w:rPr>
          <w:rFonts w:ascii="Courier New" w:hAnsi="Courier New"/>
          <w:sz w:val="20"/>
        </w:rPr>
        <w:t>Trading margin captured:                        $60 million</w:t>
      </w:r>
    </w:p>
    <w:p>
      <w:pPr>
        <w:shd w:fill="F0F0F0"/>
        <w:spacing w:after="0" w:line="240" w:lineRule="auto"/>
      </w:pPr>
      <w:r>
        <w:rPr>
          <w:rFonts w:ascii="Courier New" w:hAnsi="Courier New"/>
          <w:sz w:val="20"/>
        </w:rPr>
        <w:t>Less: Operating expenses:                       CHF 6M ÷ 0.91 = $6.59 million</w:t>
      </w:r>
    </w:p>
    <w:p>
      <w:pPr>
        <w:shd w:fill="F0F0F0"/>
        <w:spacing w:after="0" w:line="240" w:lineRule="auto"/>
      </w:pPr>
      <w:r>
        <w:rPr>
          <w:rFonts w:ascii="Courier New" w:hAnsi="Courier New"/>
          <w:sz w:val="20"/>
        </w:rPr>
        <w:t>Earnings Before Tax:                            $53.41 million</w:t>
      </w:r>
    </w:p>
    <w:p>
      <w:pPr>
        <w:shd w:fill="F0F0F0"/>
        <w:spacing w:after="0" w:line="240" w:lineRule="auto"/>
      </w:pPr>
      <w:r>
        <w:rPr>
          <w:rFonts w:ascii="Courier New" w:hAnsi="Courier New"/>
          <w:sz w:val="20"/>
        </w:rPr>
        <w:t>Swiss tax (15% with Pillar Two top-up):         $8.01 million</w:t>
      </w:r>
    </w:p>
    <w:p>
      <w:pPr>
        <w:shd w:fill="F0F0F0"/>
        <w:spacing w:after="0" w:line="240" w:lineRule="auto"/>
      </w:pPr>
      <w:r>
        <w:rPr>
          <w:rFonts w:ascii="Courier New" w:hAnsi="Courier New"/>
          <w:sz w:val="20"/>
        </w:rPr>
        <w:t>After-tax profit:                               $45.40 million</w:t>
      </w:r>
    </w:p>
    <w:p/>
    <w:p>
      <w:r>
        <w:rPr>
          <w:b/>
        </w:rPr>
        <w:t>Effective tax rate</w:t>
      </w:r>
      <w:r>
        <w:t xml:space="preserve">: 8.01 / 60 = </w:t>
      </w:r>
      <w:r>
        <w:rPr>
          <w:b/>
        </w:rPr>
        <w:t>13.4%</w:t>
      </w:r>
      <w:r>
        <w:t xml:space="preserve"> on gross margin</w:t>
      </w:r>
    </w:p>
    <w:p>
      <w:r>
        <w:rPr>
          <w:b/>
        </w:rPr>
        <w:t>Comparison:</w:t>
      </w:r>
    </w:p>
    <w:p>
      <w:pPr>
        <w:pStyle w:val="ListBullet"/>
      </w:pPr>
      <w:r>
        <w:rPr>
          <w:b/>
        </w:rPr>
        <w:t>Singapore advantage</w:t>
      </w:r>
      <w:r>
        <w:t xml:space="preserve">: $51.37M - $45.40M = </w:t>
      </w:r>
      <w:r>
        <w:rPr>
          <w:b/>
        </w:rPr>
        <w:t>$5.97 million higher after-tax profit</w:t>
      </w:r>
    </w:p>
    <w:p>
      <w:r>
        <w:rPr>
          <w:b/>
        </w:rPr>
        <w:t>Step 2: Economic Substance Requirements</w:t>
      </w:r>
    </w:p>
    <w:p>
      <w:r>
        <w:rPr>
          <w:b/>
        </w:rPr>
        <w:t>Singapore (GTP Tier 1)</w:t>
      </w:r>
    </w:p>
    <w:p>
      <w:r>
        <w:rPr>
          <w:b/>
        </w:rPr>
        <w:t>Requirements</w:t>
      </w:r>
      <w:r>
        <w:t>:</w:t>
      </w:r>
    </w:p>
    <w:p>
      <w:pPr>
        <w:pStyle w:val="ListBullet"/>
      </w:pPr>
      <w:r>
        <w:rPr>
          <w:b/>
        </w:rPr>
        <w:t>12 qualified employees</w:t>
      </w:r>
      <w:r>
        <w:t xml:space="preserve"> (higher headcount for Tier 1 rate)</w:t>
      </w:r>
    </w:p>
    <w:p>
      <w:pPr>
        <w:pStyle w:val="ListBullet"/>
      </w:pPr>
      <w:r>
        <w:rPr>
          <w:b/>
        </w:rPr>
        <w:t>Strategic functions</w:t>
      </w:r>
      <w:r>
        <w:t>: Management, risk, treasury, logistics</w:t>
      </w:r>
    </w:p>
    <w:p>
      <w:pPr>
        <w:pStyle w:val="ListBullet"/>
      </w:pPr>
      <w:r>
        <w:rPr>
          <w:b/>
        </w:rPr>
        <w:t>Substantial use of Singapore services</w:t>
      </w:r>
      <w:r>
        <w:t>: Banking, trade finance, shipping, legal</w:t>
      </w:r>
    </w:p>
    <w:p>
      <w:pPr>
        <w:pStyle w:val="ListBullet"/>
      </w:pPr>
      <w:r>
        <w:rPr>
          <w:b/>
        </w:rPr>
        <w:t>Third-party trading</w:t>
      </w:r>
      <w:r>
        <w:t>: Must demonstrate external business development</w:t>
      </w:r>
    </w:p>
    <w:p>
      <w:r>
        <w:rPr>
          <w:b/>
        </w:rPr>
        <w:t>Compliance considerations</w:t>
      </w:r>
      <w:r>
        <w:t>:</w:t>
      </w:r>
    </w:p>
    <w:p>
      <w:pPr>
        <w:pStyle w:val="ListBullet"/>
      </w:pPr>
      <w:r>
        <w:rPr>
          <w:b/>
        </w:rPr>
        <w:t>IRAS scrutiny</w:t>
      </w:r>
      <w:r>
        <w:t>: Frequent audits to verify Tier 1 compliance</w:t>
      </w:r>
    </w:p>
    <w:p>
      <w:pPr>
        <w:pStyle w:val="ListBullet"/>
      </w:pPr>
      <w:r>
        <w:rPr>
          <w:b/>
        </w:rPr>
        <w:t>Employment requirements</w:t>
      </w:r>
      <w:r>
        <w:t>: Preference for Singaporean nationals/permanent residents (work pass restrictions)</w:t>
      </w:r>
    </w:p>
    <w:p>
      <w:pPr>
        <w:pStyle w:val="ListBullet"/>
      </w:pPr>
      <w:r>
        <w:rPr>
          <w:b/>
        </w:rPr>
        <w:t>Physical presence</w:t>
      </w:r>
      <w:r>
        <w:t>: Modern office in prime location (e.g., Marina Bay)</w:t>
      </w:r>
    </w:p>
    <w:p>
      <w:r>
        <w:rPr>
          <w:b/>
        </w:rPr>
        <w:t>Estimated compliance cost</w:t>
      </w:r>
      <w:r>
        <w:t xml:space="preserve">: </w:t>
      </w:r>
      <w:r>
        <w:rPr>
          <w:b/>
        </w:rPr>
        <w:t>SGD 1-2 million annually</w:t>
      </w:r>
      <w:r>
        <w:t xml:space="preserve"> (higher than base operating costs due to IRAS requirements)</w:t>
      </w:r>
    </w:p>
    <w:p>
      <w:r>
        <w:rPr>
          <w:b/>
        </w:rPr>
        <w:t>Switzerland (Zug)</w:t>
      </w:r>
    </w:p>
    <w:p>
      <w:r>
        <w:rPr>
          <w:b/>
        </w:rPr>
        <w:t>Requirements</w:t>
      </w:r>
      <w:r>
        <w:t>:</w:t>
      </w:r>
    </w:p>
    <w:p>
      <w:pPr>
        <w:pStyle w:val="ListBullet"/>
      </w:pPr>
      <w:r>
        <w:rPr>
          <w:b/>
        </w:rPr>
        <w:t>8 employees</w:t>
      </w:r>
      <w:r>
        <w:t xml:space="preserve"> (lower headcount acceptable for smaller trading volumes)</w:t>
      </w:r>
    </w:p>
    <w:p>
      <w:pPr>
        <w:pStyle w:val="ListBullet"/>
      </w:pPr>
      <w:r>
        <w:rPr>
          <w:b/>
        </w:rPr>
        <w:t>Physical presence</w:t>
      </w:r>
      <w:r>
        <w:t>: Office, trading infrastructure</w:t>
      </w:r>
    </w:p>
    <w:p>
      <w:pPr>
        <w:pStyle w:val="ListBullet"/>
      </w:pPr>
      <w:r>
        <w:rPr>
          <w:b/>
        </w:rPr>
        <w:t>Decision-making</w:t>
      </w:r>
      <w:r>
        <w:t>: Board meetings, trading mandates approved locally</w:t>
      </w:r>
    </w:p>
    <w:p>
      <w:pPr>
        <w:pStyle w:val="ListBullet"/>
      </w:pPr>
      <w:r>
        <w:rPr>
          <w:b/>
        </w:rPr>
        <w:t>Third-party trading</w:t>
      </w:r>
      <w:r>
        <w:t>: Recommended but not mandatory for ruling</w:t>
      </w:r>
    </w:p>
    <w:p>
      <w:r>
        <w:rPr>
          <w:b/>
        </w:rPr>
        <w:t>Compliance considerations</w:t>
      </w:r>
      <w:r>
        <w:t>:</w:t>
      </w:r>
    </w:p>
    <w:p>
      <w:pPr>
        <w:pStyle w:val="ListBullet"/>
      </w:pPr>
      <w:r>
        <w:rPr>
          <w:b/>
        </w:rPr>
        <w:t>Cantonal tax authority</w:t>
      </w:r>
      <w:r>
        <w:t xml:space="preserve"> review (less frequent than Singapore)</w:t>
      </w:r>
    </w:p>
    <w:p>
      <w:pPr>
        <w:pStyle w:val="ListBullet"/>
      </w:pPr>
      <w:r>
        <w:rPr>
          <w:b/>
        </w:rPr>
        <w:t>Advance ruling</w:t>
      </w:r>
      <w:r>
        <w:t>: CHF 50,000-100,000 upfront for certainty</w:t>
      </w:r>
    </w:p>
    <w:p>
      <w:pPr>
        <w:pStyle w:val="ListBullet"/>
      </w:pPr>
      <w:r>
        <w:rPr>
          <w:b/>
        </w:rPr>
        <w:t>Pillar Two compliance</w:t>
      </w:r>
      <w:r>
        <w:t>: Top-up tax calculation and reporting</w:t>
      </w:r>
    </w:p>
    <w:p>
      <w:r>
        <w:rPr>
          <w:b/>
        </w:rPr>
        <w:t>Estimated compliance cost</w:t>
      </w:r>
      <w:r>
        <w:t xml:space="preserve">: </w:t>
      </w:r>
      <w:r>
        <w:rPr>
          <w:b/>
        </w:rPr>
        <w:t>CHF 500,000-1 million annually</w:t>
      </w:r>
    </w:p>
    <w:p>
      <w:r>
        <w:rPr>
          <w:b/>
        </w:rPr>
        <w:t>Step 3: Treaty Network and Dividend Repatriation</w:t>
      </w:r>
    </w:p>
    <w:p>
      <w:r>
        <w:rPr>
          <w:b/>
        </w:rPr>
        <w:t>Singapore to Parent (Singapore-listed)</w:t>
      </w:r>
    </w:p>
    <w:p>
      <w:r>
        <w:t>If parent is Singapore tax resident:</w:t>
      </w:r>
    </w:p>
    <w:p>
      <w:pPr>
        <w:pStyle w:val="ListBullet"/>
      </w:pPr>
      <w:r>
        <w:rPr>
          <w:b/>
        </w:rPr>
        <w:t>No withholding tax</w:t>
      </w:r>
      <w:r>
        <w:t xml:space="preserve"> on dividends received from Singapore trading subsidiary (domestic)</w:t>
      </w:r>
    </w:p>
    <w:p>
      <w:pPr>
        <w:pStyle w:val="ListBullet"/>
      </w:pPr>
      <w:r>
        <w:rPr>
          <w:b/>
        </w:rPr>
        <w:t>Foreign tax credit</w:t>
      </w:r>
      <w:r>
        <w:t xml:space="preserve"> available for Indonesian and Malaysian WHT on dividends from producing affiliates</w:t>
      </w:r>
    </w:p>
    <w:p>
      <w:r>
        <w:rPr>
          <w:b/>
        </w:rPr>
        <w:t>Switzerland to Parent (Singapore-listed)</w:t>
      </w:r>
    </w:p>
    <w:p>
      <w:r>
        <w:t>Singapore-Switzerland treaty:</w:t>
      </w:r>
    </w:p>
    <w:p>
      <w:pPr>
        <w:pStyle w:val="ListBullet"/>
      </w:pPr>
      <w:r>
        <w:rPr>
          <w:b/>
        </w:rPr>
        <w:t>Dividend WHT</w:t>
      </w:r>
      <w:r>
        <w:t>: 5% (for &gt;10% ownership)</w:t>
      </w:r>
    </w:p>
    <w:p>
      <w:pPr>
        <w:pStyle w:val="ListBullet"/>
      </w:pPr>
      <w:r>
        <w:rPr>
          <w:b/>
        </w:rPr>
        <w:t>Repatriation cost</w:t>
      </w:r>
      <w:r>
        <w:t xml:space="preserve">: $45.40M × 5% = </w:t>
      </w:r>
      <w:r>
        <w:rPr>
          <w:b/>
        </w:rPr>
        <w:t>$2.27 million</w:t>
      </w:r>
    </w:p>
    <w:p>
      <w:r>
        <w:rPr>
          <w:b/>
        </w:rPr>
        <w:t>Revised after-tax comparison</w:t>
      </w:r>
      <w:r>
        <w:t>:</w:t>
      </w:r>
    </w:p>
    <w:p>
      <w:pPr>
        <w:pStyle w:val="ListBullet"/>
      </w:pPr>
      <w:r>
        <w:t xml:space="preserve">Singapore: </w:t>
      </w:r>
      <w:r>
        <w:rPr>
          <w:b/>
        </w:rPr>
        <w:t>$51.37M</w:t>
      </w:r>
      <w:r>
        <w:t xml:space="preserve"> (no WHT on domestic dividend)</w:t>
      </w:r>
    </w:p>
    <w:p>
      <w:pPr>
        <w:pStyle w:val="ListBullet"/>
      </w:pPr>
      <w:r>
        <w:t xml:space="preserve">Switzerland: $45.40M - $2.27M WHT = </w:t>
      </w:r>
      <w:r>
        <w:rPr>
          <w:b/>
        </w:rPr>
        <w:t>$43.13M</w:t>
      </w:r>
    </w:p>
    <w:p>
      <w:pPr>
        <w:pStyle w:val="ListBullet"/>
      </w:pPr>
      <w:r>
        <w:rPr>
          <w:b/>
        </w:rPr>
        <w:t>Singapore advantage: $8.24 million</w:t>
      </w:r>
    </w:p>
    <w:p>
      <w:r>
        <w:rPr>
          <w:b/>
        </w:rPr>
        <w:t>Step 4: Strategic Considerations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Factor</w:t>
            </w:r>
          </w:p>
        </w:tc>
        <w:tc>
          <w:tcPr>
            <w:tcW w:type="dxa" w:w="2880"/>
          </w:tcPr>
          <w:p>
            <w:r>
              <w:rPr>
                <w:b/>
              </w:rPr>
            </w:r>
            <w:r>
              <w:rPr>
                <w:b/>
              </w:rPr>
              <w:t>Singapore</w:t>
            </w:r>
          </w:p>
        </w:tc>
        <w:tc>
          <w:tcPr>
            <w:tcW w:type="dxa" w:w="2880"/>
          </w:tcPr>
          <w:p>
            <w:r>
              <w:rPr>
                <w:b/>
              </w:rPr>
            </w:r>
            <w:r>
              <w:rPr>
                <w:b/>
              </w:rPr>
              <w:t>Switzerland</w:t>
            </w:r>
          </w:p>
        </w:tc>
      </w:tr>
      <w:tr>
        <w:tc>
          <w:tcPr>
            <w:tcW w:type="dxa" w:w="2880"/>
          </w:tcPr>
          <w:p>
            <w:r/>
            <w:r>
              <w:rPr>
                <w:b/>
              </w:rPr>
              <w:t>Proximity to operations</w:t>
            </w:r>
          </w:p>
        </w:tc>
        <w:tc>
          <w:tcPr>
            <w:tcW w:type="dxa" w:w="2880"/>
          </w:tcPr>
          <w:p>
            <w:r/>
            <w:r>
              <w:t>Adjacent to Indonesian/Malaysian fields (2-4 hour flight)</w:t>
            </w:r>
          </w:p>
        </w:tc>
        <w:tc>
          <w:tcPr>
            <w:tcW w:type="dxa" w:w="2880"/>
          </w:tcPr>
          <w:p>
            <w:r/>
            <w:r>
              <w:t>10+ hour flight from Southeast Asia</w:t>
            </w:r>
          </w:p>
        </w:tc>
      </w:tr>
      <w:tr>
        <w:tc>
          <w:tcPr>
            <w:tcW w:type="dxa" w:w="2880"/>
          </w:tcPr>
          <w:p>
            <w:r/>
            <w:r>
              <w:rPr>
                <w:b/>
              </w:rPr>
              <w:t>Time zone alignment</w:t>
            </w:r>
          </w:p>
        </w:tc>
        <w:tc>
          <w:tcPr>
            <w:tcW w:type="dxa" w:w="2880"/>
          </w:tcPr>
          <w:p>
            <w:r/>
            <w:r>
              <w:t>Singapore Time (SGT) (UTC+8) aligns with regional markets</w:t>
            </w:r>
          </w:p>
        </w:tc>
        <w:tc>
          <w:tcPr>
            <w:tcW w:type="dxa" w:w="2880"/>
          </w:tcPr>
          <w:p>
            <w:r/>
            <w:r>
              <w:t>Central European Time (CET) (UTC+1) misaligned with Asian trading hours</w:t>
            </w:r>
          </w:p>
        </w:tc>
      </w:tr>
      <w:tr>
        <w:tc>
          <w:tcPr>
            <w:tcW w:type="dxa" w:w="2880"/>
          </w:tcPr>
          <w:p>
            <w:r/>
            <w:r>
              <w:rPr>
                <w:b/>
              </w:rPr>
              <w:t>Port and logistics</w:t>
            </w:r>
          </w:p>
        </w:tc>
        <w:tc>
          <w:tcPr>
            <w:tcW w:type="dxa" w:w="2880"/>
          </w:tcPr>
          <w:p>
            <w:r/>
            <w:r>
              <w:t>World-class port (second largest globally)</w:t>
            </w:r>
          </w:p>
        </w:tc>
        <w:tc>
          <w:tcPr>
            <w:tcW w:type="dxa" w:w="2880"/>
          </w:tcPr>
          <w:p>
            <w:r/>
            <w:r>
              <w:t>Landlocked (dependent on Rotterdam, Genoa)</w:t>
            </w:r>
          </w:p>
        </w:tc>
      </w:tr>
      <w:tr>
        <w:tc>
          <w:tcPr>
            <w:tcW w:type="dxa" w:w="2880"/>
          </w:tcPr>
          <w:p>
            <w:r/>
            <w:r>
              <w:rPr>
                <w:b/>
              </w:rPr>
              <w:t>Market access</w:t>
            </w:r>
          </w:p>
        </w:tc>
        <w:tc>
          <w:tcPr>
            <w:tcW w:type="dxa" w:w="2880"/>
          </w:tcPr>
          <w:p>
            <w:r/>
            <w:r>
              <w:t>Direct access to Asian refineries and consumers (China, India, Japan, Korea)</w:t>
            </w:r>
          </w:p>
        </w:tc>
        <w:tc>
          <w:tcPr>
            <w:tcW w:type="dxa" w:w="2880"/>
          </w:tcPr>
          <w:p>
            <w:r/>
            <w:r>
              <w:t>European market access</w:t>
            </w:r>
          </w:p>
        </w:tc>
      </w:tr>
      <w:tr>
        <w:tc>
          <w:tcPr>
            <w:tcW w:type="dxa" w:w="2880"/>
          </w:tcPr>
          <w:p>
            <w:r/>
            <w:r>
              <w:rPr>
                <w:b/>
              </w:rPr>
              <w:t>Regulatory environment</w:t>
            </w:r>
          </w:p>
        </w:tc>
        <w:tc>
          <w:tcPr>
            <w:tcW w:type="dxa" w:w="2880"/>
          </w:tcPr>
          <w:p>
            <w:r/>
            <w:r>
              <w:t>Stable, business-friendly, strong rule of law</w:t>
            </w:r>
          </w:p>
        </w:tc>
        <w:tc>
          <w:tcPr>
            <w:tcW w:type="dxa" w:w="2880"/>
          </w:tcPr>
          <w:p>
            <w:r/>
            <w:r>
              <w:t>Stable, but EU pressure on tax practices</w:t>
            </w:r>
          </w:p>
        </w:tc>
      </w:tr>
      <w:tr>
        <w:tc>
          <w:tcPr>
            <w:tcW w:type="dxa" w:w="2880"/>
          </w:tcPr>
          <w:p>
            <w:r/>
            <w:r>
              <w:rPr>
                <w:b/>
              </w:rPr>
              <w:t>Language and culture</w:t>
            </w:r>
          </w:p>
        </w:tc>
        <w:tc>
          <w:tcPr>
            <w:tcW w:type="dxa" w:w="2880"/>
          </w:tcPr>
          <w:p>
            <w:r/>
            <w:r>
              <w:t>English-speaking, multicultural</w:t>
            </w:r>
          </w:p>
        </w:tc>
        <w:tc>
          <w:tcPr>
            <w:tcW w:type="dxa" w:w="2880"/>
          </w:tcPr>
          <w:p>
            <w:r/>
            <w:r>
              <w:t>German/French-speaking (language barrier)</w:t>
            </w:r>
          </w:p>
        </w:tc>
      </w:tr>
      <w:tr>
        <w:tc>
          <w:tcPr>
            <w:tcW w:type="dxa" w:w="2880"/>
          </w:tcPr>
          <w:p>
            <w:r/>
            <w:r>
              <w:rPr>
                <w:b/>
              </w:rPr>
              <w:t>Talent pool</w:t>
            </w:r>
          </w:p>
        </w:tc>
        <w:tc>
          <w:tcPr>
            <w:tcW w:type="dxa" w:w="2880"/>
          </w:tcPr>
          <w:p>
            <w:r/>
            <w:r>
              <w:t>Strong financial services and trading talent</w:t>
            </w:r>
          </w:p>
        </w:tc>
        <w:tc>
          <w:tcPr>
            <w:tcW w:type="dxa" w:w="2880"/>
          </w:tcPr>
          <w:p>
            <w:r/>
            <w:r>
              <w:t>Deep commodity trading expertise</w:t>
            </w:r>
          </w:p>
        </w:tc>
      </w:tr>
    </w:tbl>
    <w:p/>
    <w:p>
      <w:r>
        <w:rPr>
          <w:b/>
        </w:rPr>
        <w:t>Assessment</w:t>
      </w:r>
      <w:r>
        <w:t>:</w:t>
      </w:r>
    </w:p>
    <w:p>
      <w:pPr>
        <w:pStyle w:val="ListBullet"/>
      </w:pPr>
      <w:r>
        <w:rPr>
          <w:b/>
        </w:rPr>
        <w:t>Singapore strongly preferred</w:t>
      </w:r>
      <w:r>
        <w:t xml:space="preserve"> for AsiaEnergy due to regional focus, logistics, and time zone alignment</w:t>
      </w:r>
    </w:p>
    <w:p>
      <w:pPr>
        <w:pStyle w:val="ListBullet"/>
      </w:pPr>
      <w:r>
        <w:rPr>
          <w:b/>
        </w:rPr>
        <w:t>Switzerland</w:t>
      </w:r>
      <w:r>
        <w:t xml:space="preserve"> more suitable for companies with European operations or Atlantic Basin crude trading</w:t>
      </w:r>
    </w:p>
    <w:p>
      <w:r>
        <w:rPr>
          <w:b/>
        </w:rPr>
        <w:t>Step 5: OECD Pillar Two Impact on Singapore</w:t>
      </w:r>
    </w:p>
    <w:p>
      <w:r>
        <w:t xml:space="preserve">AsiaEnergy consolidated revenue: </w:t>
      </w:r>
      <w:r>
        <w:rPr>
          <w:b/>
        </w:rPr>
        <w:t>$5 billion</w:t>
      </w:r>
      <w:r>
        <w:t xml:space="preserve"> (exceeds €750M threshold)</w:t>
      </w:r>
    </w:p>
    <w:p>
      <w:r>
        <w:rPr>
          <w:b/>
        </w:rPr>
        <w:t>Singapore GTP rate</w:t>
      </w:r>
      <w:r>
        <w:t>: 5%</w:t>
      </w:r>
    </w:p>
    <w:p>
      <w:r>
        <w:rPr>
          <w:b/>
        </w:rPr>
        <w:t>Pillar Two minimum</w:t>
      </w:r>
      <w:r>
        <w:t>: 15%</w:t>
      </w:r>
    </w:p>
    <w:p>
      <w:r>
        <w:rPr>
          <w:b/>
        </w:rPr>
        <w:t>Top-up tax required</w:t>
      </w:r>
      <w:r>
        <w:t xml:space="preserve">: 15% - 5% = </w:t>
      </w:r>
      <w:r>
        <w:rPr>
          <w:b/>
        </w:rPr>
        <w:t>10%</w:t>
      </w:r>
    </w:p>
    <w:p>
      <w:pPr>
        <w:shd w:fill="F0F0F0"/>
        <w:spacing w:after="0" w:line="240" w:lineRule="auto"/>
      </w:pPr>
      <w:r>
        <w:rPr>
          <w:rFonts w:ascii="Courier New" w:hAnsi="Courier New"/>
          <w:sz w:val="20"/>
        </w:rPr>
        <w:t>Singapore tax (GTP 5%):                         $2.70 million</w:t>
      </w:r>
    </w:p>
    <w:p>
      <w:pPr>
        <w:shd w:fill="F0F0F0"/>
        <w:spacing w:after="0" w:line="240" w:lineRule="auto"/>
      </w:pPr>
      <w:r>
        <w:rPr>
          <w:rFonts w:ascii="Courier New" w:hAnsi="Courier New"/>
          <w:sz w:val="20"/>
        </w:rPr>
        <w:t>Top-up tax (10%):                               $54.07M × 10% = $5.41 million</w:t>
      </w:r>
    </w:p>
    <w:p>
      <w:pPr>
        <w:shd w:fill="F0F0F0"/>
        <w:spacing w:after="0" w:line="240" w:lineRule="auto"/>
      </w:pPr>
      <w:r>
        <w:rPr>
          <w:rFonts w:ascii="Courier New" w:hAnsi="Courier New"/>
          <w:sz w:val="20"/>
        </w:rPr>
        <w:t>Total tax:                                      $8.11 million</w:t>
      </w:r>
    </w:p>
    <w:p>
      <w:pPr>
        <w:shd w:fill="F0F0F0"/>
        <w:spacing w:after="0" w:line="240" w:lineRule="auto"/>
      </w:pPr>
      <w:r>
        <w:rPr>
          <w:rFonts w:ascii="Courier New" w:hAnsi="Courier New"/>
          <w:sz w:val="20"/>
        </w:rPr>
        <w:t>After-tax profit:                               $54.07M - $8.11M = $45.96 million</w:t>
      </w:r>
    </w:p>
    <w:p>
      <w:pPr>
        <w:shd w:fill="F0F0F0"/>
        <w:spacing w:after="0" w:line="240" w:lineRule="auto"/>
      </w:pPr>
      <w:r>
        <w:rPr>
          <w:rFonts w:ascii="Courier New" w:hAnsi="Courier New"/>
          <w:sz w:val="20"/>
        </w:rPr>
        <w:t>Effective rate:                                 15.0%</w:t>
      </w:r>
    </w:p>
    <w:p/>
    <w:p>
      <w:r>
        <w:rPr>
          <w:b/>
        </w:rPr>
        <w:t>Revised comparison with Pillar Two</w:t>
      </w:r>
      <w:r>
        <w:t>:</w:t>
      </w:r>
    </w:p>
    <w:p>
      <w:pPr>
        <w:pStyle w:val="ListBullet"/>
      </w:pPr>
      <w:r>
        <w:rPr>
          <w:b/>
        </w:rPr>
        <w:t>Singapore (with Pillar Two)</w:t>
      </w:r>
      <w:r>
        <w:t>: $45.96M (no WHT on domestic dividend)</w:t>
      </w:r>
    </w:p>
    <w:p>
      <w:pPr>
        <w:pStyle w:val="ListBullet"/>
      </w:pPr>
      <w:r>
        <w:rPr>
          <w:b/>
        </w:rPr>
        <w:t>Switzerland (with Pillar Two)</w:t>
      </w:r>
      <w:r>
        <w:t>: $43.13M (after 5% WHT)</w:t>
      </w:r>
    </w:p>
    <w:p>
      <w:pPr>
        <w:pStyle w:val="ListBullet"/>
      </w:pPr>
      <w:r>
        <w:rPr>
          <w:b/>
        </w:rPr>
        <w:t>Singapore advantage reduced to: $2.83 million</w:t>
      </w:r>
    </w:p>
    <w:p>
      <w:r>
        <w:rPr>
          <w:b/>
        </w:rPr>
        <w:t>Step 6: Breakeven Analysis on Operating Costs</w:t>
      </w:r>
    </w:p>
    <w:p>
      <w:r>
        <w:t xml:space="preserve">The </w:t>
      </w:r>
      <w:r>
        <w:rPr>
          <w:b/>
        </w:rPr>
        <w:t>differential after-tax profit</w:t>
      </w:r>
      <w:r>
        <w:t xml:space="preserve"> ($2.83M with Pillar Two) must justify </w:t>
      </w:r>
      <w:r>
        <w:rPr>
          <w:b/>
        </w:rPr>
        <w:t>higher operating costs</w:t>
      </w:r>
      <w:r>
        <w:t xml:space="preserve"> in Singapore:</w:t>
      </w:r>
    </w:p>
    <w:p>
      <w:pPr>
        <w:shd w:fill="F0F0F0"/>
        <w:spacing w:after="0" w:line="240" w:lineRule="auto"/>
      </w:pPr>
      <w:r>
        <w:rPr>
          <w:rFonts w:ascii="Courier New" w:hAnsi="Courier New"/>
          <w:sz w:val="20"/>
        </w:rPr>
        <w:t>Singapore annual costs:                         $5.93M + $1.5M (compliance) = $7.43 million</w:t>
      </w:r>
    </w:p>
    <w:p>
      <w:pPr>
        <w:shd w:fill="F0F0F0"/>
        <w:spacing w:after="0" w:line="240" w:lineRule="auto"/>
      </w:pPr>
      <w:r>
        <w:rPr>
          <w:rFonts w:ascii="Courier New" w:hAnsi="Courier New"/>
          <w:sz w:val="20"/>
        </w:rPr>
        <w:t>Switzerland annual costs:                       $6.59M + $0.75M (compliance) = $7.34 million</w:t>
      </w:r>
    </w:p>
    <w:p>
      <w:pPr>
        <w:shd w:fill="F0F0F0"/>
        <w:spacing w:after="0" w:line="240" w:lineRule="auto"/>
      </w:pPr>
      <w:r>
        <w:rPr>
          <w:rFonts w:ascii="Courier New" w:hAnsi="Courier New"/>
          <w:sz w:val="20"/>
        </w:rPr>
        <w:t>Marginal cost difference:                       $0.09 million (negligible)</w:t>
      </w:r>
    </w:p>
    <w:p/>
    <w:p>
      <w:r>
        <w:rPr>
          <w:b/>
        </w:rPr>
        <w:t>Conclusion</w:t>
      </w:r>
      <w:r>
        <w:t>: Operating costs are comparable; tax efficiency and strategic factors dominate decision.</w:t>
      </w:r>
    </w:p>
    <w:p>
      <w:r>
        <w:rPr>
          <w:b/>
        </w:rPr>
        <w:t>Conclusion:</w:t>
      </w:r>
    </w:p>
    <w:p>
      <w:r>
        <w:rPr>
          <w:b/>
        </w:rPr>
        <w:t>Recommendation: Singapore (GTP Tier 1)</w:t>
      </w:r>
    </w:p>
    <w:p>
      <w:r>
        <w:t xml:space="preserve">Despite OECD Pillar Two reducing the tax advantage, </w:t>
      </w:r>
      <w:r>
        <w:rPr>
          <w:b/>
        </w:rPr>
        <w:t>Singapore remains the optimal jurisdiction</w:t>
      </w:r>
      <w:r>
        <w:t xml:space="preserve"> for AsiaEnergy's trading company due to:</w:t>
      </w:r>
    </w:p>
    <w:p>
      <w:pPr>
        <w:pStyle w:val="ListNumber"/>
      </w:pPr>
      <w:r>
        <w:rPr>
          <w:b/>
        </w:rPr>
        <w:t>Tax efficiency</w:t>
      </w:r>
      <w:r>
        <w:t>: $2.83 million higher after-tax profit (after Pillar Two and WHT)</w:t>
      </w:r>
    </w:p>
    <w:p>
      <w:pPr>
        <w:pStyle w:val="ListNumber"/>
      </w:pPr>
      <w:r>
        <w:rPr>
          <w:b/>
        </w:rPr>
        <w:t>Strategic location</w:t>
      </w:r>
      <w:r>
        <w:t>: Proximity to Indonesian and Malaysian operations, Asian customer base</w:t>
      </w:r>
    </w:p>
    <w:p>
      <w:pPr>
        <w:pStyle w:val="ListNumber"/>
      </w:pPr>
      <w:r>
        <w:rPr>
          <w:b/>
        </w:rPr>
        <w:t>Logistics infrastructure</w:t>
      </w:r>
      <w:r>
        <w:t>: World-class port, storage, and shipping services</w:t>
      </w:r>
    </w:p>
    <w:p>
      <w:pPr>
        <w:pStyle w:val="ListNumber"/>
      </w:pPr>
      <w:r>
        <w:rPr>
          <w:b/>
        </w:rPr>
        <w:t>No repatriation tax</w:t>
      </w:r>
      <w:r>
        <w:t>: Domestic dividend from Singapore subsidiary to Singapore parent (0% WHT)</w:t>
      </w:r>
    </w:p>
    <w:p>
      <w:pPr>
        <w:pStyle w:val="ListNumber"/>
      </w:pPr>
      <w:r>
        <w:rPr>
          <w:b/>
        </w:rPr>
        <w:t>Regulatory support</w:t>
      </w:r>
      <w:r>
        <w:t>: GTP program provides certainty; strong commercial rationale</w:t>
      </w:r>
    </w:p>
    <w:p>
      <w:r>
        <w:rPr>
          <w:b/>
        </w:rPr>
        <w:t>Implementation requirements</w:t>
      </w:r>
      <w:r>
        <w:t>:</w:t>
      </w:r>
    </w:p>
    <w:p>
      <w:pPr>
        <w:pStyle w:val="ListBullet"/>
      </w:pPr>
      <w:r>
        <w:rPr>
          <w:b/>
        </w:rPr>
        <w:t>12+ qualified employees</w:t>
      </w:r>
      <w:r>
        <w:t xml:space="preserve"> (strategic, risk, treasury, logistics, trading)</w:t>
      </w:r>
    </w:p>
    <w:p>
      <w:pPr>
        <w:pStyle w:val="ListBullet"/>
      </w:pPr>
      <w:r>
        <w:rPr>
          <w:b/>
        </w:rPr>
        <w:t>Substantial Singapore service usage</w:t>
      </w:r>
      <w:r>
        <w:t xml:space="preserve"> (banking, trade finance, shipping, legal)</w:t>
      </w:r>
    </w:p>
    <w:p>
      <w:pPr>
        <w:pStyle w:val="ListBullet"/>
      </w:pPr>
      <w:r>
        <w:rPr>
          <w:b/>
        </w:rPr>
        <w:t>Third-party trading development</w:t>
      </w:r>
      <w:r>
        <w:t xml:space="preserve"> (target 15-20% of volume from unrelated producers/customers)</w:t>
      </w:r>
    </w:p>
    <w:p>
      <w:pPr>
        <w:pStyle w:val="ListBullet"/>
      </w:pPr>
      <w:r>
        <w:rPr>
          <w:b/>
        </w:rPr>
        <w:t>IRAS advance ruling</w:t>
      </w:r>
      <w:r>
        <w:t xml:space="preserve"> (SGD 25,000-50,000 application fee) for GTP approval</w:t>
      </w:r>
    </w:p>
    <w:p>
      <w:r>
        <w:rPr>
          <w:b/>
        </w:rPr>
        <w:t>Switzerland</w:t>
      </w:r>
      <w:r>
        <w:t xml:space="preserve"> would be reconsidered if:</w:t>
      </w:r>
    </w:p>
    <w:p>
      <w:pPr>
        <w:pStyle w:val="ListBullet"/>
      </w:pPr>
      <w:r>
        <w:t xml:space="preserve">AsiaEnergy expands into </w:t>
      </w:r>
      <w:r>
        <w:rPr>
          <w:b/>
        </w:rPr>
        <w:t>Atlantic Basin or European markets</w:t>
      </w:r>
    </w:p>
    <w:p>
      <w:pPr>
        <w:pStyle w:val="ListBullet"/>
      </w:pPr>
      <w:r>
        <w:t xml:space="preserve">Consolidated revenue falls below </w:t>
      </w:r>
      <w:r>
        <w:rPr>
          <w:b/>
        </w:rPr>
        <w:t>€750M</w:t>
      </w:r>
      <w:r>
        <w:t xml:space="preserve"> (avoiding Pillar Two), allowing &lt;15% effective rate</w:t>
      </w:r>
    </w:p>
    <w:p>
      <w:pPr>
        <w:pStyle w:val="ListBullet"/>
      </w:pPr>
      <w:r>
        <w:t xml:space="preserve">Group parent relocates to </w:t>
      </w:r>
      <w:r>
        <w:rPr>
          <w:b/>
        </w:rPr>
        <w:t>European jurisdiction</w:t>
      </w:r>
      <w:r>
        <w:t xml:space="preserve"> (avoiding 5% Switzerland WHT)</w:t>
      </w:r>
    </w:p>
    <w:p>
      <w:r>
        <w:t>═══════════════════════════════════════════</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