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Permanent establishments Operating companies</w:t>
      </w:r>
    </w:p>
    <w:p>
      <w:pPr>
        <w:pStyle w:val="Heading1"/>
      </w:pPr>
      <w:r>
        <w:t>Operating Companies and Permanent Establishments</w:t>
      </w:r>
    </w:p>
    <w:p>
      <w:pPr>
        <w:pStyle w:val="Heading2"/>
      </w:pPr>
      <w:r>
        <w:t>ADIT Energy Resources Module 3.04 - Study Note</w:t>
      </w:r>
    </w:p>
    <w:p>
      <w:pPr>
        <w:spacing w:before="120" w:after="120"/>
        <w:pBdr>
          <w:bottom w:val="single" w:sz="6" w:space="1" w:color="auto"/>
        </w:pBdr>
      </w:pPr>
    </w:p>
    <w:p>
      <w:pPr>
        <w:pStyle w:val="Heading2"/>
      </w:pPr>
      <w:r>
        <w:t>1. Core Framework: Operating Companies in Energy Projects</w:t>
      </w:r>
    </w:p>
    <w:p>
      <w:pPr>
        <w:pStyle w:val="Heading3"/>
      </w:pPr>
      <w:r>
        <w:t>1.1 Definition and Role of Operating Companies</w:t>
      </w:r>
    </w:p>
    <w:p>
      <w:r>
        <w:t xml:space="preserve">An </w:t>
      </w:r>
      <w:r>
        <w:rPr>
          <w:b/>
        </w:rPr>
        <w:t>operating company</w:t>
      </w:r>
      <w:r>
        <w:t xml:space="preserve"> in the energy resources sector is an entity (whether resident or non-resident in the source state) that conducts petroleum exploration, development, or production operations on behalf of itself and/or other working interest owners. Operating companies are also referred to as "operators" in Joint Operating Agreements (JOAs). The operating company has primary responsibility for:</w:t>
      </w:r>
    </w:p>
    <w:p>
      <w:pPr>
        <w:pStyle w:val="ListBullet"/>
      </w:pPr>
      <w:r>
        <w:rPr>
          <w:b/>
        </w:rPr>
        <w:t>Day-to-day field operations</w:t>
      </w:r>
      <w:r>
        <w:t>: Drilling, production, maintenance, and abandonment activities</w:t>
      </w:r>
    </w:p>
    <w:p>
      <w:pPr>
        <w:pStyle w:val="ListBullet"/>
      </w:pPr>
      <w:r>
        <w:rPr>
          <w:b/>
        </w:rPr>
        <w:t>Technical management</w:t>
      </w:r>
      <w:r>
        <w:t>: Engineering design, project execution, and operational decision-making</w:t>
      </w:r>
    </w:p>
    <w:p>
      <w:pPr>
        <w:pStyle w:val="ListBullet"/>
      </w:pPr>
      <w:r>
        <w:rPr>
          <w:b/>
        </w:rPr>
        <w:t>Asset management</w:t>
      </w:r>
      <w:r>
        <w:t>: Control and operation of production facilities, platforms, pipelines, and infrastructure</w:t>
      </w:r>
    </w:p>
    <w:p>
      <w:pPr>
        <w:pStyle w:val="ListBullet"/>
      </w:pPr>
      <w:r>
        <w:rPr>
          <w:b/>
        </w:rPr>
        <w:t>Regulatory compliance</w:t>
      </w:r>
      <w:r>
        <w:t>: Interface with government authorities, environmental monitoring, safety reporting</w:t>
      </w:r>
    </w:p>
    <w:p>
      <w:pPr>
        <w:pStyle w:val="ListBullet"/>
      </w:pPr>
      <w:r>
        <w:rPr>
          <w:b/>
        </w:rPr>
        <w:t>Cost management</w:t>
      </w:r>
      <w:r>
        <w:t>: Procurement, contractor management, and accounting for joint account operations</w:t>
      </w:r>
    </w:p>
    <w:p>
      <w:r>
        <w:t>Operating companies are distinguished from:</w:t>
      </w:r>
    </w:p>
    <w:p>
      <w:pPr>
        <w:pStyle w:val="ListBullet"/>
      </w:pPr>
      <w:r>
        <w:rPr>
          <w:b/>
        </w:rPr>
        <w:t>Service contractors</w:t>
      </w:r>
      <w:r>
        <w:t>: Third-party entities providing specific services (drilling, seismic) without equity interest</w:t>
      </w:r>
    </w:p>
    <w:p>
      <w:pPr>
        <w:pStyle w:val="ListBullet"/>
      </w:pPr>
      <w:r>
        <w:rPr>
          <w:b/>
        </w:rPr>
        <w:t>License holders</w:t>
      </w:r>
      <w:r>
        <w:t>: Legal owners of petroleum rights who may not actively operate</w:t>
      </w:r>
    </w:p>
    <w:p>
      <w:pPr>
        <w:pStyle w:val="ListBullet"/>
      </w:pPr>
      <w:r>
        <w:rPr>
          <w:b/>
        </w:rPr>
        <w:t>Marketing companies</w:t>
      </w:r>
      <w:r>
        <w:t>: Entities purchasing and reselling petroleum production</w:t>
      </w:r>
    </w:p>
    <w:p>
      <w:pPr>
        <w:pStyle w:val="ListBullet"/>
      </w:pPr>
      <w:r>
        <w:rPr>
          <w:b/>
        </w:rPr>
        <w:t>Management companies</w:t>
      </w:r>
      <w:r>
        <w:t>: Entities providing supervisory services without physical operational control</w:t>
      </w:r>
    </w:p>
    <w:p>
      <w:pPr>
        <w:pStyle w:val="Heading3"/>
      </w:pPr>
      <w:r>
        <w:t>1.2 Operator vs. Non-Operator Distinction</w:t>
      </w:r>
    </w:p>
    <w:p>
      <w:r>
        <w:rPr>
          <w:b/>
        </w:rPr>
        <w:t>Operator Status:</w:t>
      </w:r>
    </w:p>
    <w:p>
      <w:r>
        <w:t xml:space="preserve">The </w:t>
      </w:r>
      <w:r>
        <w:rPr>
          <w:b/>
        </w:rPr>
        <w:t>operator</w:t>
      </w:r>
      <w:r>
        <w:t xml:space="preserve"> is appointed under a Joint Operating Agreement (JOA) or similar arrangement and bears enhanced responsibilities: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Characteristic</w:t>
            </w:r>
          </w:p>
        </w:tc>
        <w:tc>
          <w:tcPr>
            <w:tcW w:type="dxa" w:w="2880"/>
          </w:tcPr>
          <w:p>
            <w:r>
              <w:rPr>
                <w:b/>
              </w:rPr>
            </w:r>
            <w:r>
              <w:rPr>
                <w:b/>
              </w:rPr>
              <w:t>Operator</w:t>
            </w:r>
          </w:p>
        </w:tc>
        <w:tc>
          <w:tcPr>
            <w:tcW w:type="dxa" w:w="2880"/>
          </w:tcPr>
          <w:p>
            <w:r>
              <w:rPr>
                <w:b/>
              </w:rPr>
            </w:r>
            <w:r>
              <w:rPr>
                <w:b/>
              </w:rPr>
              <w:t>Non-Operator</w:t>
            </w:r>
          </w:p>
        </w:tc>
      </w:tr>
      <w:tr>
        <w:tc>
          <w:tcPr>
            <w:tcW w:type="dxa" w:w="2880"/>
          </w:tcPr>
          <w:p>
            <w:r/>
            <w:r>
              <w:t>Physical presence</w:t>
            </w:r>
          </w:p>
        </w:tc>
        <w:tc>
          <w:tcPr>
            <w:tcW w:type="dxa" w:w="2880"/>
          </w:tcPr>
          <w:p>
            <w:r/>
            <w:r>
              <w:t>Extensive: offices, personnel, equipment at field location</w:t>
            </w:r>
          </w:p>
        </w:tc>
        <w:tc>
          <w:tcPr>
            <w:tcW w:type="dxa" w:w="2880"/>
          </w:tcPr>
          <w:p>
            <w:r/>
            <w:r>
              <w:t>Minimal or none: remote oversight only</w:t>
            </w:r>
          </w:p>
        </w:tc>
      </w:tr>
      <w:tr>
        <w:tc>
          <w:tcPr>
            <w:tcW w:type="dxa" w:w="2880"/>
          </w:tcPr>
          <w:p>
            <w:r/>
            <w:r>
              <w:t>Decision authority</w:t>
            </w:r>
          </w:p>
        </w:tc>
        <w:tc>
          <w:tcPr>
            <w:tcW w:type="dxa" w:w="2880"/>
          </w:tcPr>
          <w:p>
            <w:r/>
            <w:r>
              <w:t>Day-to-day operational decisions within approved program</w:t>
            </w:r>
          </w:p>
        </w:tc>
        <w:tc>
          <w:tcPr>
            <w:tcW w:type="dxa" w:w="2880"/>
          </w:tcPr>
          <w:p>
            <w:r/>
            <w:r>
              <w:t>Limited to voting rights on major expenditures</w:t>
            </w:r>
          </w:p>
        </w:tc>
      </w:tr>
      <w:tr>
        <w:tc>
          <w:tcPr>
            <w:tcW w:type="dxa" w:w="2880"/>
          </w:tcPr>
          <w:p>
            <w:r/>
            <w:r>
              <w:t>Cost exposure</w:t>
            </w:r>
          </w:p>
        </w:tc>
        <w:tc>
          <w:tcPr>
            <w:tcW w:type="dxa" w:w="2880"/>
          </w:tcPr>
          <w:p>
            <w:r/>
            <w:r>
              <w:t>Manages all costs; recovers from participants</w:t>
            </w:r>
          </w:p>
        </w:tc>
        <w:tc>
          <w:tcPr>
            <w:tcW w:type="dxa" w:w="2880"/>
          </w:tcPr>
          <w:p>
            <w:r/>
            <w:r>
              <w:t>Reimburses proportionate share of costs</w:t>
            </w:r>
          </w:p>
        </w:tc>
      </w:tr>
      <w:tr>
        <w:tc>
          <w:tcPr>
            <w:tcW w:type="dxa" w:w="2880"/>
          </w:tcPr>
          <w:p>
            <w:r/>
            <w:r>
              <w:t>PE risk</w:t>
            </w:r>
          </w:p>
        </w:tc>
        <w:tc>
          <w:tcPr>
            <w:tcW w:type="dxa" w:w="2880"/>
          </w:tcPr>
          <w:p>
            <w:r/>
            <w:r>
              <w:t>HIGH: substantial physical presence creates PE</w:t>
            </w:r>
          </w:p>
        </w:tc>
        <w:tc>
          <w:tcPr>
            <w:tcW w:type="dxa" w:w="2880"/>
          </w:tcPr>
          <w:p>
            <w:r/>
            <w:r>
              <w:t>LOW to MODERATE: depends on level of involvement</w:t>
            </w:r>
          </w:p>
        </w:tc>
      </w:tr>
      <w:tr>
        <w:tc>
          <w:tcPr>
            <w:tcW w:type="dxa" w:w="2880"/>
          </w:tcPr>
          <w:p>
            <w:r/>
            <w:r>
              <w:t>Staffing</w:t>
            </w:r>
          </w:p>
        </w:tc>
        <w:tc>
          <w:tcPr>
            <w:tcW w:type="dxa" w:w="2880"/>
          </w:tcPr>
          <w:p>
            <w:r/>
            <w:r>
              <w:t>Significant local workforce</w:t>
            </w:r>
          </w:p>
        </w:tc>
        <w:tc>
          <w:tcPr>
            <w:tcW w:type="dxa" w:w="2880"/>
          </w:tcPr>
          <w:p>
            <w:r/>
            <w:r>
              <w:t>May second personnel to operator</w:t>
            </w:r>
          </w:p>
        </w:tc>
      </w:tr>
      <w:tr>
        <w:tc>
          <w:tcPr>
            <w:tcW w:type="dxa" w:w="2880"/>
          </w:tcPr>
          <w:p>
            <w:r/>
            <w:r>
              <w:t>Asset ownership</w:t>
            </w:r>
          </w:p>
        </w:tc>
        <w:tc>
          <w:tcPr>
            <w:tcW w:type="dxa" w:w="2880"/>
          </w:tcPr>
          <w:p>
            <w:r/>
            <w:r>
              <w:t>Operates jointly-owned assets; may own dedicated facilities</w:t>
            </w:r>
          </w:p>
        </w:tc>
        <w:tc>
          <w:tcPr>
            <w:tcW w:type="dxa" w:w="2880"/>
          </w:tcPr>
          <w:p>
            <w:r/>
            <w:r>
              <w:t>Working interest only; no operational assets</w:t>
            </w:r>
          </w:p>
        </w:tc>
      </w:tr>
      <w:tr>
        <w:tc>
          <w:tcPr>
            <w:tcW w:type="dxa" w:w="2880"/>
          </w:tcPr>
          <w:p>
            <w:r/>
            <w:r>
              <w:t>Contractual exposure</w:t>
            </w:r>
          </w:p>
        </w:tc>
        <w:tc>
          <w:tcPr>
            <w:tcW w:type="dxa" w:w="2880"/>
          </w:tcPr>
          <w:p>
            <w:r/>
            <w:r>
              <w:t>Signs contracts as operator for joint account</w:t>
            </w:r>
          </w:p>
        </w:tc>
        <w:tc>
          <w:tcPr>
            <w:tcW w:type="dxa" w:w="2880"/>
          </w:tcPr>
          <w:p>
            <w:r/>
            <w:r>
              <w:t>Limited direct contractual relationships</w:t>
            </w:r>
          </w:p>
        </w:tc>
      </w:tr>
    </w:tbl>
    <w:p/>
    <w:p>
      <w:r>
        <w:rPr>
          <w:b/>
        </w:rPr>
        <w:t>Key Principle:</w:t>
      </w:r>
      <w:r>
        <w:t xml:space="preserve"> Operator status significantly increases permanent establishment (PE) exposure due to the necessity of maintaining substantial physical presence and personnel in the source state.</w:t>
      </w:r>
    </w:p>
    <w:p>
      <w:pPr>
        <w:pStyle w:val="Heading3"/>
      </w:pPr>
      <w:r>
        <w:t>1.3 PE Creation Risks for Operating Companies</w:t>
      </w:r>
    </w:p>
    <w:p>
      <w:r>
        <w:t>Operating companies face multiple PE triggers under both domestic law and tax treaties:</w:t>
      </w:r>
    </w:p>
    <w:p>
      <w:r>
        <w:rPr>
          <w:b/>
        </w:rPr>
        <w:t>Fixed Place of Business PE (OECD Model Article 5(1)):</w:t>
      </w:r>
    </w:p>
    <w:p>
      <w:pPr>
        <w:pStyle w:val="ListBullet"/>
      </w:pPr>
      <w:r>
        <w:t xml:space="preserve">Production platforms, </w:t>
      </w:r>
      <w:r>
        <w:rPr>
          <w:b/>
        </w:rPr>
        <w:t>Floating Production Storage and Offloading vessels (FPSOs)</w:t>
      </w:r>
      <w:r>
        <w:t>, and offshore installations</w:t>
      </w:r>
    </w:p>
    <w:p>
      <w:pPr>
        <w:pStyle w:val="ListBullet"/>
      </w:pPr>
      <w:r>
        <w:t>Onshore processing facilities, terminals, and storage facilities</w:t>
      </w:r>
    </w:p>
    <w:p>
      <w:pPr>
        <w:pStyle w:val="ListBullet"/>
      </w:pPr>
      <w:r>
        <w:t>Field offices, operations centers, and warehouses</w:t>
      </w:r>
    </w:p>
    <w:p>
      <w:pPr>
        <w:pStyle w:val="ListBullet"/>
      </w:pPr>
      <w:r>
        <w:t>Permanent or semi-permanent structures exceeding 6-12 month threshold</w:t>
      </w:r>
    </w:p>
    <w:p>
      <w:r>
        <w:rPr>
          <w:b/>
        </w:rPr>
        <w:t>Specific PE Provisions (OECD Model Article 5(2)):</w:t>
      </w:r>
    </w:p>
    <w:p>
      <w:pPr>
        <w:pStyle w:val="ListBullet"/>
      </w:pPr>
      <w:r>
        <w:t>Article 5(2)(f) explicitly lists "a mine, an oil or natural gas well, a quarry or any other place of extraction of natural resources" as constituting a PE</w:t>
      </w:r>
    </w:p>
    <w:p>
      <w:pPr>
        <w:pStyle w:val="ListBullet"/>
      </w:pPr>
      <w:r>
        <w:t>No time threshold required - PE exists from commencement of operations</w:t>
      </w:r>
    </w:p>
    <w:p>
      <w:pPr>
        <w:pStyle w:val="ListBullet"/>
      </w:pPr>
      <w:r>
        <w:t>Applies to both exploration and production activities</w:t>
      </w:r>
    </w:p>
    <w:p>
      <w:r>
        <w:rPr>
          <w:b/>
        </w:rPr>
        <w:t>Construction PE (OECD Model Article 5(3)):</w:t>
      </w:r>
    </w:p>
    <w:p>
      <w:pPr>
        <w:pStyle w:val="ListBullet"/>
      </w:pPr>
      <w:r>
        <w:t>Drilling operations, facility construction, and pipeline installation may constitute construction PE</w:t>
      </w:r>
    </w:p>
    <w:p>
      <w:pPr>
        <w:pStyle w:val="ListBullet"/>
      </w:pPr>
      <w:r>
        <w:t>Typical treaty threshold: 6-12 months depending on jurisdiction</w:t>
      </w:r>
    </w:p>
    <w:p>
      <w:pPr>
        <w:pStyle w:val="ListBullet"/>
      </w:pPr>
      <w:r>
        <w:t>Time counted from commencement to completion of project (not calendar year basis)</w:t>
      </w:r>
    </w:p>
    <w:p>
      <w:r>
        <w:rPr>
          <w:b/>
        </w:rPr>
        <w:t>Agency PE (OECD Model Article 5(5)):</w:t>
      </w:r>
    </w:p>
    <w:p>
      <w:pPr>
        <w:pStyle w:val="ListBullet"/>
      </w:pPr>
      <w:r>
        <w:t>Dependent agents habitually concluding contracts or negotiating material terms</w:t>
      </w:r>
    </w:p>
    <w:p>
      <w:pPr>
        <w:pStyle w:val="ListBullet"/>
      </w:pPr>
      <w:r>
        <w:t>Less common for operating companies (typically conduct operations directly)</w:t>
      </w:r>
    </w:p>
    <w:p>
      <w:r>
        <w:rPr>
          <w:b/>
        </w:rPr>
        <w:t>Service PE (UN Model Article 5(3)(b)):</w:t>
      </w:r>
    </w:p>
    <w:p>
      <w:pPr>
        <w:pStyle w:val="ListBullet"/>
      </w:pPr>
      <w:r>
        <w:t>Furnishing of services through employees for aggregate 183 days+ in 12-month period</w:t>
      </w:r>
    </w:p>
    <w:p>
      <w:pPr>
        <w:pStyle w:val="ListBullet"/>
      </w:pPr>
      <w:r>
        <w:t>More prevalent risk under UN Model treaties (many resource-rich developing countries)</w:t>
      </w:r>
    </w:p>
    <w:p>
      <w:r>
        <w:rPr>
          <w:b/>
        </w:rPr>
        <w:t>Important:</w:t>
      </w:r>
      <w:r>
        <w:t xml:space="preserve"> Operating companies in energy sector almost always create PE under Article 5(2)(f) due to explicit inclusion of oil/gas wells and extraction sites. Treaty protection is limited; source taxation rights are preserved.</w:t>
      </w:r>
    </w:p>
    <w:p>
      <w:pPr>
        <w:spacing w:before="120" w:after="120"/>
        <w:pBdr>
          <w:bottom w:val="single" w:sz="6" w:space="1" w:color="auto"/>
        </w:pBdr>
      </w:pPr>
    </w:p>
    <w:p>
      <w:pPr>
        <w:pStyle w:val="Heading2"/>
      </w:pPr>
      <w:r>
        <w:t>2. Technical Rules: PE Taxation of Operating Companies</w:t>
      </w:r>
    </w:p>
    <w:p>
      <w:pPr>
        <w:pStyle w:val="Heading3"/>
      </w:pPr>
      <w:r>
        <w:t>2.1 Fixed Place PE: Production and Processing Facilities</w:t>
      </w:r>
    </w:p>
    <w:p>
      <w:r>
        <w:rPr>
          <w:b/>
        </w:rPr>
        <w:t>Permanent Establishment Status:</w:t>
      </w:r>
    </w:p>
    <w:p>
      <w:r>
        <w:t xml:space="preserve">Operating companies conducting petroleum extraction operations are deemed to have a </w:t>
      </w:r>
      <w:r>
        <w:rPr>
          <w:b/>
        </w:rPr>
        <w:t>fixed place of business PE</w:t>
      </w:r>
      <w:r>
        <w:t xml:space="preserve"> in the source state from the commencement of operations. The following facilities constitute PE:</w:t>
      </w:r>
    </w:p>
    <w:p>
      <w:r>
        <w:rPr>
          <w:b/>
        </w:rPr>
        <w:t>Offshore Operations:</w:t>
      </w:r>
    </w:p>
    <w:p>
      <w:pPr>
        <w:pStyle w:val="ListBullet"/>
      </w:pPr>
      <w:r>
        <w:rPr>
          <w:b/>
        </w:rPr>
        <w:t>Production platforms</w:t>
      </w:r>
      <w:r>
        <w:t xml:space="preserve">: Fixed platforms, compliant towers, </w:t>
      </w:r>
      <w:r>
        <w:rPr>
          <w:b/>
        </w:rPr>
        <w:t>Tension Leg Platforms (TLPs)</w:t>
      </w:r>
    </w:p>
    <w:p>
      <w:pPr>
        <w:pStyle w:val="ListBullet"/>
      </w:pPr>
      <w:r>
        <w:rPr>
          <w:b/>
        </w:rPr>
        <w:t>FPSOs</w:t>
      </w:r>
      <w:r>
        <w:t>: Floating production, storage, and offloading vessels anchored at field location for extended periods, typically multi-year deployments</w:t>
      </w:r>
    </w:p>
    <w:p>
      <w:pPr>
        <w:pStyle w:val="ListBullet"/>
      </w:pPr>
      <w:r>
        <w:rPr>
          <w:b/>
        </w:rPr>
        <w:t>Subsea infrastructure</w:t>
      </w:r>
      <w:r>
        <w:t>: Manifolds, flowlines, and control systems (when integrated with platform PE)</w:t>
      </w:r>
    </w:p>
    <w:p>
      <w:pPr>
        <w:pStyle w:val="ListBullet"/>
      </w:pPr>
      <w:r>
        <w:rPr>
          <w:b/>
        </w:rPr>
        <w:t>Well sites</w:t>
      </w:r>
      <w:r>
        <w:t>: Individual producing wells (collectively constitute PE for field operations)</w:t>
      </w:r>
    </w:p>
    <w:p>
      <w:r>
        <w:rPr>
          <w:b/>
        </w:rPr>
        <w:t>Onshore Operations:</w:t>
      </w:r>
    </w:p>
    <w:p>
      <w:pPr>
        <w:pStyle w:val="ListBullet"/>
      </w:pPr>
      <w:r>
        <w:rPr>
          <w:b/>
        </w:rPr>
        <w:t>Processing facilities</w:t>
      </w:r>
      <w:r>
        <w:t>: Gas processing plants, crude stabilization units, separation facilities</w:t>
      </w:r>
    </w:p>
    <w:p>
      <w:pPr>
        <w:pStyle w:val="ListBullet"/>
      </w:pPr>
      <w:r>
        <w:rPr>
          <w:b/>
        </w:rPr>
        <w:t>Field offices</w:t>
      </w:r>
      <w:r>
        <w:t>: Operations centers, maintenance facilities, warehouses</w:t>
      </w:r>
    </w:p>
    <w:p>
      <w:pPr>
        <w:pStyle w:val="ListBullet"/>
      </w:pPr>
      <w:r>
        <w:rPr>
          <w:b/>
        </w:rPr>
        <w:t>Pipeline infrastructure</w:t>
      </w:r>
      <w:r>
        <w:t>: When used for own production (not third-party transportation service)</w:t>
      </w:r>
    </w:p>
    <w:p>
      <w:pPr>
        <w:pStyle w:val="ListBullet"/>
      </w:pPr>
      <w:r>
        <w:rPr>
          <w:b/>
        </w:rPr>
        <w:t>Storage terminals</w:t>
      </w:r>
      <w:r>
        <w:t>: Tank farms and loading facilities at field location</w:t>
      </w:r>
    </w:p>
    <w:p>
      <w:r>
        <w:rPr>
          <w:b/>
        </w:rPr>
        <w:t>Temporary vs. Permanent Structures:</w:t>
      </w:r>
    </w:p>
    <w:p>
      <w:r>
        <w:t xml:space="preserve">Structures intended to be in place for </w:t>
      </w:r>
      <w:r>
        <w:rPr>
          <w:b/>
        </w:rPr>
        <w:t>6 months or longer</w:t>
      </w:r>
      <w:r>
        <w:t xml:space="preserve"> generally constitute PE even if technically mobile (e.g., jack-up rigs conducting development drilling over extended period). Contrast with exploration rigs operating for short periods (typically less than 6 months per location) which may not create PE depending on treaty language.</w:t>
      </w:r>
    </w:p>
    <w:p>
      <w:pPr>
        <w:pStyle w:val="Heading3"/>
      </w:pPr>
      <w:r>
        <w:t>2.2 Construction PE During Development Phase</w:t>
      </w:r>
    </w:p>
    <w:p>
      <w:r>
        <w:rPr>
          <w:b/>
        </w:rPr>
        <w:t>Application to Energy Projects:</w:t>
      </w:r>
    </w:p>
    <w:p>
      <w:r>
        <w:t xml:space="preserve">Development phase activities frequently trigger </w:t>
      </w:r>
      <w:r>
        <w:rPr>
          <w:b/>
        </w:rPr>
        <w:t>construction PE</w:t>
      </w:r>
      <w:r>
        <w:t xml:space="preserve"> under Article 5(3):</w:t>
      </w:r>
    </w:p>
    <w:p>
      <w:r>
        <w:rPr>
          <w:b/>
        </w:rPr>
        <w:t>Qualifying Activities:</w:t>
      </w:r>
    </w:p>
    <w:p>
      <w:pPr>
        <w:pStyle w:val="ListBullet"/>
      </w:pPr>
      <w:r>
        <w:t>Drilling of development wells (as distinct from single exploration well)</w:t>
      </w:r>
    </w:p>
    <w:p>
      <w:pPr>
        <w:pStyle w:val="ListBullet"/>
      </w:pPr>
      <w:r>
        <w:t>Construction of production platforms and facilities</w:t>
      </w:r>
    </w:p>
    <w:p>
      <w:pPr>
        <w:pStyle w:val="ListBullet"/>
      </w:pPr>
      <w:r>
        <w:t>Installation of subsea infrastructure and pipelines</w:t>
      </w:r>
    </w:p>
    <w:p>
      <w:pPr>
        <w:pStyle w:val="ListBullet"/>
      </w:pPr>
      <w:r>
        <w:t>Commissioning and testing of integrated facilities</w:t>
      </w:r>
    </w:p>
    <w:p>
      <w:r>
        <w:rPr>
          <w:b/>
        </w:rPr>
        <w:t>Time Threshold Calculation:</w:t>
      </w:r>
    </w:p>
    <w:p>
      <w:r>
        <w:t>Construction PE exists when project duration exceeds treaty threshold (commonly 6-12 months):</w:t>
      </w:r>
    </w:p>
    <w:p>
      <w:pPr>
        <w:shd w:fill="F0F0F0"/>
        <w:spacing w:after="0" w:line="240" w:lineRule="auto"/>
      </w:pPr>
      <w:r>
        <w:rPr>
          <w:rFonts w:ascii="Courier New" w:hAnsi="Courier New"/>
          <w:sz w:val="20"/>
        </w:rPr>
        <w:t>Commencement Date → Date of first physical activity on-site</w:t>
      </w:r>
    </w:p>
    <w:p>
      <w:pPr>
        <w:shd w:fill="F0F0F0"/>
        <w:spacing w:after="0" w:line="240" w:lineRule="auto"/>
      </w:pPr>
      <w:r>
        <w:rPr>
          <w:rFonts w:ascii="Courier New" w:hAnsi="Courier New"/>
          <w:sz w:val="20"/>
        </w:rPr>
        <w:t>Completion Date → Date facilities commissioned and ready for production</w:t>
      </w:r>
    </w:p>
    <w:p>
      <w:pPr>
        <w:shd w:fill="F0F0F0"/>
        <w:spacing w:after="0" w:line="240" w:lineRule="auto"/>
      </w:pPr>
      <w:r>
        <w:rPr>
          <w:rFonts w:ascii="Courier New" w:hAnsi="Courier New"/>
          <w:sz w:val="20"/>
        </w:rPr>
        <w:t>Duration = Completion Date - Commencement Date</w:t>
      </w:r>
    </w:p>
    <w:p/>
    <w:p>
      <w:r>
        <w:rPr>
          <w:b/>
        </w:rPr>
        <w:t>Key Issues:</w:t>
      </w:r>
    </w:p>
    <w:p>
      <w:pPr>
        <w:pStyle w:val="ListBullet"/>
      </w:pPr>
      <w:r>
        <w:rPr>
          <w:b/>
        </w:rPr>
        <w:t>Multiple contracts</w:t>
      </w:r>
      <w:r>
        <w:t>: Separate contracts for drilling, fabrication, installation may be aggregated if forming single cohesive project</w:t>
      </w:r>
    </w:p>
    <w:p>
      <w:pPr>
        <w:pStyle w:val="ListBullet"/>
      </w:pPr>
      <w:r>
        <w:rPr>
          <w:b/>
        </w:rPr>
        <w:t>Interruptions</w:t>
      </w:r>
      <w:r>
        <w:t>: Temporary cessations (weather, equipment delays) do not restart clock</w:t>
      </w:r>
    </w:p>
    <w:p>
      <w:pPr>
        <w:pStyle w:val="ListBullet"/>
      </w:pPr>
      <w:r>
        <w:rPr>
          <w:b/>
        </w:rPr>
        <w:t>Operator vs. contractor</w:t>
      </w:r>
      <w:r>
        <w:t>: Operating company conducting own construction creates construction PE; using independent third-party contractor generally does not (PE risk shifts to contractor)</w:t>
      </w:r>
    </w:p>
    <w:p>
      <w:r>
        <w:rPr>
          <w:b/>
        </w:rPr>
        <w:t>Treaty Variation:</w:t>
      </w:r>
    </w:p>
    <w:p>
      <w:pPr>
        <w:pStyle w:val="ListBullet"/>
      </w:pPr>
      <w:r>
        <w:t>OECD Model: 12 months threshold</w:t>
      </w:r>
    </w:p>
    <w:p>
      <w:pPr>
        <w:pStyle w:val="ListBullet"/>
      </w:pPr>
      <w:r>
        <w:t>UN Model: 6 months threshold</w:t>
      </w:r>
    </w:p>
    <w:p>
      <w:pPr>
        <w:pStyle w:val="ListBullet"/>
      </w:pPr>
      <w:r>
        <w:t>Many resource jurisdiction treaties: 3-6 months (e.g., Nigeria, Indonesia)</w:t>
      </w:r>
    </w:p>
    <w:p>
      <w:r>
        <w:rPr>
          <w:b/>
        </w:rPr>
        <w:t>Example Treaty Language (UK-Nigeria Double Taxation Agreement):</w:t>
      </w:r>
    </w:p>
    <w:p>
      <w:r>
        <w:t>The UK-Nigeria tax treaty defines permanent establishment to include: "a building site, a construction, assembly or installation project or supervisory activities in connection therewith, but only where such site, project or activities continue for a period of more than 183 days." This 183-day (approximately 6-month) threshold is shorter than the OECD Model's 12-month standard, reflecting the preference of many resource-rich developing countries for lower thresholds to secure earlier taxation rights.</w:t>
      </w:r>
    </w:p>
    <w:p>
      <w:pPr>
        <w:pStyle w:val="Heading3"/>
      </w:pPr>
      <w:r>
        <w:t>2.3 Profit Attribution to Operating Company PE</w:t>
      </w:r>
    </w:p>
    <w:p>
      <w:r>
        <w:rPr>
          <w:b/>
        </w:rPr>
        <w:t>Authorized OECD Approach (AOA):</w:t>
      </w:r>
    </w:p>
    <w:p>
      <w:r>
        <w:t xml:space="preserve">The OECD Transfer Pricing Guidelines, specifically the 2010 Report on Attribution of Profits to Permanent Establishments, establish the </w:t>
      </w:r>
      <w:r>
        <w:rPr>
          <w:b/>
        </w:rPr>
        <w:t>Authorized OECD Approach (AOA)</w:t>
      </w:r>
      <w:r>
        <w:t xml:space="preserve"> based on functional and factual analysis. The AOA treats the PE as a functionally separate entity and applies the arm's length principle to attribute profits:</w:t>
      </w:r>
    </w:p>
    <w:p>
      <w:r>
        <w:rPr>
          <w:b/>
        </w:rPr>
        <w:t>Step 1: Hypothecation of Assets</w:t>
      </w:r>
    </w:p>
    <w:p>
      <w:pPr>
        <w:pStyle w:val="ListBullet"/>
      </w:pPr>
      <w:r>
        <w:t>Identify assets used by PE (platforms, equipment, licenses)</w:t>
      </w:r>
    </w:p>
    <w:p>
      <w:pPr>
        <w:pStyle w:val="ListBullet"/>
      </w:pPr>
      <w:r>
        <w:t>Attribute ownership to PE where assets economically used by PE</w:t>
      </w:r>
    </w:p>
    <w:p>
      <w:r>
        <w:rPr>
          <w:b/>
        </w:rPr>
        <w:t>Step 2: Attribution of Risks</w:t>
      </w:r>
    </w:p>
    <w:p>
      <w:pPr>
        <w:pStyle w:val="ListBullet"/>
      </w:pPr>
      <w:r>
        <w:t xml:space="preserve">Identify </w:t>
      </w:r>
      <w:r>
        <w:rPr>
          <w:b/>
        </w:rPr>
        <w:t>significant people functions (SPFs)</w:t>
      </w:r>
      <w:r>
        <w:t xml:space="preserve"> - the key personnel performing risk management and decision-making activities</w:t>
      </w:r>
    </w:p>
    <w:p>
      <w:pPr>
        <w:pStyle w:val="ListBullet"/>
      </w:pPr>
      <w:r>
        <w:t>Attribute risks to PE where SPFs are located, as risks follow the location of those with authority and capability to manage them</w:t>
      </w:r>
    </w:p>
    <w:p>
      <w:r>
        <w:rPr>
          <w:b/>
        </w:rPr>
        <w:t>Step 3: Recognition of Dealings</w:t>
      </w:r>
    </w:p>
    <w:p>
      <w:pPr>
        <w:pStyle w:val="ListBullet"/>
      </w:pPr>
      <w:r>
        <w:t>Recognize internal "dealings" between PE and head office as if separate enterprises</w:t>
      </w:r>
    </w:p>
    <w:p>
      <w:pPr>
        <w:pStyle w:val="ListBullet"/>
      </w:pPr>
      <w:r>
        <w:t>Apply arm's length principle to internal dealings</w:t>
      </w:r>
    </w:p>
    <w:p>
      <w:r>
        <w:rPr>
          <w:b/>
        </w:rPr>
        <w:t>Step 4: Profit Attribution</w:t>
      </w:r>
    </w:p>
    <w:p>
      <w:pPr>
        <w:pStyle w:val="ListBullet"/>
      </w:pPr>
      <w:r>
        <w:t>Calculate PE profits based on functions performed, assets used, and risks assumed</w:t>
      </w:r>
    </w:p>
    <w:p>
      <w:pPr>
        <w:pStyle w:val="ListBullet"/>
      </w:pPr>
      <w:r>
        <w:t xml:space="preserve">Apply appropriate transfer pricing methods, typically the </w:t>
      </w:r>
      <w:r>
        <w:rPr>
          <w:b/>
        </w:rPr>
        <w:t>Transactional Net Margin Method (TNMM)</w:t>
      </w:r>
      <w:r>
        <w:t xml:space="preserve"> or profit split method depending on the complexity and integration of operations</w:t>
      </w:r>
    </w:p>
    <w:p>
      <w:r>
        <w:rPr>
          <w:b/>
        </w:rPr>
        <w:t>Practical Application for Operating Companies:</w:t>
      </w:r>
    </w:p>
    <w:p>
      <w:r>
        <w:t>Under the AOA, an operating company PE in the source state is typically attributed the following profit components:</w:t>
      </w:r>
    </w:p>
    <w:p>
      <w:pPr>
        <w:pStyle w:val="ListBullet"/>
      </w:pPr>
      <w:r>
        <w:rPr>
          <w:b/>
        </w:rPr>
        <w:t>Revenues</w:t>
      </w:r>
      <w:r>
        <w:t>: Production revenue from petroleum sold at market value or realized sales price, based on sales actually concluded by or attributable to the PE</w:t>
      </w:r>
    </w:p>
    <w:p>
      <w:pPr>
        <w:pStyle w:val="ListBullet"/>
      </w:pPr>
      <w:r>
        <w:rPr>
          <w:b/>
        </w:rPr>
        <w:t>Direct costs</w:t>
      </w:r>
      <w:r>
        <w:t>: Operating expenditures (personnel, well services, maintenance), production costs, and decommissioning provisions directly incurred by the PE</w:t>
      </w:r>
    </w:p>
    <w:p>
      <w:pPr>
        <w:pStyle w:val="ListBullet"/>
      </w:pPr>
      <w:r>
        <w:rPr>
          <w:b/>
        </w:rPr>
        <w:t>Depreciation</w:t>
      </w:r>
      <w:r>
        <w:t>: Capital allowances on PE assets (platforms, facilities, equipment) calculated under source state domestic law</w:t>
      </w:r>
    </w:p>
    <w:p>
      <w:pPr>
        <w:pStyle w:val="ListBullet"/>
      </w:pPr>
      <w:r>
        <w:rPr>
          <w:b/>
        </w:rPr>
        <w:t>Allocated costs</w:t>
      </w:r>
      <w:r>
        <w:t>: Proportionate share of head office costs (technical support, management, financing) based on arm's length allocation methodologies</w:t>
      </w:r>
    </w:p>
    <w:p>
      <w:r>
        <w:rPr>
          <w:b/>
        </w:rPr>
        <w:t>Challenges:</w:t>
      </w:r>
    </w:p>
    <w:p>
      <w:pPr>
        <w:pStyle w:val="ListBullet"/>
      </w:pPr>
      <w:r>
        <w:t>Determination of arm's length allocation for shared services</w:t>
      </w:r>
    </w:p>
    <w:p>
      <w:pPr>
        <w:pStyle w:val="ListBullet"/>
      </w:pPr>
      <w:r>
        <w:t>Attribution of exploration costs to specific PE when regional portfolio approach used</w:t>
      </w:r>
    </w:p>
    <w:p>
      <w:pPr>
        <w:pStyle w:val="ListBullet"/>
      </w:pPr>
      <w:r>
        <w:t>Treatment of integrated operations spanning multiple jurisdictions</w:t>
      </w:r>
    </w:p>
    <w:p>
      <w:pPr>
        <w:pStyle w:val="Heading3"/>
      </w:pPr>
      <w:r>
        <w:t>2.4 Deductible Expenses for Operating Company PE</w:t>
      </w:r>
    </w:p>
    <w:p>
      <w:r>
        <w:rPr>
          <w:b/>
        </w:rPr>
        <w:t>Allowable Deductions (Domestic Law + Treaty Article 7):</w:t>
      </w:r>
    </w:p>
    <w:p>
      <w:r>
        <w:t>Article 7(3) OECD Model permits deduction of expenses incurred for PE purposes:</w:t>
      </w:r>
    </w:p>
    <w:p>
      <w:r>
        <w:rPr>
          <w:b/>
        </w:rPr>
        <w:t>Direct Operating Costs:</w:t>
      </w:r>
    </w:p>
    <w:p>
      <w:pPr>
        <w:pStyle w:val="ListBullet"/>
      </w:pPr>
      <w:r>
        <w:t>Personnel costs: Salaries, benefits, and on-costs for PE employees</w:t>
      </w:r>
    </w:p>
    <w:p>
      <w:pPr>
        <w:pStyle w:val="ListBullet"/>
      </w:pPr>
      <w:r>
        <w:t>Production operations: Well services, maintenance, utilities, chemicals</w:t>
      </w:r>
    </w:p>
    <w:p>
      <w:pPr>
        <w:pStyle w:val="ListBullet"/>
      </w:pPr>
      <w:r>
        <w:t>Transportation: Pipeline tariffs, shipping, and logistics for PE production</w:t>
      </w:r>
    </w:p>
    <w:p>
      <w:pPr>
        <w:pStyle w:val="ListBullet"/>
      </w:pPr>
      <w:r>
        <w:t>Insurance: Coverage for PE assets and operations</w:t>
      </w:r>
    </w:p>
    <w:p>
      <w:pPr>
        <w:pStyle w:val="ListBullet"/>
      </w:pPr>
      <w:r>
        <w:t>Environmental compliance: Monitoring, reporting, and remediation costs</w:t>
      </w:r>
    </w:p>
    <w:p>
      <w:r>
        <w:rPr>
          <w:b/>
        </w:rPr>
        <w:t>Capital Allowances:</w:t>
      </w:r>
    </w:p>
    <w:p>
      <w:pPr>
        <w:pStyle w:val="ListBullet"/>
      </w:pPr>
      <w:r>
        <w:t>Depreciation of PE assets per domestic tax law (typically 10-25% per annum for production assets)</w:t>
      </w:r>
    </w:p>
    <w:p>
      <w:pPr>
        <w:pStyle w:val="ListBullet"/>
      </w:pPr>
      <w:r>
        <w:t>Immediate expensing or capitalization of exploration/development costs (jurisdiction-specific)</w:t>
      </w:r>
    </w:p>
    <w:p>
      <w:pPr>
        <w:pStyle w:val="ListBullet"/>
      </w:pPr>
      <w:r>
        <w:t>Decommissioning provisions: Accrual for future abandonment costs (treatment varies: some jurisdictions allow reserve, others only on expenditure)</w:t>
      </w:r>
    </w:p>
    <w:p>
      <w:r>
        <w:rPr>
          <w:b/>
        </w:rPr>
        <w:t>Allocated Head Office Costs:</w:t>
      </w:r>
    </w:p>
    <w:p>
      <w:r>
        <w:t xml:space="preserve">Treaty Article 7(3) permits deduction of </w:t>
      </w:r>
      <w:r>
        <w:rPr>
          <w:b/>
        </w:rPr>
        <w:t>executive and general administrative expenses</w:t>
      </w:r>
      <w:r>
        <w:t xml:space="preserve"> incurred for PE purposes, whether in PE state or elsewhere, subject to:</w:t>
      </w:r>
    </w:p>
    <w:p>
      <w:r>
        <w:rPr>
          <w:b/>
        </w:rPr>
        <w:t>Arm's Length Principle:</w:t>
      </w:r>
    </w:p>
    <w:p>
      <w:pPr>
        <w:pStyle w:val="ListBullet"/>
      </w:pPr>
      <w:r>
        <w:t>Allocation methodology must be reasonable and consistent with functions performed</w:t>
      </w:r>
    </w:p>
    <w:p>
      <w:pPr>
        <w:pStyle w:val="ListBullet"/>
      </w:pPr>
      <w:r>
        <w:t>Common allocation keys: Revenues, assets, headcount, time records</w:t>
      </w:r>
    </w:p>
    <w:p>
      <w:pPr>
        <w:pStyle w:val="ListBullet"/>
      </w:pPr>
      <w:r>
        <w:t xml:space="preserve">Typical allowable percentage: </w:t>
      </w:r>
      <w:r>
        <w:rPr>
          <w:b/>
        </w:rPr>
        <w:t>3-10% of direct costs</w:t>
      </w:r>
      <w:r>
        <w:t xml:space="preserve"> depending on level of support</w:t>
      </w:r>
    </w:p>
    <w:p>
      <w:r>
        <w:rPr>
          <w:b/>
        </w:rPr>
        <w:t>Documentation Requirements:</w:t>
      </w:r>
    </w:p>
    <w:p>
      <w:pPr>
        <w:pStyle w:val="ListBullet"/>
      </w:pPr>
      <w:r>
        <w:t>Detailed description of services provided by head office</w:t>
      </w:r>
    </w:p>
    <w:p>
      <w:pPr>
        <w:pStyle w:val="ListBullet"/>
      </w:pPr>
      <w:r>
        <w:t>Allocation methodology and calculation</w:t>
      </w:r>
    </w:p>
    <w:p>
      <w:pPr>
        <w:pStyle w:val="ListBullet"/>
      </w:pPr>
      <w:r>
        <w:t>Benchmarking against third-party service providers where possible</w:t>
      </w:r>
    </w:p>
    <w:p>
      <w:pPr>
        <w:pStyle w:val="ListBullet"/>
      </w:pPr>
      <w:r>
        <w:t>Transfer pricing documentation (Master File, Local File)</w:t>
      </w:r>
    </w:p>
    <w:p>
      <w:r>
        <w:rPr>
          <w:b/>
        </w:rPr>
        <w:t>Non-Deductible Expenses:</w:t>
      </w:r>
    </w:p>
    <w:p>
      <w:pPr>
        <w:pStyle w:val="ListBullet"/>
      </w:pPr>
      <w:r>
        <w:t>Interest on intra-company loans (often disallowed or subject to thin capitalization rules)</w:t>
      </w:r>
    </w:p>
    <w:p>
      <w:pPr>
        <w:pStyle w:val="ListBullet"/>
      </w:pPr>
      <w:r>
        <w:t>Excessive management fees not supported by actual services</w:t>
      </w:r>
    </w:p>
    <w:p>
      <w:pPr>
        <w:pStyle w:val="ListBullet"/>
      </w:pPr>
      <w:r>
        <w:t>Costs attributable to non-PE activities (e.g., exploration in different country)</w:t>
      </w:r>
    </w:p>
    <w:p>
      <w:pPr>
        <w:pStyle w:val="ListBullet"/>
      </w:pPr>
      <w:r>
        <w:t>Fines, penalties, and illegal payments</w:t>
      </w:r>
    </w:p>
    <w:p>
      <w:r>
        <w:rPr>
          <w:b/>
        </w:rPr>
        <w:t>Royalties and Government Take:</w:t>
      </w:r>
    </w:p>
    <w:p>
      <w:pPr>
        <w:pStyle w:val="ListBullet"/>
      </w:pPr>
      <w:r>
        <w:t>Royalties payable to host government: Generally deductible (subject to specific PE profit calculation rules)</w:t>
      </w:r>
    </w:p>
    <w:p>
      <w:pPr>
        <w:pStyle w:val="ListBullet"/>
      </w:pPr>
      <w:r>
        <w:t>Signature bonuses: Capitalized and amortized (if treated as cost of acquiring rights)</w:t>
      </w:r>
    </w:p>
    <w:p>
      <w:pPr>
        <w:pStyle w:val="Heading3"/>
      </w:pPr>
      <w:r>
        <w:t>2.5 Transfer Pricing for Operator Fees</w:t>
      </w:r>
    </w:p>
    <w:p>
      <w:r>
        <w:rPr>
          <w:b/>
        </w:rPr>
        <w:t>JOA Operator Compensation:</w:t>
      </w:r>
    </w:p>
    <w:p>
      <w:r>
        <w:t>Operators receive compensation for services provided to joint venture, structured as:</w:t>
      </w:r>
    </w:p>
    <w:p>
      <w:r>
        <w:rPr>
          <w:b/>
        </w:rPr>
        <w:t>Cost Reimbursement + Fee:</w:t>
      </w:r>
    </w:p>
    <w:p>
      <w:pPr>
        <w:pStyle w:val="ListBullet"/>
      </w:pPr>
      <w:r>
        <w:rPr>
          <w:b/>
        </w:rPr>
        <w:t>Direct costs</w:t>
      </w:r>
      <w:r>
        <w:t>: Recovered at cost (no markup) - e.g., drilling costs, equipment purchases</w:t>
      </w:r>
    </w:p>
    <w:p>
      <w:pPr>
        <w:pStyle w:val="ListBullet"/>
      </w:pPr>
      <w:r>
        <w:rPr>
          <w:b/>
        </w:rPr>
        <w:t>Indirect costs</w:t>
      </w:r>
      <w:r>
        <w:t>: Overhead allocation - typically cost plus 5-15%</w:t>
      </w:r>
    </w:p>
    <w:p>
      <w:pPr>
        <w:pStyle w:val="ListBullet"/>
      </w:pPr>
      <w:r>
        <w:rPr>
          <w:b/>
        </w:rPr>
        <w:t>Operator fee</w:t>
      </w:r>
      <w:r>
        <w:t>: Flat fee or percentage of costs/production for management services</w:t>
      </w:r>
    </w:p>
    <w:p>
      <w:r>
        <w:rPr>
          <w:b/>
        </w:rPr>
        <w:t>Arm's Length Benchmarking:</w:t>
      </w:r>
    </w:p>
    <w:p>
      <w:r>
        <w:t>Operator fees must satisfy arm's length principle under domestic transfer pricing rules. Acceptable ranges based on functions and risks: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Operator Function Level</w:t>
            </w:r>
          </w:p>
        </w:tc>
        <w:tc>
          <w:tcPr>
            <w:tcW w:type="dxa" w:w="2880"/>
          </w:tcPr>
          <w:p>
            <w:r>
              <w:rPr>
                <w:b/>
              </w:rPr>
            </w:r>
            <w:r>
              <w:rPr>
                <w:b/>
              </w:rPr>
              <w:t>Typical Fee Range</w:t>
            </w:r>
          </w:p>
        </w:tc>
        <w:tc>
          <w:tcPr>
            <w:tcW w:type="dxa" w:w="2880"/>
          </w:tcPr>
          <w:p>
            <w:r>
              <w:rPr>
                <w:b/>
              </w:rPr>
            </w:r>
            <w:r>
              <w:rPr>
                <w:b/>
              </w:rPr>
              <w:t>Basis</w:t>
            </w:r>
          </w:p>
        </w:tc>
      </w:tr>
      <w:tr>
        <w:tc>
          <w:tcPr>
            <w:tcW w:type="dxa" w:w="2880"/>
          </w:tcPr>
          <w:p>
            <w:r/>
            <w:r>
              <w:rPr>
                <w:b/>
              </w:rPr>
              <w:t>Limited-risk operator</w:t>
            </w:r>
            <w:r>
              <w:t>: Routine operational management, no exploration risk</w:t>
            </w:r>
          </w:p>
        </w:tc>
        <w:tc>
          <w:tcPr>
            <w:tcW w:type="dxa" w:w="2880"/>
          </w:tcPr>
          <w:p>
            <w:r/>
            <w:r>
              <w:t>5-8% of operating costs</w:t>
            </w:r>
          </w:p>
        </w:tc>
        <w:tc>
          <w:tcPr>
            <w:tcW w:type="dxa" w:w="2880"/>
          </w:tcPr>
          <w:p>
            <w:r/>
            <w:r>
              <w:t>Cost plus markup</w:t>
            </w:r>
          </w:p>
        </w:tc>
      </w:tr>
      <w:tr>
        <w:tc>
          <w:tcPr>
            <w:tcW w:type="dxa" w:w="2880"/>
          </w:tcPr>
          <w:p>
            <w:r/>
            <w:r>
              <w:rPr>
                <w:b/>
              </w:rPr>
              <w:t>Standard operator</w:t>
            </w:r>
            <w:r>
              <w:t>: Full operational management, participates in exploration/development risk</w:t>
            </w:r>
          </w:p>
        </w:tc>
        <w:tc>
          <w:tcPr>
            <w:tcW w:type="dxa" w:w="2880"/>
          </w:tcPr>
          <w:p>
            <w:r/>
            <w:r>
              <w:t>8-12% of operating costs</w:t>
            </w:r>
          </w:p>
        </w:tc>
        <w:tc>
          <w:tcPr>
            <w:tcW w:type="dxa" w:w="2880"/>
          </w:tcPr>
          <w:p>
            <w:r/>
            <w:r>
              <w:t>Cost plus markup</w:t>
            </w:r>
          </w:p>
        </w:tc>
      </w:tr>
      <w:tr>
        <w:tc>
          <w:tcPr>
            <w:tcW w:type="dxa" w:w="2880"/>
          </w:tcPr>
          <w:p>
            <w:r/>
            <w:r>
              <w:rPr>
                <w:b/>
              </w:rPr>
              <w:t>Technically complex operations</w:t>
            </w:r>
            <w:r>
              <w:t>: Deepwater, High Pressure High Temperature (HPHT), frontier areas requiring specialized expertise</w:t>
            </w:r>
          </w:p>
        </w:tc>
        <w:tc>
          <w:tcPr>
            <w:tcW w:type="dxa" w:w="2880"/>
          </w:tcPr>
          <w:p>
            <w:r/>
            <w:r>
              <w:t>12-18% of operating costs</w:t>
            </w:r>
          </w:p>
        </w:tc>
        <w:tc>
          <w:tcPr>
            <w:tcW w:type="dxa" w:w="2880"/>
          </w:tcPr>
          <w:p>
            <w:r/>
            <w:r>
              <w:t>Cost plus markup or profit split</w:t>
            </w:r>
          </w:p>
        </w:tc>
      </w:tr>
      <w:tr>
        <w:tc>
          <w:tcPr>
            <w:tcW w:type="dxa" w:w="2880"/>
          </w:tcPr>
          <w:p>
            <w:r/>
            <w:r>
              <w:rPr>
                <w:b/>
              </w:rPr>
              <w:t>Integrated operator</w:t>
            </w:r>
            <w:r>
              <w:t>: Operator also providing significant technical services, secondments</w:t>
            </w:r>
          </w:p>
        </w:tc>
        <w:tc>
          <w:tcPr>
            <w:tcW w:type="dxa" w:w="2880"/>
          </w:tcPr>
          <w:p>
            <w:r/>
            <w:r>
              <w:t>15-20%+ of costs OR 2-5% of revenue</w:t>
            </w:r>
          </w:p>
        </w:tc>
        <w:tc>
          <w:tcPr>
            <w:tcW w:type="dxa" w:w="2880"/>
          </w:tcPr>
          <w:p>
            <w:r/>
            <w:r>
              <w:t>TNMM or profit split method</w:t>
            </w:r>
          </w:p>
        </w:tc>
      </w:tr>
    </w:tbl>
    <w:p/>
    <w:p>
      <w:r>
        <w:rPr>
          <w:b/>
        </w:rPr>
        <w:t>Example - North Sea JOA Operator Fee:</w:t>
      </w:r>
    </w:p>
    <w:p>
      <w:pPr>
        <w:pStyle w:val="ListBullet"/>
      </w:pPr>
      <w:r>
        <w:t>Operator: UKOilCo (UK resident, appointed operator)</w:t>
      </w:r>
    </w:p>
    <w:p>
      <w:pPr>
        <w:pStyle w:val="ListBullet"/>
      </w:pPr>
      <w:r>
        <w:t>Non-operators: NorwayCo (25%), FranceCo (25%), USACo (25%)</w:t>
      </w:r>
    </w:p>
    <w:p>
      <w:pPr>
        <w:pStyle w:val="ListBullet"/>
      </w:pPr>
      <w:r>
        <w:t>Operating costs (annual): GBP 200 million</w:t>
      </w:r>
    </w:p>
    <w:p>
      <w:pPr>
        <w:pStyle w:val="ListBullet"/>
      </w:pPr>
      <w:r>
        <w:t>Operator overhead allocation: 8% of operating costs</w:t>
      </w:r>
    </w:p>
    <w:p>
      <w:pPr>
        <w:pStyle w:val="ListBullet"/>
      </w:pPr>
      <w:r>
        <w:t>Operator fee: GBP 200M × 8% = GBP 16 million (charged to joint account, allocated among all participants including operator based on working interest)</w:t>
      </w:r>
    </w:p>
    <w:p>
      <w:r>
        <w:rPr>
          <w:b/>
        </w:rPr>
        <w:t>Transfer Pricing Documentation:</w:t>
      </w:r>
    </w:p>
    <w:p>
      <w:pPr>
        <w:pStyle w:val="ListBullet"/>
      </w:pPr>
      <w:r>
        <w:t>Functional analysis of operator vs. non-operator roles</w:t>
      </w:r>
    </w:p>
    <w:p>
      <w:pPr>
        <w:pStyle w:val="ListBullet"/>
      </w:pPr>
      <w:r>
        <w:t>Benchmarking study using comparable JOA fees or service provider margins</w:t>
      </w:r>
    </w:p>
    <w:p>
      <w:pPr>
        <w:pStyle w:val="ListBullet"/>
      </w:pPr>
      <w:r>
        <w:t>Justification for fee level based on complexity, risk profile, market conditions</w:t>
      </w:r>
    </w:p>
    <w:p>
      <w:pPr>
        <w:pStyle w:val="ListBullet"/>
      </w:pPr>
      <w:r>
        <w:t>Annual review to ensure continued arm's length compliance</w:t>
      </w:r>
    </w:p>
    <w:p>
      <w:r>
        <w:rPr>
          <w:b/>
        </w:rPr>
        <w:t>Recent Developments:</w:t>
      </w:r>
    </w:p>
    <w:p>
      <w:pPr>
        <w:pStyle w:val="ListBullet"/>
      </w:pPr>
      <w:r>
        <w:t>Increased scrutiny by tax authorities on operator fees, particularly in developing resource jurisdictions</w:t>
      </w:r>
    </w:p>
    <w:p>
      <w:pPr>
        <w:pStyle w:val="ListBullet"/>
      </w:pPr>
      <w:r>
        <w:t>OECD Base Erosion and Profit Shifting (BEPS) Actions 8-10 (finalized 2015) emphasize aligning returns with value creation through functions performed, assets used, and risks assumed</w:t>
      </w:r>
    </w:p>
    <w:p>
      <w:pPr>
        <w:pStyle w:val="ListBullet"/>
      </w:pPr>
      <w:r>
        <w:t>Expanded documentation requirements under BEPS Action 13 Country-by-Country Reporting (CbCR), which includes operator fees in related-party disclosures</w:t>
      </w:r>
    </w:p>
    <w:p>
      <w:pPr>
        <w:pStyle w:val="ListBullet"/>
      </w:pPr>
      <w:r>
        <w:t>Several jurisdictions (e.g., Ghana, Tanzania) issuing specific guidance on acceptable operator fee ranges, typically capping at 5-10% absent robust benchmarking studies</w:t>
      </w:r>
    </w:p>
    <w:p>
      <w:pPr>
        <w:spacing w:before="120" w:after="120"/>
        <w:pBdr>
          <w:bottom w:val="single" w:sz="6" w:space="1" w:color="auto"/>
        </w:pBdr>
      </w:pPr>
    </w:p>
    <w:p>
      <w:pPr>
        <w:pStyle w:val="Heading2"/>
      </w:pPr>
      <w:r>
        <w:t>3. Analytical Depth: Complex PE Issues for Operating Companies</w:t>
      </w:r>
    </w:p>
    <w:p>
      <w:pPr>
        <w:pStyle w:val="Heading3"/>
      </w:pPr>
      <w:r>
        <w:t>3.1 Joint Operating Agreements (JOAs) and PE Implications</w:t>
      </w:r>
    </w:p>
    <w:p>
      <w:r>
        <w:rPr>
          <w:b/>
        </w:rPr>
        <w:t>JOA Structure and PE Creation:</w:t>
      </w:r>
    </w:p>
    <w:p>
      <w:r>
        <w:t>Joint Operating Agreements are the standard commercial framework for petroleum E&amp;P joint ventures. PE implications vary based on participant role:</w:t>
      </w:r>
    </w:p>
    <w:p>
      <w:r>
        <w:rPr>
          <w:b/>
        </w:rPr>
        <w:t>Operator PE Risk: HIGH</w:t>
      </w:r>
    </w:p>
    <w:p>
      <w:pPr>
        <w:pStyle w:val="ListBullet"/>
      </w:pPr>
      <w:r>
        <w:t>Operator maintains field offices, personnel, and equipment in source state</w:t>
      </w:r>
    </w:p>
    <w:p>
      <w:pPr>
        <w:pStyle w:val="ListBullet"/>
      </w:pPr>
      <w:r>
        <w:t>Conducts operations using jointly-owned assets (platforms, facilities)</w:t>
      </w:r>
    </w:p>
    <w:p>
      <w:pPr>
        <w:pStyle w:val="ListBullet"/>
      </w:pPr>
      <w:r>
        <w:t>Creates PE under Article 5(1) (fixed place of business) and Article 5(2)(f) (extraction site)</w:t>
      </w:r>
    </w:p>
    <w:p>
      <w:pPr>
        <w:pStyle w:val="ListBullet"/>
      </w:pPr>
      <w:r>
        <w:rPr>
          <w:b/>
        </w:rPr>
        <w:t>Result</w:t>
      </w:r>
      <w:r>
        <w:t>: Operator taxable in source state on its working interest share of production</w:t>
      </w:r>
    </w:p>
    <w:p>
      <w:r>
        <w:rPr>
          <w:b/>
        </w:rPr>
        <w:t>Non-Operator PE Risk: MODERATE</w:t>
      </w:r>
    </w:p>
    <w:p>
      <w:pPr>
        <w:pStyle w:val="ListBullet"/>
      </w:pPr>
      <w:r>
        <w:t>Non-operator typically has no physical presence in source state</w:t>
      </w:r>
    </w:p>
    <w:p>
      <w:pPr>
        <w:pStyle w:val="ListBullet"/>
      </w:pPr>
      <w:r>
        <w:t>May have PE if:</w:t>
      </w:r>
    </w:p>
    <w:p>
      <w:pPr>
        <w:pStyle w:val="ListBullet"/>
        <w:ind w:left="360"/>
      </w:pPr>
      <w:r>
        <w:rPr>
          <w:b/>
        </w:rPr>
        <w:t>Seconded personnel</w:t>
      </w:r>
      <w:r>
        <w:t>: Employees seconded to operator conducting activities at field site</w:t>
      </w:r>
    </w:p>
    <w:p>
      <w:pPr>
        <w:pStyle w:val="ListBullet"/>
        <w:ind w:left="360"/>
      </w:pPr>
      <w:r>
        <w:rPr>
          <w:b/>
        </w:rPr>
        <w:t>Jointly-owned assets</w:t>
      </w:r>
      <w:r>
        <w:t>: Co-ownership of platforms/facilities creates PE exposure</w:t>
      </w:r>
    </w:p>
    <w:p>
      <w:pPr>
        <w:pStyle w:val="ListBullet"/>
        <w:ind w:left="360"/>
      </w:pPr>
      <w:r>
        <w:rPr>
          <w:b/>
        </w:rPr>
        <w:t>Active participation</w:t>
      </w:r>
      <w:r>
        <w:t>: Regular on-site presence for joint venture committee meetings, inspections</w:t>
      </w:r>
    </w:p>
    <w:p>
      <w:r>
        <w:rPr>
          <w:b/>
        </w:rPr>
        <w:t>Key Principle:</w:t>
      </w:r>
      <w:r>
        <w:t xml:space="preserve"> Under OECD Model Tax Convention Commentary, </w:t>
      </w:r>
      <w:r>
        <w:rPr>
          <w:b/>
        </w:rPr>
        <w:t>joint ownership of production facilities creates PE for all co-owners</w:t>
      </w:r>
      <w:r>
        <w:t>, even if one party is designated as operator for operational purposes. The non-operator cannot rely on the independent agent exception under Article 5(6) because the operator acts on behalf of the joint venture participants as co-owners, not as an independent agent acting in the ordinary course of its own business.</w:t>
      </w:r>
    </w:p>
    <w:p>
      <w:r>
        <w:rPr>
          <w:b/>
        </w:rPr>
        <w:t>Treaty Language (UK-Norway Oil Taxation Treaty - Protocol):</w:t>
      </w:r>
    </w:p>
    <w:p>
      <w:r>
        <w:t>&gt; "Where a person has been appointed operator on behalf of the participants in a joint venture, each participant shall be deemed to have a permanent establishment in the place where the activities of the joint venture are carried on."</w:t>
      </w:r>
    </w:p>
    <w:p>
      <w:r>
        <w:rPr>
          <w:b/>
        </w:rPr>
        <w:t>Implications:</w:t>
      </w:r>
    </w:p>
    <w:p>
      <w:pPr>
        <w:pStyle w:val="ListBullet"/>
      </w:pPr>
      <w:r>
        <w:rPr>
          <w:b/>
        </w:rPr>
        <w:t>All JOA participants</w:t>
      </w:r>
      <w:r>
        <w:t xml:space="preserve"> (operator and non-operators) deemed to have PE in source state</w:t>
      </w:r>
    </w:p>
    <w:p>
      <w:pPr>
        <w:pStyle w:val="ListBullet"/>
      </w:pPr>
      <w:r>
        <w:t>Each participant taxable on proportionate share of joint venture profits</w:t>
      </w:r>
    </w:p>
    <w:p>
      <w:pPr>
        <w:pStyle w:val="ListBullet"/>
      </w:pPr>
      <w:r>
        <w:t>No relief from source taxation even if non-operator has no independent presence</w:t>
      </w:r>
    </w:p>
    <w:p>
      <w:pPr>
        <w:pStyle w:val="Heading3"/>
      </w:pPr>
      <w:r>
        <w:t>3.2 Operator Secondments Creating PE</w:t>
      </w:r>
    </w:p>
    <w:p>
      <w:r>
        <w:rPr>
          <w:b/>
        </w:rPr>
        <w:t>Secondment Structures:</w:t>
      </w:r>
    </w:p>
    <w:p>
      <w:r>
        <w:t>Non-operator participants often second employees to operator to:</w:t>
      </w:r>
    </w:p>
    <w:p>
      <w:pPr>
        <w:pStyle w:val="ListBullet"/>
      </w:pPr>
      <w:r>
        <w:t>Provide technical expertise (reservoir engineering, drilling specialists)</w:t>
      </w:r>
    </w:p>
    <w:p>
      <w:pPr>
        <w:pStyle w:val="ListBullet"/>
      </w:pPr>
      <w:r>
        <w:t>Participate in operational decision-making</w:t>
      </w:r>
    </w:p>
    <w:p>
      <w:pPr>
        <w:pStyle w:val="ListBullet"/>
      </w:pPr>
      <w:r>
        <w:t>Monitor operations on behalf of non-operator</w:t>
      </w:r>
    </w:p>
    <w:p>
      <w:pPr>
        <w:pStyle w:val="ListBullet"/>
      </w:pPr>
      <w:r>
        <w:t>Build capability and knowledge transfer</w:t>
      </w:r>
    </w:p>
    <w:p>
      <w:r>
        <w:rPr>
          <w:b/>
        </w:rPr>
        <w:t>PE Creation Risk:</w:t>
      </w:r>
    </w:p>
    <w:p>
      <w:r>
        <w:t>Seconded personnel may create PE for non-operator under:</w:t>
      </w:r>
    </w:p>
    <w:p>
      <w:r>
        <w:rPr>
          <w:b/>
        </w:rPr>
        <w:t>Services PE (UN Model Article 5(3)(b)):</w:t>
      </w:r>
    </w:p>
    <w:p>
      <w:pPr>
        <w:pStyle w:val="ListBullet"/>
      </w:pPr>
      <w:r>
        <w:t>Services provided through employees present in source state for 183+ days in 12-month period</w:t>
      </w:r>
    </w:p>
    <w:p>
      <w:pPr>
        <w:pStyle w:val="ListBullet"/>
      </w:pPr>
      <w:r>
        <w:t>Triggers PE for non-operator even without fixed place of business</w:t>
      </w:r>
    </w:p>
    <w:p>
      <w:pPr>
        <w:pStyle w:val="ListBullet"/>
      </w:pPr>
      <w:r>
        <w:t>Example: Norwegian company seconds 5 engineers to UK operator for 9 months → creates services PE for Norwegian company in UK</w:t>
      </w:r>
    </w:p>
    <w:p>
      <w:r>
        <w:rPr>
          <w:b/>
        </w:rPr>
        <w:t>Dependent Agent PE (Article 5(5)):</w:t>
      </w:r>
    </w:p>
    <w:p>
      <w:pPr>
        <w:pStyle w:val="ListBullet"/>
      </w:pPr>
      <w:r>
        <w:t>If seconded employees conclude contracts or negotiate material terms on behalf of non-operator</w:t>
      </w:r>
    </w:p>
    <w:p>
      <w:pPr>
        <w:pStyle w:val="ListBullet"/>
      </w:pPr>
      <w:r>
        <w:t>Less common (typically seconded employees act under operator's authority)</w:t>
      </w:r>
    </w:p>
    <w:p>
      <w:r>
        <w:rPr>
          <w:b/>
        </w:rPr>
        <w:t>Attribution of Profits:</w:t>
      </w:r>
    </w:p>
    <w:p>
      <w:pPr>
        <w:pStyle w:val="ListBullet"/>
      </w:pPr>
      <w:r>
        <w:t>Non-operator PE must be compensated at arm's length for services provided by seconded personnel</w:t>
      </w:r>
    </w:p>
    <w:p>
      <w:pPr>
        <w:pStyle w:val="ListBullet"/>
      </w:pPr>
      <w:r>
        <w:t>Typical approach: Cost plus 5-15% markup (consistent with technical services benchmarking)</w:t>
      </w:r>
    </w:p>
    <w:p>
      <w:pPr>
        <w:pStyle w:val="ListBullet"/>
      </w:pPr>
      <w:r>
        <w:t>Offset against non-operator's share of joint venture profits</w:t>
      </w:r>
    </w:p>
    <w:p>
      <w:r>
        <w:rPr>
          <w:b/>
        </w:rPr>
        <w:t>Structuring Considerations:</w:t>
      </w:r>
    </w:p>
    <w:p>
      <w:pPr>
        <w:pStyle w:val="ListBullet"/>
      </w:pPr>
      <w:r>
        <w:rPr>
          <w:b/>
        </w:rPr>
        <w:t>Option 1</w:t>
      </w:r>
      <w:r>
        <w:t>: Secondment at cost (no markup) - minimizes PE profit attribution but may not satisfy arm's length principle</w:t>
      </w:r>
    </w:p>
    <w:p>
      <w:pPr>
        <w:pStyle w:val="ListBullet"/>
      </w:pPr>
      <w:r>
        <w:rPr>
          <w:b/>
        </w:rPr>
        <w:t>Option 2</w:t>
      </w:r>
      <w:r>
        <w:t>: Secondment with arm's length markup - creates taxable PE profits but defensible under transfer pricing</w:t>
      </w:r>
    </w:p>
    <w:p>
      <w:pPr>
        <w:pStyle w:val="ListBullet"/>
      </w:pPr>
      <w:r>
        <w:rPr>
          <w:b/>
        </w:rPr>
        <w:t>Option 3</w:t>
      </w:r>
      <w:r>
        <w:t>: Avoid secondment - non-operator provides services from home state (remote support) - avoids PE but reduces operational involvement</w:t>
      </w:r>
    </w:p>
    <w:p>
      <w:pPr>
        <w:pStyle w:val="Heading3"/>
      </w:pPr>
      <w:r>
        <w:t>3.3 Attribution of Profits Under AOA</w:t>
      </w:r>
    </w:p>
    <w:p>
      <w:r>
        <w:rPr>
          <w:b/>
        </w:rPr>
        <w:t>Application of Authorized OECD Approach to Operating Company PEs:</w:t>
      </w:r>
    </w:p>
    <w:p>
      <w:r>
        <w:rPr>
          <w:b/>
        </w:rPr>
        <w:t>Scenario:</w:t>
      </w:r>
      <w:r>
        <w:t xml:space="preserve"> USACo (US resident) is operator of joint venture in Nigeria with 40% working interest. Operations conducted through Nigerian PE.</w:t>
      </w:r>
    </w:p>
    <w:p>
      <w:r>
        <w:rPr>
          <w:b/>
        </w:rPr>
        <w:t>Step 1: Functional and Factual Analysis</w:t>
      </w:r>
    </w:p>
    <w:p>
      <w:r>
        <w:rPr>
          <w:b/>
        </w:rPr>
        <w:t>PE Functions (Nigerian operations):</w:t>
      </w:r>
    </w:p>
    <w:p>
      <w:pPr>
        <w:pStyle w:val="ListBullet"/>
      </w:pPr>
      <w:r>
        <w:t>Drilling and production operations</w:t>
      </w:r>
    </w:p>
    <w:p>
      <w:pPr>
        <w:pStyle w:val="ListBullet"/>
      </w:pPr>
      <w:r>
        <w:t>Maintenance and workovers</w:t>
      </w:r>
    </w:p>
    <w:p>
      <w:pPr>
        <w:pStyle w:val="ListBullet"/>
      </w:pPr>
      <w:r>
        <w:t>Logistics and supply chain management</w:t>
      </w:r>
    </w:p>
    <w:p>
      <w:pPr>
        <w:pStyle w:val="ListBullet"/>
      </w:pPr>
      <w:r>
        <w:t>Regulatory compliance and government relations</w:t>
      </w:r>
    </w:p>
    <w:p>
      <w:r>
        <w:rPr>
          <w:b/>
        </w:rPr>
        <w:t>Head Office Functions (US):</w:t>
      </w:r>
    </w:p>
    <w:p>
      <w:pPr>
        <w:pStyle w:val="ListBullet"/>
      </w:pPr>
      <w:r>
        <w:t>Strategic planning and portfolio management</w:t>
      </w:r>
    </w:p>
    <w:p>
      <w:pPr>
        <w:pStyle w:val="ListBullet"/>
      </w:pPr>
      <w:r>
        <w:t>Reservoir engineering and subsurface analysis</w:t>
      </w:r>
    </w:p>
    <w:p>
      <w:pPr>
        <w:pStyle w:val="ListBullet"/>
      </w:pPr>
      <w:r>
        <w:t>Corporate finance and treasury</w:t>
      </w:r>
    </w:p>
    <w:p>
      <w:pPr>
        <w:pStyle w:val="ListBullet"/>
      </w:pPr>
      <w:r>
        <w:t>Legal, tax, and compliance (global)</w:t>
      </w:r>
    </w:p>
    <w:p>
      <w:r>
        <w:rPr>
          <w:b/>
        </w:rPr>
        <w:t>Step 2: Asset Hypothecation</w:t>
      </w:r>
    </w:p>
    <w:p>
      <w:r>
        <w:t>Assets attributed to Nigerian PE:</w:t>
      </w:r>
    </w:p>
    <w:p>
      <w:pPr>
        <w:pStyle w:val="ListBullet"/>
      </w:pPr>
      <w:r>
        <w:t>Production platforms and facilities (used by PE)</w:t>
      </w:r>
    </w:p>
    <w:p>
      <w:pPr>
        <w:pStyle w:val="ListBullet"/>
      </w:pPr>
      <w:r>
        <w:t>Petroleum licenses and working interest (economic ownership at PE)</w:t>
      </w:r>
    </w:p>
    <w:p>
      <w:pPr>
        <w:pStyle w:val="ListBullet"/>
      </w:pPr>
      <w:r>
        <w:t>Inventory and spare parts (located at PE)</w:t>
      </w:r>
    </w:p>
    <w:p>
      <w:pPr>
        <w:pStyle w:val="ListBullet"/>
      </w:pPr>
      <w:r>
        <w:t>Allocated share of corporate assets (proportionate)</w:t>
      </w:r>
    </w:p>
    <w:p>
      <w:r>
        <w:rPr>
          <w:b/>
        </w:rPr>
        <w:t>Step 3: Risk Attribution</w:t>
      </w:r>
    </w:p>
    <w:p>
      <w:r>
        <w:t>Risks attributed to Nigerian PE (where significant people functions located):</w:t>
      </w:r>
    </w:p>
    <w:p>
      <w:pPr>
        <w:pStyle w:val="ListBullet"/>
      </w:pPr>
      <w:r>
        <w:t>Operational risk: Day-to-day operations managed at PE</w:t>
      </w:r>
    </w:p>
    <w:p>
      <w:pPr>
        <w:pStyle w:val="ListBullet"/>
      </w:pPr>
      <w:r>
        <w:t>Reservoir risk: Production volumes and decline rates (PE manages production)</w:t>
      </w:r>
    </w:p>
    <w:p>
      <w:pPr>
        <w:pStyle w:val="ListBullet"/>
      </w:pPr>
      <w:r>
        <w:t>Price risk: Petroleum sales negotiated and executed at PE or head office (requires analysis)</w:t>
      </w:r>
    </w:p>
    <w:p>
      <w:r>
        <w:rPr>
          <w:b/>
        </w:rPr>
        <w:t>Step 4: Profit Calculation</w:t>
      </w:r>
    </w:p>
    <w:p>
      <w:r>
        <w:rPr>
          <w:b/>
        </w:rPr>
        <w:t>Method Selection:</w:t>
      </w:r>
      <w:r>
        <w:t xml:space="preserve"> Profit split method or Transactional Net Margin Method (TNMM) are most appropriate transfer pricing methods given the integrated nature of petroleum operations.</w:t>
      </w:r>
    </w:p>
    <w:p>
      <w:r>
        <w:rPr>
          <w:b/>
        </w:rPr>
        <w:t>Profit Split Approach:</w:t>
      </w:r>
    </w:p>
    <w:p>
      <w:r>
        <w:t>Total joint venture profit: USD 500 million (after all operating costs and depreciation)</w:t>
      </w:r>
    </w:p>
    <w:p>
      <w:r>
        <w:t>USACo working interest: 40% = USD 200 million</w:t>
      </w:r>
    </w:p>
    <w:p>
      <w:r>
        <w:rPr>
          <w:b/>
        </w:rPr>
        <w:t>Attribution between PE and Head Office: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Factor</w:t>
            </w:r>
          </w:p>
        </w:tc>
        <w:tc>
          <w:tcPr>
            <w:tcW w:type="dxa" w:w="2160"/>
          </w:tcPr>
          <w:p>
            <w:r>
              <w:rPr>
                <w:b/>
              </w:rPr>
            </w:r>
            <w:r>
              <w:rPr>
                <w:b/>
              </w:rPr>
              <w:t>PE Contribution</w:t>
            </w:r>
          </w:p>
        </w:tc>
        <w:tc>
          <w:tcPr>
            <w:tcW w:type="dxa" w:w="2160"/>
          </w:tcPr>
          <w:p>
            <w:r>
              <w:rPr>
                <w:b/>
              </w:rPr>
            </w:r>
            <w:r>
              <w:rPr>
                <w:b/>
              </w:rPr>
              <w:t>Head Office Contribution</w:t>
            </w:r>
          </w:p>
        </w:tc>
        <w:tc>
          <w:tcPr>
            <w:tcW w:type="dxa" w:w="2160"/>
          </w:tcPr>
          <w:p>
            <w:r>
              <w:rPr>
                <w:b/>
              </w:rPr>
            </w:r>
            <w:r>
              <w:rPr>
                <w:b/>
              </w:rPr>
              <w:t>Total</w:t>
            </w:r>
          </w:p>
        </w:tc>
      </w:tr>
      <w:tr>
        <w:tc>
          <w:tcPr>
            <w:tcW w:type="dxa" w:w="2160"/>
          </w:tcPr>
          <w:p>
            <w:r/>
            <w:r>
              <w:t>Personnel (FTE)</w:t>
            </w:r>
          </w:p>
        </w:tc>
        <w:tc>
          <w:tcPr>
            <w:tcW w:type="dxa" w:w="2160"/>
          </w:tcPr>
          <w:p>
            <w:r/>
            <w:r>
              <w:t>450</w:t>
            </w:r>
          </w:p>
        </w:tc>
        <w:tc>
          <w:tcPr>
            <w:tcW w:type="dxa" w:w="2160"/>
          </w:tcPr>
          <w:p>
            <w:r/>
            <w:r>
              <w:t>50</w:t>
            </w:r>
          </w:p>
        </w:tc>
        <w:tc>
          <w:tcPr>
            <w:tcW w:type="dxa" w:w="2160"/>
          </w:tcPr>
          <w:p>
            <w:r/>
            <w:r>
              <w:t>500</w:t>
            </w:r>
          </w:p>
        </w:tc>
      </w:tr>
      <w:tr>
        <w:tc>
          <w:tcPr>
            <w:tcW w:type="dxa" w:w="2160"/>
          </w:tcPr>
          <w:p>
            <w:r/>
            <w:r>
              <w:t>Assets ($ million)</w:t>
            </w:r>
          </w:p>
        </w:tc>
        <w:tc>
          <w:tcPr>
            <w:tcW w:type="dxa" w:w="2160"/>
          </w:tcPr>
          <w:p>
            <w:r/>
            <w:r>
              <w:t>$1,800M (facilities)</w:t>
            </w:r>
          </w:p>
        </w:tc>
        <w:tc>
          <w:tcPr>
            <w:tcW w:type="dxa" w:w="2160"/>
          </w:tcPr>
          <w:p>
            <w:r/>
            <w:r>
              <w:t>$200M (corporate)</w:t>
            </w:r>
          </w:p>
        </w:tc>
        <w:tc>
          <w:tcPr>
            <w:tcW w:type="dxa" w:w="2160"/>
          </w:tcPr>
          <w:p>
            <w:r/>
            <w:r>
              <w:t>$2,000M</w:t>
            </w:r>
          </w:p>
        </w:tc>
      </w:tr>
      <w:tr>
        <w:tc>
          <w:tcPr>
            <w:tcW w:type="dxa" w:w="2160"/>
          </w:tcPr>
          <w:p>
            <w:r/>
            <w:r>
              <w:t>Key Functions</w:t>
            </w:r>
          </w:p>
        </w:tc>
        <w:tc>
          <w:tcPr>
            <w:tcW w:type="dxa" w:w="2160"/>
          </w:tcPr>
          <w:p>
            <w:r/>
            <w:r>
              <w:t>Operations (80%)</w:t>
            </w:r>
          </w:p>
        </w:tc>
        <w:tc>
          <w:tcPr>
            <w:tcW w:type="dxa" w:w="2160"/>
          </w:tcPr>
          <w:p>
            <w:r/>
            <w:r>
              <w:t>Strategy (20%)</w:t>
            </w:r>
          </w:p>
        </w:tc>
        <w:tc>
          <w:tcPr>
            <w:tcW w:type="dxa" w:w="2160"/>
          </w:tcPr>
          <w:p>
            <w:r/>
            <w:r>
              <w:t>100%</w:t>
            </w:r>
          </w:p>
        </w:tc>
      </w:tr>
    </w:tbl>
    <w:p/>
    <w:p>
      <w:r>
        <w:rPr>
          <w:b/>
        </w:rPr>
        <w:t>Weighted Average Contribution:</w:t>
      </w:r>
      <w:r>
        <w:t xml:space="preserve"> PE 85%, Head Office 15%</w:t>
      </w:r>
    </w:p>
    <w:p>
      <w:r>
        <w:rPr>
          <w:b/>
        </w:rPr>
        <w:t>Profit Attribution:</w:t>
      </w:r>
    </w:p>
    <w:p>
      <w:pPr>
        <w:pStyle w:val="ListBullet"/>
      </w:pPr>
      <w:r>
        <w:t xml:space="preserve">Nigerian PE: USD 200M × 85% = </w:t>
      </w:r>
      <w:r>
        <w:rPr>
          <w:b/>
        </w:rPr>
        <w:t>USD 170M</w:t>
      </w:r>
    </w:p>
    <w:p>
      <w:pPr>
        <w:pStyle w:val="ListBullet"/>
      </w:pPr>
      <w:r>
        <w:t xml:space="preserve">US Head Office: USD 200M × 15% = </w:t>
      </w:r>
      <w:r>
        <w:rPr>
          <w:b/>
        </w:rPr>
        <w:t>USD 30M</w:t>
      </w:r>
    </w:p>
    <w:p>
      <w:r>
        <w:rPr>
          <w:b/>
        </w:rPr>
        <w:t>Tax Consequences:</w:t>
      </w:r>
    </w:p>
    <w:p>
      <w:pPr>
        <w:pStyle w:val="ListBullet"/>
      </w:pPr>
      <w:r>
        <w:t>Nigerian PE: Taxable in Nigeria on USD 170M (Nigerian corporate tax ~30% + petroleum profits tax)</w:t>
      </w:r>
    </w:p>
    <w:p>
      <w:pPr>
        <w:pStyle w:val="ListBullet"/>
      </w:pPr>
      <w:r>
        <w:t>US Head Office: Taxable in US on worldwide income (USD 200M) with foreign tax credit for Nigerian taxes paid</w:t>
      </w:r>
    </w:p>
    <w:p>
      <w:pPr>
        <w:pStyle w:val="Heading3"/>
      </w:pPr>
      <w:r>
        <w:t>3.4 Ring-Fencing Considerations</w:t>
      </w:r>
    </w:p>
    <w:p>
      <w:r>
        <w:rPr>
          <w:b/>
        </w:rPr>
        <w:t>Field-Level Ring-Fencing:</w:t>
      </w:r>
    </w:p>
    <w:p>
      <w:r>
        <w:t xml:space="preserve">Many resource jurisdictions impose </w:t>
      </w:r>
      <w:r>
        <w:rPr>
          <w:b/>
        </w:rPr>
        <w:t>ring-fencing</w:t>
      </w:r>
      <w:r>
        <w:t xml:space="preserve"> rules preventing offset of losses from one project against profits from another:</w:t>
      </w:r>
    </w:p>
    <w:p>
      <w:r>
        <w:rPr>
          <w:b/>
        </w:rPr>
        <w:t>Types of Ring-Fencing:</w:t>
      </w:r>
    </w:p>
    <w:p>
      <w:r>
        <w:rPr>
          <w:b/>
        </w:rPr>
        <w:t>Project-Level (Strictest):</w:t>
      </w:r>
    </w:p>
    <w:p>
      <w:pPr>
        <w:pStyle w:val="ListBullet"/>
      </w:pPr>
      <w:r>
        <w:t>Each license/PSC treated as separate taxpayer</w:t>
      </w:r>
    </w:p>
    <w:p>
      <w:pPr>
        <w:pStyle w:val="ListBullet"/>
      </w:pPr>
      <w:r>
        <w:t>No consolidation of profits and losses across projects</w:t>
      </w:r>
    </w:p>
    <w:p>
      <w:pPr>
        <w:pStyle w:val="ListBullet"/>
      </w:pPr>
      <w:r>
        <w:t>Common in: PSC regimes (Indonesia, Malaysia), some concession regimes (Brazil, Trinidad)</w:t>
      </w:r>
    </w:p>
    <w:p>
      <w:r>
        <w:rPr>
          <w:b/>
        </w:rPr>
        <w:t>Company-Level:</w:t>
      </w:r>
    </w:p>
    <w:p>
      <w:pPr>
        <w:pStyle w:val="ListBullet"/>
      </w:pPr>
      <w:r>
        <w:t>Petroleum operations ring-fenced from non-petroleum activities</w:t>
      </w:r>
    </w:p>
    <w:p>
      <w:pPr>
        <w:pStyle w:val="ListBullet"/>
      </w:pPr>
      <w:r>
        <w:t>Losses from exploration cannot offset non-petroleum income</w:t>
      </w:r>
    </w:p>
    <w:p>
      <w:pPr>
        <w:pStyle w:val="ListBullet"/>
      </w:pPr>
      <w:r>
        <w:t>Common in: Norway, UK (pre-2016), Australia</w:t>
      </w:r>
    </w:p>
    <w:p>
      <w:r>
        <w:rPr>
          <w:b/>
        </w:rPr>
        <w:t>Activity-Level:</w:t>
      </w:r>
    </w:p>
    <w:p>
      <w:pPr>
        <w:pStyle w:val="ListBullet"/>
      </w:pPr>
      <w:r>
        <w:t>Upstream ring-fenced from midstream/downstream</w:t>
      </w:r>
    </w:p>
    <w:p>
      <w:pPr>
        <w:pStyle w:val="ListBullet"/>
      </w:pPr>
      <w:r>
        <w:t>Example: UK petroleum revenue tax (historical) applied only to upstream profits</w:t>
      </w:r>
    </w:p>
    <w:p>
      <w:r>
        <w:rPr>
          <w:b/>
        </w:rPr>
        <w:t>Implications for Operating Companies:</w:t>
      </w:r>
    </w:p>
    <w:p>
      <w:r>
        <w:rPr>
          <w:b/>
        </w:rPr>
        <w:t>Multiple PE Scenario:</w:t>
      </w:r>
    </w:p>
    <w:p>
      <w:pPr>
        <w:pStyle w:val="ListBullet"/>
      </w:pPr>
      <w:r>
        <w:t>Operating company with operations in multiple fields in same country may have multiple PEs</w:t>
      </w:r>
    </w:p>
    <w:p>
      <w:pPr>
        <w:pStyle w:val="ListBullet"/>
      </w:pPr>
      <w:r>
        <w:t>Profits from Mature Field A cannot offset losses from Development Field B (if project-level ring-fencing)</w:t>
      </w:r>
    </w:p>
    <w:p>
      <w:pPr>
        <w:pStyle w:val="ListBullet"/>
      </w:pPr>
      <w:r>
        <w:t>Requires separate profit calculation and tax return for each PE</w:t>
      </w:r>
    </w:p>
    <w:p>
      <w:r>
        <w:rPr>
          <w:b/>
        </w:rPr>
        <w:t>Example - UK Ring-Fencing (Post-2016 Reforms):</w:t>
      </w:r>
    </w:p>
    <w:p>
      <w:pPr>
        <w:pStyle w:val="ListBullet"/>
      </w:pPr>
      <w:r>
        <w:rPr>
          <w:b/>
        </w:rPr>
        <w:t>Ring-fence corporation tax (RFCT):</w:t>
      </w:r>
      <w:r>
        <w:t xml:space="preserve"> 30% applies to upstream oil and gas profits</w:t>
      </w:r>
    </w:p>
    <w:p>
      <w:pPr>
        <w:pStyle w:val="ListBullet"/>
      </w:pPr>
      <w:r>
        <w:rPr>
          <w:b/>
        </w:rPr>
        <w:t>Supplementary charge (SC):</w:t>
      </w:r>
      <w:r>
        <w:t xml:space="preserve"> 10% (reduced from 30% in 2014, to 20% in 2015, and to 10% from 2016)</w:t>
      </w:r>
    </w:p>
    <w:p>
      <w:pPr>
        <w:pStyle w:val="ListBullet"/>
      </w:pPr>
      <w:r>
        <w:rPr>
          <w:b/>
        </w:rPr>
        <w:t>Energy Profits Levy (EPL):</w:t>
      </w:r>
      <w:r>
        <w:t xml:space="preserve"> 35% (introduced May 2022 at 25%, increased to 35% from January 2023)</w:t>
      </w:r>
    </w:p>
    <w:p>
      <w:pPr>
        <w:pStyle w:val="ListBullet"/>
      </w:pPr>
      <w:r>
        <w:rPr>
          <w:b/>
        </w:rPr>
        <w:t>Combined marginal tax rate:</w:t>
      </w:r>
      <w:r>
        <w:t xml:space="preserve"> 75% (30% RFCT + 10% SC + 35% EPL)</w:t>
      </w:r>
    </w:p>
    <w:p>
      <w:pPr>
        <w:pStyle w:val="ListBullet"/>
      </w:pPr>
      <w:r>
        <w:t>Ring-fence provisions prevent:</w:t>
      </w:r>
    </w:p>
    <w:p>
      <w:pPr>
        <w:pStyle w:val="ListBullet"/>
        <w:ind w:left="360"/>
      </w:pPr>
      <w:r>
        <w:t>Offset of non-ring-fence losses against ring-fence profits</w:t>
      </w:r>
    </w:p>
    <w:p>
      <w:pPr>
        <w:pStyle w:val="ListBullet"/>
        <w:ind w:left="360"/>
      </w:pPr>
      <w:r>
        <w:t>Group relief from non-oil/gas companies</w:t>
      </w:r>
    </w:p>
    <w:p>
      <w:pPr>
        <w:pStyle w:val="ListBullet"/>
        <w:ind w:left="360"/>
      </w:pPr>
      <w:r>
        <w:t>Capital allowances on non-ring-fence assets</w:t>
      </w:r>
    </w:p>
    <w:p>
      <w:r>
        <w:rPr>
          <w:b/>
        </w:rPr>
        <w:t>Impact on Profit Attribution:</w:t>
      </w:r>
    </w:p>
    <w:p>
      <w:pPr>
        <w:pStyle w:val="ListBullet"/>
      </w:pPr>
      <w:r>
        <w:t>PE profit calculation must respect ring-fencing rules</w:t>
      </w:r>
    </w:p>
    <w:p>
      <w:pPr>
        <w:pStyle w:val="ListBullet"/>
      </w:pPr>
      <w:r>
        <w:t>Allocated head office costs may be limited if attributable to non-ring-fenced activities</w:t>
      </w:r>
    </w:p>
    <w:p>
      <w:pPr>
        <w:pStyle w:val="ListBullet"/>
      </w:pPr>
      <w:r>
        <w:t>Loss carry-forward applies within ring-fence only (cannot offset against future non-ring-fence profits)</w:t>
      </w:r>
    </w:p>
    <w:p>
      <w:pPr>
        <w:pStyle w:val="Heading3"/>
      </w:pPr>
      <w:r>
        <w:t>3.5 Branch vs. Subsidiary Choice for Operating Companies</w:t>
      </w:r>
    </w:p>
    <w:p>
      <w:r>
        <w:rPr>
          <w:b/>
        </w:rPr>
        <w:t>Structuring Decision:</w:t>
      </w:r>
    </w:p>
    <w:p>
      <w:r>
        <w:t>Operating companies must choose between:</w:t>
      </w:r>
    </w:p>
    <w:p>
      <w:pPr>
        <w:pStyle w:val="ListBullet"/>
      </w:pPr>
      <w:r>
        <w:rPr>
          <w:b/>
        </w:rPr>
        <w:t>Branch structure</w:t>
      </w:r>
      <w:r>
        <w:t>: Foreign PE of parent company</w:t>
      </w:r>
    </w:p>
    <w:p>
      <w:pPr>
        <w:pStyle w:val="ListBullet"/>
      </w:pPr>
      <w:r>
        <w:rPr>
          <w:b/>
        </w:rPr>
        <w:t>Subsidiary structure</w:t>
      </w:r>
      <w:r>
        <w:t>: Locally incorporated operating company</w:t>
      </w:r>
    </w:p>
    <w:p>
      <w:r>
        <w:rPr>
          <w:b/>
        </w:rPr>
        <w:t>Comparative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Factor</w:t>
            </w:r>
          </w:p>
        </w:tc>
        <w:tc>
          <w:tcPr>
            <w:tcW w:type="dxa" w:w="2880"/>
          </w:tcPr>
          <w:p>
            <w:r>
              <w:rPr>
                <w:b/>
              </w:rPr>
            </w:r>
            <w:r>
              <w:rPr>
                <w:b/>
              </w:rPr>
              <w:t>Branch (PE)</w:t>
            </w:r>
          </w:p>
        </w:tc>
        <w:tc>
          <w:tcPr>
            <w:tcW w:type="dxa" w:w="2880"/>
          </w:tcPr>
          <w:p>
            <w:r>
              <w:rPr>
                <w:b/>
              </w:rPr>
            </w:r>
            <w:r>
              <w:rPr>
                <w:b/>
              </w:rPr>
              <w:t>Subsidiary</w:t>
            </w:r>
          </w:p>
        </w:tc>
      </w:tr>
      <w:tr>
        <w:tc>
          <w:tcPr>
            <w:tcW w:type="dxa" w:w="2880"/>
          </w:tcPr>
          <w:p>
            <w:r/>
            <w:r>
              <w:rPr>
                <w:b/>
              </w:rPr>
              <w:t>Legal entity</w:t>
            </w:r>
          </w:p>
        </w:tc>
        <w:tc>
          <w:tcPr>
            <w:tcW w:type="dxa" w:w="2880"/>
          </w:tcPr>
          <w:p>
            <w:r/>
            <w:r>
              <w:t>No separate legal entity; extension of parent</w:t>
            </w:r>
          </w:p>
        </w:tc>
        <w:tc>
          <w:tcPr>
            <w:tcW w:type="dxa" w:w="2880"/>
          </w:tcPr>
          <w:p>
            <w:r/>
            <w:r>
              <w:t>Separate legal entity under local law</w:t>
            </w:r>
          </w:p>
        </w:tc>
      </w:tr>
      <w:tr>
        <w:tc>
          <w:tcPr>
            <w:tcW w:type="dxa" w:w="2880"/>
          </w:tcPr>
          <w:p>
            <w:r/>
            <w:r>
              <w:rPr>
                <w:b/>
              </w:rPr>
              <w:t>Liability</w:t>
            </w:r>
          </w:p>
        </w:tc>
        <w:tc>
          <w:tcPr>
            <w:tcW w:type="dxa" w:w="2880"/>
          </w:tcPr>
          <w:p>
            <w:r/>
            <w:r>
              <w:t>Parent has unlimited liability for PE operations</w:t>
            </w:r>
          </w:p>
        </w:tc>
        <w:tc>
          <w:tcPr>
            <w:tcW w:type="dxa" w:w="2880"/>
          </w:tcPr>
          <w:p>
            <w:r/>
            <w:r>
              <w:t>Limited liability (ring-fenced to subsidiary)</w:t>
            </w:r>
          </w:p>
        </w:tc>
      </w:tr>
      <w:tr>
        <w:tc>
          <w:tcPr>
            <w:tcW w:type="dxa" w:w="2880"/>
          </w:tcPr>
          <w:p>
            <w:r/>
            <w:r>
              <w:rPr>
                <w:b/>
              </w:rPr>
              <w:t>Tax filing</w:t>
            </w:r>
          </w:p>
        </w:tc>
        <w:tc>
          <w:tcPr>
            <w:tcW w:type="dxa" w:w="2880"/>
          </w:tcPr>
          <w:p>
            <w:r/>
            <w:r>
              <w:t>PE return filed by parent; single taxpayer</w:t>
            </w:r>
          </w:p>
        </w:tc>
        <w:tc>
          <w:tcPr>
            <w:tcW w:type="dxa" w:w="2880"/>
          </w:tcPr>
          <w:p>
            <w:r/>
            <w:r>
              <w:t>Separate corporate tax return</w:t>
            </w:r>
          </w:p>
        </w:tc>
      </w:tr>
      <w:tr>
        <w:tc>
          <w:tcPr>
            <w:tcW w:type="dxa" w:w="2880"/>
          </w:tcPr>
          <w:p>
            <w:r/>
            <w:r>
              <w:rPr>
                <w:b/>
              </w:rPr>
              <w:t>Loss utilization</w:t>
            </w:r>
          </w:p>
        </w:tc>
        <w:tc>
          <w:tcPr>
            <w:tcW w:type="dxa" w:w="2880"/>
          </w:tcPr>
          <w:p>
            <w:r/>
            <w:r>
              <w:t>Losses immediately offset against parent's worldwide income (if allowed by parent jurisdiction)</w:t>
            </w:r>
          </w:p>
        </w:tc>
        <w:tc>
          <w:tcPr>
            <w:tcW w:type="dxa" w:w="2880"/>
          </w:tcPr>
          <w:p>
            <w:r/>
            <w:r>
              <w:t>Losses trapped in subsidiary (cannot offset parent's income until dividend/liquidation)</w:t>
            </w:r>
          </w:p>
        </w:tc>
      </w:tr>
      <w:tr>
        <w:tc>
          <w:tcPr>
            <w:tcW w:type="dxa" w:w="2880"/>
          </w:tcPr>
          <w:p>
            <w:r/>
            <w:r>
              <w:rPr>
                <w:b/>
              </w:rPr>
              <w:t>Profit repatriation</w:t>
            </w:r>
          </w:p>
        </w:tc>
        <w:tc>
          <w:tcPr>
            <w:tcW w:type="dxa" w:w="2880"/>
          </w:tcPr>
          <w:p>
            <w:r/>
            <w:r>
              <w:t>No withholding tax on PE profits remitted to head office (Article 7)</w:t>
            </w:r>
          </w:p>
        </w:tc>
        <w:tc>
          <w:tcPr>
            <w:tcW w:type="dxa" w:w="2880"/>
          </w:tcPr>
          <w:p>
            <w:r/>
            <w:r>
              <w:t>Dividend withholding tax applies (subject to treaty reduction) - typically 5-15%</w:t>
            </w:r>
          </w:p>
        </w:tc>
      </w:tr>
      <w:tr>
        <w:tc>
          <w:tcPr>
            <w:tcW w:type="dxa" w:w="2880"/>
          </w:tcPr>
          <w:p>
            <w:r/>
            <w:r>
              <w:rPr>
                <w:b/>
              </w:rPr>
              <w:t>Transfer pricing</w:t>
            </w:r>
          </w:p>
        </w:tc>
        <w:tc>
          <w:tcPr>
            <w:tcW w:type="dxa" w:w="2880"/>
          </w:tcPr>
          <w:p>
            <w:r/>
            <w:r>
              <w:t>Internal dealings within single entity (less scrutiny, but AOA applies)</w:t>
            </w:r>
          </w:p>
        </w:tc>
        <w:tc>
          <w:tcPr>
            <w:tcW w:type="dxa" w:w="2880"/>
          </w:tcPr>
          <w:p>
            <w:r/>
            <w:r>
              <w:t>Full transfer pricing rules apply to all inter-company transactions</w:t>
            </w:r>
          </w:p>
        </w:tc>
      </w:tr>
      <w:tr>
        <w:tc>
          <w:tcPr>
            <w:tcW w:type="dxa" w:w="2880"/>
          </w:tcPr>
          <w:p>
            <w:r/>
            <w:r>
              <w:rPr>
                <w:b/>
              </w:rPr>
              <w:t>Thin capitalization</w:t>
            </w:r>
          </w:p>
        </w:tc>
        <w:tc>
          <w:tcPr>
            <w:tcW w:type="dxa" w:w="2880"/>
          </w:tcPr>
          <w:p>
            <w:r/>
            <w:r>
              <w:t>Not applicable (no debt/equity distinction within single entity)</w:t>
            </w:r>
          </w:p>
        </w:tc>
        <w:tc>
          <w:tcPr>
            <w:tcW w:type="dxa" w:w="2880"/>
          </w:tcPr>
          <w:p>
            <w:r/>
            <w:r>
              <w:t>Debt/equity limits apply to parent funding</w:t>
            </w:r>
          </w:p>
        </w:tc>
      </w:tr>
      <w:tr>
        <w:tc>
          <w:tcPr>
            <w:tcW w:type="dxa" w:w="2880"/>
          </w:tcPr>
          <w:p>
            <w:r/>
            <w:r>
              <w:rPr>
                <w:b/>
              </w:rPr>
              <w:t>Foreign tax credit</w:t>
            </w:r>
          </w:p>
        </w:tc>
        <w:tc>
          <w:tcPr>
            <w:tcW w:type="dxa" w:w="2880"/>
          </w:tcPr>
          <w:p>
            <w:r/>
            <w:r>
              <w:t>Direct credit method (PE taxes creditable against parent's tax)</w:t>
            </w:r>
          </w:p>
        </w:tc>
        <w:tc>
          <w:tcPr>
            <w:tcW w:type="dxa" w:w="2880"/>
          </w:tcPr>
          <w:p>
            <w:r/>
            <w:r>
              <w:t>Indirect credit method (complex; dividend gross-up required)</w:t>
            </w:r>
          </w:p>
        </w:tc>
      </w:tr>
      <w:tr>
        <w:tc>
          <w:tcPr>
            <w:tcW w:type="dxa" w:w="2880"/>
          </w:tcPr>
          <w:p>
            <w:r/>
            <w:r>
              <w:rPr>
                <w:b/>
              </w:rPr>
              <w:t>Administrative burden</w:t>
            </w:r>
          </w:p>
        </w:tc>
        <w:tc>
          <w:tcPr>
            <w:tcW w:type="dxa" w:w="2880"/>
          </w:tcPr>
          <w:p>
            <w:r/>
            <w:r>
              <w:t>Lower (single entity, one set of financials)</w:t>
            </w:r>
          </w:p>
        </w:tc>
        <w:tc>
          <w:tcPr>
            <w:tcW w:type="dxa" w:w="2880"/>
          </w:tcPr>
          <w:p>
            <w:r/>
            <w:r>
              <w:t>Higher (separate accounts, audit, board requirements)</w:t>
            </w:r>
          </w:p>
        </w:tc>
      </w:tr>
      <w:tr>
        <w:tc>
          <w:tcPr>
            <w:tcW w:type="dxa" w:w="2880"/>
          </w:tcPr>
          <w:p>
            <w:r/>
            <w:r>
              <w:rPr>
                <w:b/>
              </w:rPr>
              <w:t>Regulatory requirements</w:t>
            </w:r>
          </w:p>
        </w:tc>
        <w:tc>
          <w:tcPr>
            <w:tcW w:type="dxa" w:w="2880"/>
          </w:tcPr>
          <w:p>
            <w:r/>
            <w:r>
              <w:t>Branch registration (simpler)</w:t>
            </w:r>
          </w:p>
        </w:tc>
        <w:tc>
          <w:tcPr>
            <w:tcW w:type="dxa" w:w="2880"/>
          </w:tcPr>
          <w:p>
            <w:r/>
            <w:r>
              <w:t>Full incorporation, directors, registered office</w:t>
            </w:r>
          </w:p>
        </w:tc>
      </w:tr>
      <w:tr>
        <w:tc>
          <w:tcPr>
            <w:tcW w:type="dxa" w:w="2880"/>
          </w:tcPr>
          <w:p>
            <w:r/>
            <w:r>
              <w:rPr>
                <w:b/>
              </w:rPr>
              <w:t>Flexibility</w:t>
            </w:r>
          </w:p>
        </w:tc>
        <w:tc>
          <w:tcPr>
            <w:tcW w:type="dxa" w:w="2880"/>
          </w:tcPr>
          <w:p>
            <w:r/>
            <w:r>
              <w:t>Easy to convert to subsidiary later</w:t>
            </w:r>
          </w:p>
        </w:tc>
        <w:tc>
          <w:tcPr>
            <w:tcW w:type="dxa" w:w="2880"/>
          </w:tcPr>
          <w:p>
            <w:r/>
            <w:r>
              <w:t>Difficult and expensive to de-incorporate</w:t>
            </w:r>
          </w:p>
        </w:tc>
      </w:tr>
      <w:tr>
        <w:tc>
          <w:tcPr>
            <w:tcW w:type="dxa" w:w="2880"/>
          </w:tcPr>
          <w:p>
            <w:r/>
            <w:r>
              <w:rPr>
                <w:b/>
              </w:rPr>
              <w:t>Joint venture compatibility</w:t>
            </w:r>
          </w:p>
        </w:tc>
        <w:tc>
          <w:tcPr>
            <w:tcW w:type="dxa" w:w="2880"/>
          </w:tcPr>
          <w:p>
            <w:r/>
            <w:r>
              <w:t>Can participate in JOA as branch</w:t>
            </w:r>
          </w:p>
        </w:tc>
        <w:tc>
          <w:tcPr>
            <w:tcW w:type="dxa" w:w="2880"/>
          </w:tcPr>
          <w:p>
            <w:r/>
            <w:r>
              <w:t>Preferred by partners (separate entity, limited liability)</w:t>
            </w:r>
          </w:p>
        </w:tc>
      </w:tr>
    </w:tbl>
    <w:p/>
    <w:p>
      <w:r>
        <w:rPr>
          <w:b/>
        </w:rPr>
        <w:t>Practical Considerations:</w:t>
      </w:r>
    </w:p>
    <w:p>
      <w:r>
        <w:rPr>
          <w:b/>
        </w:rPr>
        <w:t>Branch (PE) Preferred When:</w:t>
      </w:r>
    </w:p>
    <w:p>
      <w:pPr>
        <w:pStyle w:val="ListBullet"/>
      </w:pPr>
      <w:r>
        <w:t>Start-up or exploration phase (losses offset against parent income)</w:t>
      </w:r>
    </w:p>
    <w:p>
      <w:pPr>
        <w:pStyle w:val="ListBullet"/>
      </w:pPr>
      <w:r>
        <w:t>Parent jurisdiction offers foreign tax credit for PE taxes</w:t>
      </w:r>
    </w:p>
    <w:p>
      <w:pPr>
        <w:pStyle w:val="ListBullet"/>
      </w:pPr>
      <w:r>
        <w:t>Operational simplicity prioritized</w:t>
      </w:r>
    </w:p>
    <w:p>
      <w:pPr>
        <w:pStyle w:val="ListBullet"/>
      </w:pPr>
      <w:r>
        <w:t>Limited liability not critical (e.g., low-risk operations, comprehensive insurance)</w:t>
      </w:r>
    </w:p>
    <w:p>
      <w:r>
        <w:rPr>
          <w:b/>
        </w:rPr>
        <w:t>Subsidiary Preferred When:</w:t>
      </w:r>
    </w:p>
    <w:p>
      <w:pPr>
        <w:pStyle w:val="ListBullet"/>
      </w:pPr>
      <w:r>
        <w:t>Limited liability essential (high-risk operations, environmental exposure)</w:t>
      </w:r>
    </w:p>
    <w:p>
      <w:pPr>
        <w:pStyle w:val="ListBullet"/>
      </w:pPr>
      <w:r>
        <w:t>Joint venture structure with multiple partners</w:t>
      </w:r>
    </w:p>
    <w:p>
      <w:pPr>
        <w:pStyle w:val="ListBullet"/>
      </w:pPr>
      <w:r>
        <w:t>Local borrowing planned (local entity facilitates project financing)</w:t>
      </w:r>
    </w:p>
    <w:p>
      <w:pPr>
        <w:pStyle w:val="ListBullet"/>
      </w:pPr>
      <w:r>
        <w:t>Treaty benefits available (dividend WHT reduction, capital gains exemption)</w:t>
      </w:r>
    </w:p>
    <w:p>
      <w:pPr>
        <w:pStyle w:val="ListBullet"/>
      </w:pPr>
      <w:r>
        <w:t>Asset protection (ring-fence liabilities to subsidiary)</w:t>
      </w:r>
    </w:p>
    <w:p>
      <w:r>
        <w:rPr>
          <w:b/>
        </w:rPr>
        <w:t>Example - North Sea Operator Choice:</w:t>
      </w:r>
    </w:p>
    <w:p>
      <w:pPr>
        <w:pStyle w:val="ListBullet"/>
      </w:pPr>
      <w:r>
        <w:rPr>
          <w:b/>
        </w:rPr>
        <w:t>Norway</w:t>
      </w:r>
      <w:r>
        <w:t>: Most operators use Norwegian subsidiary due to:</w:t>
      </w:r>
    </w:p>
    <w:p>
      <w:pPr>
        <w:pStyle w:val="ListBullet"/>
        <w:ind w:left="360"/>
      </w:pPr>
      <w:r>
        <w:t>High petroleum tax rate (78% total) - losses valuable but offset possible within Norway</w:t>
      </w:r>
    </w:p>
    <w:p>
      <w:pPr>
        <w:pStyle w:val="ListBullet"/>
        <w:ind w:left="360"/>
      </w:pPr>
      <w:r>
        <w:t>Strong legal protection for limited liability</w:t>
      </w:r>
    </w:p>
    <w:p>
      <w:pPr>
        <w:pStyle w:val="ListBullet"/>
        <w:ind w:left="360"/>
      </w:pPr>
      <w:r>
        <w:t>Joint venture partners prefer separate legal entity</w:t>
      </w:r>
    </w:p>
    <w:p>
      <w:pPr>
        <w:pStyle w:val="ListBullet"/>
        <w:ind w:left="360"/>
      </w:pPr>
      <w:r>
        <w:t>Local borrowing facilitated</w:t>
      </w:r>
    </w:p>
    <w:p>
      <w:pPr>
        <w:pStyle w:val="ListBullet"/>
      </w:pPr>
      <w:r>
        <w:rPr>
          <w:b/>
        </w:rPr>
        <w:t>UK</w:t>
      </w:r>
      <w:r>
        <w:t>: Mix of branch and subsidiary structures</w:t>
      </w:r>
    </w:p>
    <w:p>
      <w:pPr>
        <w:pStyle w:val="ListBullet"/>
        <w:ind w:left="360"/>
      </w:pPr>
      <w:r>
        <w:t>Subsidiaries common for integrated operations</w:t>
      </w:r>
    </w:p>
    <w:p>
      <w:pPr>
        <w:pStyle w:val="ListBullet"/>
        <w:ind w:left="360"/>
      </w:pPr>
      <w:r>
        <w:t>Branches used for single-field developments or exploration</w:t>
      </w:r>
    </w:p>
    <w:p>
      <w:r>
        <w:rPr>
          <w:b/>
        </w:rPr>
        <w:t>Recent Trends:</w:t>
      </w:r>
    </w:p>
    <w:p>
      <w:pPr>
        <w:pStyle w:val="ListBullet"/>
      </w:pPr>
      <w:r>
        <w:t>Increased use of subsidiaries for environmental, social, and governance (ESG) reasons, as local incorporation demonstrates commitment to host jurisdictions</w:t>
      </w:r>
    </w:p>
    <w:p>
      <w:pPr>
        <w:pStyle w:val="ListBullet"/>
      </w:pPr>
      <w:r>
        <w:t>Some jurisdictions mandating local incorporation for operators (e.g., Brazil National Agency for Petroleum, Natural Gas and Biofuels requirements)</w:t>
      </w:r>
    </w:p>
    <w:p>
      <w:pPr>
        <w:pStyle w:val="ListBullet"/>
      </w:pPr>
      <w:r>
        <w:t>Tax authorities increasingly focusing on PE profit attribution through AOA implementation, reducing tax advantages historically associated with branch structures</w:t>
      </w:r>
    </w:p>
    <w:p>
      <w:pPr>
        <w:spacing w:before="120" w:after="120"/>
        <w:pBdr>
          <w:bottom w:val="single" w:sz="6" w:space="1" w:color="auto"/>
        </w:pBdr>
      </w:pPr>
    </w:p>
    <w:p>
      <w:pPr>
        <w:pStyle w:val="Heading2"/>
      </w:pPr>
      <w:r>
        <w:t>4. Application Methodology: PE Analysis Framework</w:t>
      </w:r>
    </w:p>
    <w:p>
      <w:pPr>
        <w:pStyle w:val="Heading3"/>
      </w:pPr>
      <w:r>
        <w:t>4.1 Operating Company PE Determination</w:t>
      </w:r>
    </w:p>
    <w:p>
      <w:r>
        <w:rPr>
          <w:b/>
        </w:rPr>
        <w:t>Step-by-Step Analysis Framework:</w:t>
      </w:r>
    </w:p>
    <w:p>
      <w:r>
        <w:rPr>
          <w:b/>
        </w:rPr>
        <w:t>Step 1: Establish Jurisdictional Scope</w:t>
      </w:r>
    </w:p>
    <w:p>
      <w:pPr>
        <w:pStyle w:val="ListBullet"/>
      </w:pPr>
      <w:r>
        <w:t>Identify operating company's residence (incorporation or management/control test)</w:t>
      </w:r>
    </w:p>
    <w:p>
      <w:pPr>
        <w:pStyle w:val="ListBullet"/>
      </w:pPr>
      <w:r>
        <w:t>Identify source state where operations conducted</w:t>
      </w:r>
    </w:p>
    <w:p>
      <w:pPr>
        <w:pStyle w:val="ListBullet"/>
      </w:pPr>
      <w:r>
        <w:t>Determine applicable tax treaty (if any)</w:t>
      </w:r>
    </w:p>
    <w:p>
      <w:r>
        <w:rPr>
          <w:b/>
        </w:rPr>
        <w:t>Step 2: Domestic Law PE Analysis</w:t>
      </w:r>
    </w:p>
    <w:p>
      <w:pPr>
        <w:pStyle w:val="ListBullet"/>
      </w:pPr>
      <w:r>
        <w:t>Apply source state domestic law PE definition</w:t>
      </w:r>
    </w:p>
    <w:p>
      <w:pPr>
        <w:pStyle w:val="ListBullet"/>
      </w:pPr>
      <w:r>
        <w:t>Operating companies typically always have PE due to physical operations (platforms, facilities, wells)</w:t>
      </w:r>
    </w:p>
    <w:p>
      <w:r>
        <w:rPr>
          <w:b/>
        </w:rPr>
        <w:t>Step 3: Treaty PE Analysis</w:t>
      </w:r>
    </w:p>
    <w:p>
      <w:pPr>
        <w:pStyle w:val="ListBullet"/>
      </w:pPr>
      <w:r>
        <w:t>Apply treaty Article 5 PE definition</w:t>
      </w:r>
    </w:p>
    <w:p>
      <w:pPr>
        <w:pStyle w:val="ListBullet"/>
      </w:pPr>
      <w:r>
        <w:rPr>
          <w:b/>
        </w:rPr>
        <w:t>Article 5(2)(f) explicit inclusion</w:t>
      </w:r>
      <w:r>
        <w:t>: Oil/gas wells constitute PE automatically</w:t>
      </w:r>
    </w:p>
    <w:p>
      <w:pPr>
        <w:pStyle w:val="ListBullet"/>
      </w:pPr>
      <w:r>
        <w:t>No time threshold or preparatory/auxiliary exception applies</w:t>
      </w:r>
    </w:p>
    <w:p>
      <w:r>
        <w:rPr>
          <w:b/>
        </w:rPr>
        <w:t>Step 4: PE Characterization</w:t>
      </w:r>
    </w:p>
    <w:p>
      <w:pPr>
        <w:pStyle w:val="ListBullet"/>
      </w:pPr>
      <w:r>
        <w:t>Fixed place of business PE: Production facilities, field offices</w:t>
      </w:r>
    </w:p>
    <w:p>
      <w:pPr>
        <w:pStyle w:val="ListBullet"/>
      </w:pPr>
      <w:r>
        <w:t>Construction PE: Development phase drilling and installation (if exceeds treaty threshold)</w:t>
      </w:r>
    </w:p>
    <w:p>
      <w:pPr>
        <w:pStyle w:val="ListBullet"/>
      </w:pPr>
      <w:r>
        <w:t>Service PE: Seconded personnel providing services (UN Model treaties)</w:t>
      </w:r>
    </w:p>
    <w:p>
      <w:r>
        <w:rPr>
          <w:b/>
        </w:rPr>
        <w:t>Step 5: Profit Attribution</w:t>
      </w:r>
    </w:p>
    <w:p>
      <w:pPr>
        <w:pStyle w:val="ListBullet"/>
      </w:pPr>
      <w:r>
        <w:t>Apply AOA (OECD approach) or domestic law attribution rules</w:t>
      </w:r>
    </w:p>
    <w:p>
      <w:pPr>
        <w:pStyle w:val="ListBullet"/>
      </w:pPr>
      <w:r>
        <w:t>Functional analysis: Functions, assets, risks</w:t>
      </w:r>
    </w:p>
    <w:p>
      <w:pPr>
        <w:pStyle w:val="ListBullet"/>
      </w:pPr>
      <w:r>
        <w:t>Determine arm's length profit for PE</w:t>
      </w:r>
    </w:p>
    <w:p>
      <w:r>
        <w:rPr>
          <w:b/>
        </w:rPr>
        <w:t>Step 6: Compute PE Taxable Income</w:t>
      </w:r>
    </w:p>
    <w:p>
      <w:pPr>
        <w:pStyle w:val="ListBullet"/>
      </w:pPr>
      <w:r>
        <w:t>Revenues: Production sales at market value</w:t>
      </w:r>
    </w:p>
    <w:p>
      <w:pPr>
        <w:pStyle w:val="ListBullet"/>
      </w:pPr>
      <w:r>
        <w:t>Less: Direct operating costs, depreciation, allocated head office costs</w:t>
      </w:r>
    </w:p>
    <w:p>
      <w:pPr>
        <w:pStyle w:val="ListBullet"/>
      </w:pPr>
      <w:r>
        <w:t>Equals: PE taxable profit</w:t>
      </w:r>
    </w:p>
    <w:p>
      <w:pPr>
        <w:pStyle w:val="ListBullet"/>
      </w:pPr>
      <w:r>
        <w:t>Apply source state tax rate(s) - standard corporate rate, petroleum profits tax, resource rent taxes</w:t>
      </w:r>
    </w:p>
    <w:p>
      <w:r>
        <w:rPr>
          <w:b/>
        </w:rPr>
        <w:t>Step 7: Treaty Relief and Foreign Tax Credit</w:t>
      </w:r>
    </w:p>
    <w:p>
      <w:pPr>
        <w:pStyle w:val="ListBullet"/>
      </w:pPr>
      <w:r>
        <w:t>Treaty limits source state tax to PE profits (Article 7)</w:t>
      </w:r>
    </w:p>
    <w:p>
      <w:pPr>
        <w:pStyle w:val="ListBullet"/>
      </w:pPr>
      <w:r>
        <w:t>Residence state provides foreign tax credit for source state taxes paid on PE profits</w:t>
      </w:r>
    </w:p>
    <w:p>
      <w:pPr>
        <w:pStyle w:val="ListBullet"/>
      </w:pPr>
      <w:r>
        <w:t>No relief from source taxation (PE exempts income from source taxation is not available for extraction operations)</w:t>
      </w:r>
    </w:p>
    <w:p>
      <w:pPr>
        <w:pStyle w:val="Heading3"/>
      </w:pPr>
      <w:r>
        <w:t>4.2 Profit Attribution Calculation Steps</w:t>
      </w:r>
    </w:p>
    <w:p>
      <w:r>
        <w:rPr>
          <w:b/>
        </w:rPr>
        <w:t>Detailed Calculation Approach:</w:t>
      </w:r>
    </w:p>
    <w:p>
      <w:r>
        <w:rPr>
          <w:b/>
        </w:rPr>
        <w:t>Input Data Required:</w:t>
      </w:r>
    </w:p>
    <w:p>
      <w:pPr>
        <w:pStyle w:val="ListNumber"/>
      </w:pPr>
      <w:r>
        <w:t>Production volumes and sales revenues (by field/license)</w:t>
      </w:r>
    </w:p>
    <w:p>
      <w:pPr>
        <w:pStyle w:val="ListNumber"/>
      </w:pPr>
      <w:r>
        <w:t>Direct operating costs (opex, workovers, transportation)</w:t>
      </w:r>
    </w:p>
    <w:p>
      <w:pPr>
        <w:pStyle w:val="ListNumber"/>
      </w:pPr>
      <w:r>
        <w:t>Capital expenditures and depreciation schedules</w:t>
      </w:r>
    </w:p>
    <w:p>
      <w:pPr>
        <w:pStyle w:val="ListNumber"/>
      </w:pPr>
      <w:r>
        <w:t>Head office costs (by function: technical, finance, legal, admin)</w:t>
      </w:r>
    </w:p>
    <w:p>
      <w:pPr>
        <w:pStyle w:val="ListNumber"/>
      </w:pPr>
      <w:r>
        <w:t>Personnel allocation (PE vs. head office)</w:t>
      </w:r>
    </w:p>
    <w:p>
      <w:pPr>
        <w:pStyle w:val="ListNumber"/>
      </w:pPr>
      <w:r>
        <w:t>Asset valuation (platforms, facilities, equipment)</w:t>
      </w:r>
    </w:p>
    <w:p>
      <w:r>
        <w:rPr>
          <w:b/>
        </w:rPr>
        <w:t>Calculation Process:</w:t>
      </w:r>
    </w:p>
    <w:p>
      <w:r>
        <w:rPr>
          <w:b/>
        </w:rPr>
        <w:t>Step 1: Gross Revenue</w:t>
      </w:r>
    </w:p>
    <w:p>
      <w:pPr>
        <w:shd w:fill="F0F0F0"/>
        <w:spacing w:after="0" w:line="240" w:lineRule="auto"/>
      </w:pPr>
      <w:r>
        <w:rPr>
          <w:rFonts w:ascii="Courier New" w:hAnsi="Courier New"/>
          <w:sz w:val="20"/>
        </w:rPr>
        <w:t>Production (barrels/MCF) × Realized Price = Gross Revenue</w:t>
      </w:r>
    </w:p>
    <w:p>
      <w:pPr>
        <w:shd w:fill="F0F0F0"/>
        <w:spacing w:after="0" w:line="240" w:lineRule="auto"/>
      </w:pPr>
      <w:r>
        <w:rPr>
          <w:rFonts w:ascii="Courier New" w:hAnsi="Courier New"/>
          <w:sz w:val="20"/>
        </w:rPr>
        <w:t>Adjust for:</w:t>
      </w:r>
    </w:p>
    <w:p>
      <w:pPr>
        <w:shd w:fill="F0F0F0"/>
        <w:spacing w:after="0" w:line="240" w:lineRule="auto"/>
      </w:pPr>
      <w:r>
        <w:rPr>
          <w:rFonts w:ascii="Courier New" w:hAnsi="Courier New"/>
          <w:sz w:val="20"/>
        </w:rPr>
        <w:t>- Quality differentials (if benchmark pricing used)</w:t>
      </w:r>
    </w:p>
    <w:p>
      <w:pPr>
        <w:shd w:fill="F0F0F0"/>
        <w:spacing w:after="0" w:line="240" w:lineRule="auto"/>
      </w:pPr>
      <w:r>
        <w:rPr>
          <w:rFonts w:ascii="Courier New" w:hAnsi="Courier New"/>
          <w:sz w:val="20"/>
        </w:rPr>
        <w:t>- Transportation costs (to delivery point)</w:t>
      </w:r>
    </w:p>
    <w:p>
      <w:pPr>
        <w:shd w:fill="F0F0F0"/>
        <w:spacing w:after="0" w:line="240" w:lineRule="auto"/>
      </w:pPr>
      <w:r>
        <w:rPr>
          <w:rFonts w:ascii="Courier New" w:hAnsi="Courier New"/>
          <w:sz w:val="20"/>
        </w:rPr>
        <w:t>- Hedging gains/losses (if applicable)</w:t>
      </w:r>
    </w:p>
    <w:p/>
    <w:p>
      <w:r>
        <w:rPr>
          <w:b/>
        </w:rPr>
        <w:t>Step 2: Direct Costs</w:t>
      </w:r>
    </w:p>
    <w:p>
      <w:pPr>
        <w:shd w:fill="F0F0F0"/>
        <w:spacing w:after="0" w:line="240" w:lineRule="auto"/>
      </w:pPr>
      <w:r>
        <w:rPr>
          <w:rFonts w:ascii="Courier New" w:hAnsi="Courier New"/>
          <w:sz w:val="20"/>
        </w:rPr>
        <w:t>Operating Costs (direct):</w:t>
      </w:r>
    </w:p>
    <w:p>
      <w:pPr>
        <w:shd w:fill="F0F0F0"/>
        <w:spacing w:after="0" w:line="240" w:lineRule="auto"/>
      </w:pPr>
      <w:r>
        <w:rPr>
          <w:rFonts w:ascii="Courier New" w:hAnsi="Courier New"/>
          <w:sz w:val="20"/>
        </w:rPr>
        <w:t>+ Personnel costs (PE employees)</w:t>
      </w:r>
    </w:p>
    <w:p>
      <w:pPr>
        <w:shd w:fill="F0F0F0"/>
        <w:spacing w:after="0" w:line="240" w:lineRule="auto"/>
      </w:pPr>
      <w:r>
        <w:rPr>
          <w:rFonts w:ascii="Courier New" w:hAnsi="Courier New"/>
          <w:sz w:val="20"/>
        </w:rPr>
        <w:t>+ Production operations (well services, maintenance)</w:t>
      </w:r>
    </w:p>
    <w:p>
      <w:pPr>
        <w:shd w:fill="F0F0F0"/>
        <w:spacing w:after="0" w:line="240" w:lineRule="auto"/>
      </w:pPr>
      <w:r>
        <w:rPr>
          <w:rFonts w:ascii="Courier New" w:hAnsi="Courier New"/>
          <w:sz w:val="20"/>
        </w:rPr>
        <w:t>+ Transportation and logistics</w:t>
      </w:r>
    </w:p>
    <w:p>
      <w:pPr>
        <w:shd w:fill="F0F0F0"/>
        <w:spacing w:after="0" w:line="240" w:lineRule="auto"/>
      </w:pPr>
      <w:r>
        <w:rPr>
          <w:rFonts w:ascii="Courier New" w:hAnsi="Courier New"/>
          <w:sz w:val="20"/>
        </w:rPr>
        <w:t>+ Insurance and environmental compliance</w:t>
      </w:r>
    </w:p>
    <w:p>
      <w:pPr>
        <w:shd w:fill="F0F0F0"/>
        <w:spacing w:after="0" w:line="240" w:lineRule="auto"/>
      </w:pPr>
      <w:r>
        <w:rPr>
          <w:rFonts w:ascii="Courier New" w:hAnsi="Courier New"/>
          <w:sz w:val="20"/>
        </w:rPr>
        <w:t>= Total Direct Opex</w:t>
      </w:r>
    </w:p>
    <w:p/>
    <w:p>
      <w:r>
        <w:rPr>
          <w:b/>
        </w:rPr>
        <w:t>Step 3: Depreciation</w:t>
      </w:r>
    </w:p>
    <w:p>
      <w:pPr>
        <w:shd w:fill="F0F0F0"/>
        <w:spacing w:after="0" w:line="240" w:lineRule="auto"/>
      </w:pPr>
      <w:r>
        <w:rPr>
          <w:rFonts w:ascii="Courier New" w:hAnsi="Courier New"/>
          <w:sz w:val="20"/>
        </w:rPr>
        <w:t>Capital Assets (at PE):</w:t>
      </w:r>
    </w:p>
    <w:p>
      <w:pPr>
        <w:shd w:fill="F0F0F0"/>
        <w:spacing w:after="0" w:line="240" w:lineRule="auto"/>
      </w:pPr>
      <w:r>
        <w:rPr>
          <w:rFonts w:ascii="Courier New" w:hAnsi="Courier New"/>
          <w:sz w:val="20"/>
        </w:rPr>
        <w:t>+ Production facilities: Depreciate over 10-25 years (straight-line or declining balance)</w:t>
      </w:r>
    </w:p>
    <w:p>
      <w:pPr>
        <w:shd w:fill="F0F0F0"/>
        <w:spacing w:after="0" w:line="240" w:lineRule="auto"/>
      </w:pPr>
      <w:r>
        <w:rPr>
          <w:rFonts w:ascii="Courier New" w:hAnsi="Courier New"/>
          <w:sz w:val="20"/>
        </w:rPr>
        <w:t>+ Drilling costs: Capitalize and depreciate or immediate expensing (jurisdiction-specific)</w:t>
      </w:r>
    </w:p>
    <w:p>
      <w:pPr>
        <w:shd w:fill="F0F0F0"/>
        <w:spacing w:after="0" w:line="240" w:lineRule="auto"/>
      </w:pPr>
      <w:r>
        <w:rPr>
          <w:rFonts w:ascii="Courier New" w:hAnsi="Courier New"/>
          <w:sz w:val="20"/>
        </w:rPr>
        <w:t>+ Subsea infrastructure: Depreciate over field life (typically 15-25 years)</w:t>
      </w:r>
    </w:p>
    <w:p>
      <w:pPr>
        <w:shd w:fill="F0F0F0"/>
        <w:spacing w:after="0" w:line="240" w:lineRule="auto"/>
      </w:pPr>
      <w:r>
        <w:rPr>
          <w:rFonts w:ascii="Courier New" w:hAnsi="Courier New"/>
          <w:sz w:val="20"/>
        </w:rPr>
        <w:t>= Annual Depreciation Charge</w:t>
      </w:r>
    </w:p>
    <w:p/>
    <w:p>
      <w:r>
        <w:rPr>
          <w:b/>
        </w:rPr>
        <w:t>Step 4: Allocated Head Office Costs</w:t>
      </w:r>
    </w:p>
    <w:p>
      <w:pPr>
        <w:shd w:fill="F0F0F0"/>
        <w:spacing w:after="0" w:line="240" w:lineRule="auto"/>
      </w:pPr>
      <w:r>
        <w:rPr>
          <w:rFonts w:ascii="Courier New" w:hAnsi="Courier New"/>
          <w:sz w:val="20"/>
        </w:rPr>
        <w:t>Head Office Functions:</w:t>
      </w:r>
    </w:p>
    <w:p>
      <w:pPr>
        <w:shd w:fill="F0F0F0"/>
        <w:spacing w:after="0" w:line="240" w:lineRule="auto"/>
      </w:pPr>
      <w:r>
        <w:rPr>
          <w:rFonts w:ascii="Courier New" w:hAnsi="Courier New"/>
          <w:sz w:val="20"/>
        </w:rPr>
        <w:t>+ Technical support (reservoir engineering, drilling): Allocate based on time records or % of direct costs</w:t>
      </w:r>
    </w:p>
    <w:p>
      <w:pPr>
        <w:shd w:fill="F0F0F0"/>
        <w:spacing w:after="0" w:line="240" w:lineRule="auto"/>
      </w:pPr>
      <w:r>
        <w:rPr>
          <w:rFonts w:ascii="Courier New" w:hAnsi="Courier New"/>
          <w:sz w:val="20"/>
        </w:rPr>
        <w:t>+ Corporate services (finance, legal, HR): Allocate based on headcount or revenue</w:t>
      </w:r>
    </w:p>
    <w:p>
      <w:pPr>
        <w:shd w:fill="F0F0F0"/>
        <w:spacing w:after="0" w:line="240" w:lineRule="auto"/>
      </w:pPr>
      <w:r>
        <w:rPr>
          <w:rFonts w:ascii="Courier New" w:hAnsi="Courier New"/>
          <w:sz w:val="20"/>
        </w:rPr>
        <w:t>+ Interest expense: Allocate based on assets or capitalize to projects (or disallowed entirely)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Allocation Key (Example):</w:t>
      </w:r>
    </w:p>
    <w:p>
      <w:pPr>
        <w:shd w:fill="F0F0F0"/>
        <w:spacing w:after="0" w:line="240" w:lineRule="auto"/>
      </w:pPr>
      <w:r>
        <w:rPr>
          <w:rFonts w:ascii="Courier New" w:hAnsi="Courier New"/>
          <w:sz w:val="20"/>
        </w:rPr>
        <w:t>PE as % of Total:</w:t>
      </w:r>
    </w:p>
    <w:p>
      <w:pPr>
        <w:shd w:fill="F0F0F0"/>
        <w:spacing w:after="0" w:line="240" w:lineRule="auto"/>
      </w:pPr>
      <w:r>
        <w:rPr>
          <w:rFonts w:ascii="Courier New" w:hAnsi="Courier New"/>
          <w:sz w:val="20"/>
        </w:rPr>
        <w:t>- Revenue: 40%</w:t>
      </w:r>
    </w:p>
    <w:p>
      <w:pPr>
        <w:shd w:fill="F0F0F0"/>
        <w:spacing w:after="0" w:line="240" w:lineRule="auto"/>
      </w:pPr>
      <w:r>
        <w:rPr>
          <w:rFonts w:ascii="Courier New" w:hAnsi="Courier New"/>
          <w:sz w:val="20"/>
        </w:rPr>
        <w:t>- Assets: 45%</w:t>
      </w:r>
    </w:p>
    <w:p>
      <w:pPr>
        <w:shd w:fill="F0F0F0"/>
        <w:spacing w:after="0" w:line="240" w:lineRule="auto"/>
      </w:pPr>
      <w:r>
        <w:rPr>
          <w:rFonts w:ascii="Courier New" w:hAnsi="Courier New"/>
          <w:sz w:val="20"/>
        </w:rPr>
        <w:t>- Headcount: 35%</w:t>
      </w:r>
    </w:p>
    <w:p>
      <w:pPr>
        <w:shd w:fill="F0F0F0"/>
        <w:spacing w:after="0" w:line="240" w:lineRule="auto"/>
      </w:pPr>
      <w:r>
        <w:rPr>
          <w:rFonts w:ascii="Courier New" w:hAnsi="Courier New"/>
          <w:sz w:val="20"/>
        </w:rPr>
        <w:t>→ Weighted average: 40%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Head Office Costs: USD 50M</w:t>
      </w:r>
    </w:p>
    <w:p>
      <w:pPr>
        <w:shd w:fill="F0F0F0"/>
        <w:spacing w:after="0" w:line="240" w:lineRule="auto"/>
      </w:pPr>
      <w:r>
        <w:rPr>
          <w:rFonts w:ascii="Courier New" w:hAnsi="Courier New"/>
          <w:sz w:val="20"/>
        </w:rPr>
        <w:t>PE Allocation: USD 50M × 40% = USD 20M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Arm's Length Test:</w:t>
      </w:r>
    </w:p>
    <w:p>
      <w:pPr>
        <w:shd w:fill="F0F0F0"/>
        <w:spacing w:after="0" w:line="240" w:lineRule="auto"/>
      </w:pPr>
      <w:r>
        <w:rPr>
          <w:rFonts w:ascii="Courier New" w:hAnsi="Courier New"/>
          <w:sz w:val="20"/>
        </w:rPr>
        <w:t>- Compare to third-party service fees (if available)</w:t>
      </w:r>
    </w:p>
    <w:p>
      <w:pPr>
        <w:shd w:fill="F0F0F0"/>
        <w:spacing w:after="0" w:line="240" w:lineRule="auto"/>
      </w:pPr>
      <w:r>
        <w:rPr>
          <w:rFonts w:ascii="Courier New" w:hAnsi="Courier New"/>
          <w:sz w:val="20"/>
        </w:rPr>
        <w:t>- Ensure markup appropriate (typically 3-10% of direct costs)</w:t>
      </w:r>
    </w:p>
    <w:p>
      <w:pPr>
        <w:shd w:fill="F0F0F0"/>
        <w:spacing w:after="0" w:line="240" w:lineRule="auto"/>
      </w:pPr>
      <w:r>
        <w:rPr>
          <w:rFonts w:ascii="Courier New" w:hAnsi="Courier New"/>
          <w:sz w:val="20"/>
        </w:rPr>
        <w:t>- Document services provided and allocation methodology</w:t>
      </w:r>
    </w:p>
    <w:p/>
    <w:p>
      <w:r>
        <w:rPr>
          <w:b/>
        </w:rPr>
        <w:t>Step 5: PE Taxable Income</w:t>
      </w:r>
    </w:p>
    <w:p>
      <w:pPr>
        <w:shd w:fill="F0F0F0"/>
        <w:spacing w:after="0" w:line="240" w:lineRule="auto"/>
      </w:pPr>
      <w:r>
        <w:rPr>
          <w:rFonts w:ascii="Courier New" w:hAnsi="Courier New"/>
          <w:sz w:val="20"/>
        </w:rPr>
        <w:t>Gross Revenue</w:t>
      </w:r>
    </w:p>
    <w:p>
      <w:pPr>
        <w:shd w:fill="F0F0F0"/>
        <w:spacing w:after="0" w:line="240" w:lineRule="auto"/>
      </w:pPr>
      <w:r>
        <w:rPr>
          <w:rFonts w:ascii="Courier New" w:hAnsi="Courier New"/>
          <w:sz w:val="20"/>
        </w:rPr>
        <w:t>Less: Direct Operating Costs</w:t>
      </w:r>
    </w:p>
    <w:p>
      <w:pPr>
        <w:shd w:fill="F0F0F0"/>
        <w:spacing w:after="0" w:line="240" w:lineRule="auto"/>
      </w:pPr>
      <w:r>
        <w:rPr>
          <w:rFonts w:ascii="Courier New" w:hAnsi="Courier New"/>
          <w:sz w:val="20"/>
        </w:rPr>
        <w:t>Less: Depreciation</w:t>
      </w:r>
    </w:p>
    <w:p>
      <w:pPr>
        <w:shd w:fill="F0F0F0"/>
        <w:spacing w:after="0" w:line="240" w:lineRule="auto"/>
      </w:pPr>
      <w:r>
        <w:rPr>
          <w:rFonts w:ascii="Courier New" w:hAnsi="Courier New"/>
          <w:sz w:val="20"/>
        </w:rPr>
        <w:t>Less: Allocated Head Office Costs</w:t>
      </w:r>
    </w:p>
    <w:p>
      <w:pPr>
        <w:shd w:fill="F0F0F0"/>
        <w:spacing w:after="0" w:line="240" w:lineRule="auto"/>
      </w:pPr>
      <w:r>
        <w:rPr>
          <w:rFonts w:ascii="Courier New" w:hAnsi="Courier New"/>
          <w:sz w:val="20"/>
        </w:rPr>
        <w:t>Less: Other Deductible Expenses (royalties, local taxes)</w:t>
      </w:r>
    </w:p>
    <w:p>
      <w:pPr>
        <w:shd w:fill="F0F0F0"/>
        <w:spacing w:after="0" w:line="240" w:lineRule="auto"/>
      </w:pPr>
      <w:r>
        <w:rPr>
          <w:rFonts w:ascii="Courier New" w:hAnsi="Courier New"/>
          <w:sz w:val="20"/>
        </w:rPr>
        <w:t>Less: Decommissioning Provision (if permitted)</w:t>
      </w:r>
    </w:p>
    <w:p>
      <w:pPr>
        <w:shd w:fill="F0F0F0"/>
        <w:spacing w:after="0" w:line="240" w:lineRule="auto"/>
      </w:pPr>
      <w:r>
        <w:rPr>
          <w:rFonts w:ascii="Courier New" w:hAnsi="Courier New"/>
          <w:sz w:val="20"/>
        </w:rPr>
        <w:t>= PE Taxable Income Before Adjustments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Adjustments:</w:t>
      </w:r>
    </w:p>
    <w:p>
      <w:pPr>
        <w:shd w:fill="F0F0F0"/>
        <w:spacing w:after="0" w:line="240" w:lineRule="auto"/>
      </w:pPr>
      <w:r>
        <w:rPr>
          <w:rFonts w:ascii="Courier New" w:hAnsi="Courier New"/>
          <w:sz w:val="20"/>
        </w:rPr>
        <w:t>± Transfer pricing adjustments (if internal dealings not arm's length)</w:t>
      </w:r>
    </w:p>
    <w:p>
      <w:pPr>
        <w:shd w:fill="F0F0F0"/>
        <w:spacing w:after="0" w:line="240" w:lineRule="auto"/>
      </w:pPr>
      <w:r>
        <w:rPr>
          <w:rFonts w:ascii="Courier New" w:hAnsi="Courier New"/>
          <w:sz w:val="20"/>
        </w:rPr>
        <w:t>± Ring-fencing disallowances (if applicable)</w:t>
      </w:r>
    </w:p>
    <w:p>
      <w:pPr>
        <w:shd w:fill="F0F0F0"/>
        <w:spacing w:after="0" w:line="240" w:lineRule="auto"/>
      </w:pPr>
      <w:r>
        <w:rPr>
          <w:rFonts w:ascii="Courier New" w:hAnsi="Courier New"/>
          <w:sz w:val="20"/>
        </w:rPr>
        <w:t>= PE Final Taxable Income</w:t>
      </w:r>
    </w:p>
    <w:p/>
    <w:p>
      <w:r>
        <w:rPr>
          <w:b/>
        </w:rPr>
        <w:t>Step 6: Tax Calculation</w:t>
      </w:r>
    </w:p>
    <w:p>
      <w:pPr>
        <w:shd w:fill="F0F0F0"/>
        <w:spacing w:after="0" w:line="240" w:lineRule="auto"/>
      </w:pPr>
      <w:r>
        <w:rPr>
          <w:rFonts w:ascii="Courier New" w:hAnsi="Courier New"/>
          <w:sz w:val="20"/>
        </w:rPr>
        <w:t>PE Taxable Income × Corporate Tax Rate = Corporate Income Tax</w:t>
      </w:r>
    </w:p>
    <w:p>
      <w:pPr>
        <w:shd w:fill="F0F0F0"/>
        <w:spacing w:after="0" w:line="240" w:lineRule="auto"/>
      </w:pPr>
      <w:r>
        <w:rPr>
          <w:rFonts w:ascii="Courier New" w:hAnsi="Courier New"/>
          <w:sz w:val="20"/>
        </w:rPr>
        <w:t>+ Petroleum Profits Tax (if applicable, typically 20-50% on PE petroleum income)</w:t>
      </w:r>
    </w:p>
    <w:p>
      <w:pPr>
        <w:shd w:fill="F0F0F0"/>
        <w:spacing w:after="0" w:line="240" w:lineRule="auto"/>
      </w:pPr>
      <w:r>
        <w:rPr>
          <w:rFonts w:ascii="Courier New" w:hAnsi="Courier New"/>
          <w:sz w:val="20"/>
        </w:rPr>
        <w:t>+ Resource Rent Tax (if applicable, e.g., Australia PRRT)</w:t>
      </w:r>
    </w:p>
    <w:p>
      <w:pPr>
        <w:shd w:fill="F0F0F0"/>
        <w:spacing w:after="0" w:line="240" w:lineRule="auto"/>
      </w:pPr>
      <w:r>
        <w:rPr>
          <w:rFonts w:ascii="Courier New" w:hAnsi="Courier New"/>
          <w:sz w:val="20"/>
        </w:rPr>
        <w:t>= Total PE Tax Liability</w:t>
      </w:r>
    </w:p>
    <w:p/>
    <w:p>
      <w:pPr>
        <w:spacing w:before="120" w:after="120"/>
        <w:pBdr>
          <w:bottom w:val="single" w:sz="6" w:space="1" w:color="auto"/>
        </w:pBdr>
      </w:pPr>
    </w:p>
    <w:p>
      <w:pPr>
        <w:pStyle w:val="Heading2"/>
      </w:pPr>
      <w:r>
        <w:t>5. Worked Examples</w:t>
      </w:r>
    </w:p>
    <w:p>
      <w:pPr>
        <w:pStyle w:val="Heading3"/>
      </w:pPr>
      <w:r>
        <w:t>Example 1: Operating Company with Offshore Platform PE - Profit Attribution</w:t>
      </w:r>
    </w:p>
    <w:p>
      <w:r>
        <w:rPr>
          <w:b/>
        </w:rPr>
        <w:t>Fact Pattern:</w:t>
      </w:r>
    </w:p>
    <w:p>
      <w:r>
        <w:rPr>
          <w:b/>
        </w:rPr>
        <w:t>GlobalPetro Inc</w:t>
      </w:r>
      <w:r>
        <w:t xml:space="preserve"> (incorporated in Delaware, US tax resident) operates the "Deepwater Horizon II" field offshore Angola under a </w:t>
      </w:r>
      <w:r>
        <w:rPr>
          <w:b/>
        </w:rPr>
        <w:t>Production Sharing Contract (PSC)</w:t>
      </w:r>
      <w:r>
        <w:t xml:space="preserve"> arrangement. GlobalPetro has 60% working interest and is appointed operator. Other participants: ChinaOil (25%) and AngolaSOE (15% state-owned company).</w:t>
      </w:r>
    </w:p>
    <w:p>
      <w:r>
        <w:rPr>
          <w:b/>
        </w:rPr>
        <w:t>Year 2024 Operations:</w:t>
      </w:r>
    </w:p>
    <w:p>
      <w:r>
        <w:rPr>
          <w:b/>
        </w:rPr>
        <w:t>Production and Revenue:</w:t>
      </w:r>
    </w:p>
    <w:p>
      <w:pPr>
        <w:pStyle w:val="ListBullet"/>
      </w:pPr>
      <w:r>
        <w:t>Gross production (100%): 15 million barrels</w:t>
      </w:r>
    </w:p>
    <w:p>
      <w:pPr>
        <w:pStyle w:val="ListBullet"/>
      </w:pPr>
      <w:r>
        <w:t>GlobalPetro's share (60%): 9 million barrels</w:t>
      </w:r>
    </w:p>
    <w:p>
      <w:pPr>
        <w:pStyle w:val="ListBullet"/>
      </w:pPr>
      <w:r>
        <w:t>Realized price: USD 88/barrel</w:t>
      </w:r>
    </w:p>
    <w:p>
      <w:pPr>
        <w:pStyle w:val="ListBullet"/>
      </w:pPr>
      <w:r>
        <w:t>GlobalPetro revenue: USD 792 million</w:t>
      </w:r>
    </w:p>
    <w:p>
      <w:r>
        <w:rPr>
          <w:b/>
        </w:rPr>
        <w:t>Operating Facilities:</w:t>
      </w:r>
    </w:p>
    <w:p>
      <w:pPr>
        <w:pStyle w:val="ListBullet"/>
      </w:pPr>
      <w:r>
        <w:t>Fixed production platform (installed 2020, cost USD 1.2 billion, GlobalPetro share: USD 720M)</w:t>
      </w:r>
    </w:p>
    <w:p>
      <w:pPr>
        <w:pStyle w:val="ListBullet"/>
      </w:pPr>
      <w:r>
        <w:t>Subsea infrastructure (cost USD 400M, GlobalPetro share: USD 240M)</w:t>
      </w:r>
    </w:p>
    <w:p>
      <w:pPr>
        <w:pStyle w:val="ListBullet"/>
      </w:pPr>
      <w:r>
        <w:t>Onshore support base in Luanda with 50 personnel</w:t>
      </w:r>
    </w:p>
    <w:p>
      <w:r>
        <w:rPr>
          <w:b/>
        </w:rPr>
        <w:t>Costs (GlobalPetro's Share - 2024):</w:t>
      </w:r>
    </w:p>
    <w:p>
      <w:pPr>
        <w:pStyle w:val="ListBullet"/>
      </w:pPr>
      <w:r>
        <w:t>Direct operating costs: USD 180 million</w:t>
      </w:r>
    </w:p>
    <w:p>
      <w:pPr>
        <w:pStyle w:val="ListBullet"/>
      </w:pPr>
      <w:r>
        <w:t>Personnel (Angola): USD 45 million (150 employees on platform + support base)</w:t>
      </w:r>
    </w:p>
    <w:p>
      <w:pPr>
        <w:pStyle w:val="ListBullet"/>
      </w:pPr>
      <w:r>
        <w:t>Depreciation: Platform 10% per annum, subsea 8% per annum</w:t>
      </w:r>
    </w:p>
    <w:p>
      <w:pPr>
        <w:pStyle w:val="ListBullet"/>
      </w:pPr>
      <w:r>
        <w:t>Head office costs (Houston): USD 60 million total (reservoir engineering, finance, legal, executive)</w:t>
      </w:r>
    </w:p>
    <w:p>
      <w:r>
        <w:rPr>
          <w:b/>
        </w:rPr>
        <w:t>Angola Tax Regime:</w:t>
      </w:r>
    </w:p>
    <w:p>
      <w:pPr>
        <w:pStyle w:val="ListBullet"/>
      </w:pPr>
      <w:r>
        <w:t>Corporate income tax: 25%</w:t>
      </w:r>
    </w:p>
    <w:p>
      <w:pPr>
        <w:pStyle w:val="ListBullet"/>
      </w:pPr>
      <w:r>
        <w:t>Petroleum Income Tax (PIT): 50% standard rate (varies by contract type; some projects qualify for reduced rates)</w:t>
      </w:r>
    </w:p>
    <w:p>
      <w:pPr>
        <w:pStyle w:val="ListBullet"/>
      </w:pPr>
      <w:r>
        <w:t>Note: Example assumes negotiated rate of 35% under specific PSC terms</w:t>
      </w:r>
    </w:p>
    <w:p>
      <w:pPr>
        <w:pStyle w:val="ListBullet"/>
      </w:pPr>
      <w:r>
        <w:t>PSC profit oil already allocated (separate from tax calculation)</w:t>
      </w:r>
    </w:p>
    <w:p>
      <w:pPr>
        <w:pStyle w:val="ListBullet"/>
      </w:pPr>
      <w:r>
        <w:t>Ring-fencing: Field-level (no offset from other GlobalPetro Angola operations)</w:t>
      </w:r>
    </w:p>
    <w:p>
      <w:r>
        <w:rPr>
          <w:b/>
        </w:rPr>
        <w:t>Transfer Pricing:</w:t>
      </w:r>
    </w:p>
    <w:p>
      <w:pPr>
        <w:pStyle w:val="ListBullet"/>
      </w:pPr>
      <w:r>
        <w:t>Angola tax authorities reviewing head office cost allocations</w:t>
      </w:r>
    </w:p>
    <w:p>
      <w:pPr>
        <w:pStyle w:val="ListBullet"/>
      </w:pPr>
      <w:r>
        <w:t>Requesting justification for USD 60M allocation</w:t>
      </w:r>
    </w:p>
    <w:p>
      <w:r>
        <w:rPr>
          <w:b/>
        </w:rPr>
        <w:t>Required:</w:t>
      </w:r>
    </w:p>
    <w:p>
      <w:r>
        <w:t>(a) Determine if GlobalPetro has PE in Angola (domestic law and treaty)</w:t>
      </w:r>
    </w:p>
    <w:p>
      <w:r>
        <w:t>(b) Calculate PE taxable income under AOA</w:t>
      </w:r>
    </w:p>
    <w:p>
      <w:r>
        <w:t>(c) Determine Angola tax liability</w:t>
      </w:r>
    </w:p>
    <w:p>
      <w:r>
        <w:t>(d) Justify head office allocation under arm's length principle</w:t>
      </w:r>
    </w:p>
    <w:p>
      <w:pPr>
        <w:spacing w:before="120" w:after="120"/>
        <w:pBdr>
          <w:bottom w:val="single" w:sz="6" w:space="1" w:color="auto"/>
        </w:pBdr>
      </w:pPr>
    </w:p>
    <w:p>
      <w:r>
        <w:rPr>
          <w:b/>
        </w:rPr>
        <w:t>Solution:</w:t>
      </w:r>
    </w:p>
    <w:p>
      <w:r>
        <w:rPr>
          <w:b/>
        </w:rPr>
        <w:t>Part (a): PE Determination</w:t>
      </w:r>
    </w:p>
    <w:p>
      <w:r>
        <w:rPr>
          <w:b/>
        </w:rPr>
        <w:t>Domestic Law (Angola Petroleum Tax Code):</w:t>
      </w:r>
    </w:p>
    <w:p>
      <w:pPr>
        <w:pStyle w:val="ListBullet"/>
      </w:pPr>
      <w:r>
        <w:t>Article 5: "A non-resident company conducting petroleum operations in Angola shall be deemed to have a permanent establishment in Angola."</w:t>
      </w:r>
    </w:p>
    <w:p>
      <w:pPr>
        <w:pStyle w:val="ListBullet"/>
      </w:pPr>
      <w:r>
        <w:t>GlobalPetro conducts production operations → PE exists under domestic law</w:t>
      </w:r>
    </w:p>
    <w:p>
      <w:r>
        <w:rPr>
          <w:b/>
        </w:rPr>
        <w:t>Treaty Analysis (US-Angola Tax Treaty - hypothetical based on US Model):</w:t>
      </w:r>
    </w:p>
    <w:p>
      <w:r>
        <w:t>Article 5(1): Fixed place of business through which business is wholly or partly carried on</w:t>
      </w:r>
    </w:p>
    <w:p>
      <w:pPr>
        <w:pStyle w:val="ListBullet"/>
      </w:pPr>
      <w:r>
        <w:t>GlobalPetro operates fixed production platform in Angola territorial waters</w:t>
      </w:r>
    </w:p>
    <w:p>
      <w:pPr>
        <w:pStyle w:val="ListBullet"/>
      </w:pPr>
      <w:r>
        <w:t>Onshore support base in Luanda</w:t>
      </w:r>
    </w:p>
    <w:p>
      <w:r>
        <w:t xml:space="preserve">→ </w:t>
      </w:r>
      <w:r>
        <w:rPr>
          <w:b/>
        </w:rPr>
        <w:t>Fixed place of business PE exists</w:t>
      </w:r>
    </w:p>
    <w:p>
      <w:r>
        <w:t>Article 5(2)(f): "a mine, an oil or natural gas well, a quarry, or any other place of extraction of natural resources"</w:t>
      </w:r>
    </w:p>
    <w:p>
      <w:pPr>
        <w:pStyle w:val="ListBullet"/>
      </w:pPr>
      <w:r>
        <w:t>Deepwater field with producing wells and platform</w:t>
      </w:r>
    </w:p>
    <w:p>
      <w:r>
        <w:t xml:space="preserve">→ </w:t>
      </w:r>
      <w:r>
        <w:rPr>
          <w:b/>
        </w:rPr>
        <w:t>Explicit PE under Article 5(2)(f)</w:t>
      </w:r>
    </w:p>
    <w:p>
      <w:r>
        <w:rPr>
          <w:b/>
        </w:rPr>
        <w:t>Conclusion:</w:t>
      </w:r>
      <w:r>
        <w:t xml:space="preserve"> GlobalPetro has PE in Angola under both domestic law and treaty. No dispute; PE clearly established. Treaty provides no relief from source taxation for extraction operations.</w:t>
      </w:r>
    </w:p>
    <w:p>
      <w:pPr>
        <w:spacing w:before="120" w:after="120"/>
        <w:pBdr>
          <w:bottom w:val="single" w:sz="6" w:space="1" w:color="auto"/>
        </w:pBdr>
      </w:pPr>
    </w:p>
    <w:p>
      <w:r>
        <w:rPr>
          <w:b/>
        </w:rPr>
        <w:t>Part (b): PE Taxable Income Calculation (AOA)</w:t>
      </w:r>
    </w:p>
    <w:p>
      <w:r>
        <w:rPr>
          <w:b/>
        </w:rPr>
        <w:t>Step 1: Gross Revenue</w:t>
      </w:r>
    </w:p>
    <w:p>
      <w:pPr>
        <w:shd w:fill="F0F0F0"/>
        <w:spacing w:after="0" w:line="240" w:lineRule="auto"/>
      </w:pPr>
      <w:r>
        <w:rPr>
          <w:rFonts w:ascii="Courier New" w:hAnsi="Courier New"/>
          <w:sz w:val="20"/>
        </w:rPr>
        <w:t>Production (GlobalPetro 60% share):         9,000,000 barrels</w:t>
      </w:r>
    </w:p>
    <w:p>
      <w:pPr>
        <w:shd w:fill="F0F0F0"/>
        <w:spacing w:after="0" w:line="240" w:lineRule="auto"/>
      </w:pPr>
      <w:r>
        <w:rPr>
          <w:rFonts w:ascii="Courier New" w:hAnsi="Courier New"/>
          <w:sz w:val="20"/>
        </w:rPr>
        <w:t>Realized price:                             $88/barrel</w:t>
      </w:r>
    </w:p>
    <w:p>
      <w:pPr>
        <w:shd w:fill="F0F0F0"/>
        <w:spacing w:after="0" w:line="240" w:lineRule="auto"/>
      </w:pPr>
      <w:r>
        <w:rPr>
          <w:rFonts w:ascii="Courier New" w:hAnsi="Courier New"/>
          <w:sz w:val="20"/>
        </w:rPr>
        <w:t>Gross Revenue:                              $792,000,000</w:t>
      </w:r>
    </w:p>
    <w:p/>
    <w:p>
      <w:r>
        <w:rPr>
          <w:b/>
        </w:rPr>
        <w:t>Step 2: Direct Operating Costs</w:t>
      </w:r>
    </w:p>
    <w:p>
      <w:pPr>
        <w:shd w:fill="F0F0F0"/>
        <w:spacing w:after="0" w:line="240" w:lineRule="auto"/>
      </w:pPr>
      <w:r>
        <w:rPr>
          <w:rFonts w:ascii="Courier New" w:hAnsi="Courier New"/>
          <w:sz w:val="20"/>
        </w:rPr>
        <w:t>Operating expenditures:                     $180,000,000</w:t>
      </w:r>
    </w:p>
    <w:p>
      <w:pPr>
        <w:shd w:fill="F0F0F0"/>
        <w:spacing w:after="0" w:line="240" w:lineRule="auto"/>
      </w:pPr>
      <w:r>
        <w:rPr>
          <w:rFonts w:ascii="Courier New" w:hAnsi="Courier New"/>
          <w:sz w:val="20"/>
        </w:rPr>
        <w:t>Personnel (Angola-based):                   $45,000,000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Total Direct Costs:                         $225,000,000</w:t>
      </w:r>
    </w:p>
    <w:p/>
    <w:p>
      <w:r>
        <w:rPr>
          <w:b/>
        </w:rPr>
        <w:t>Step 3: Depreciation</w:t>
      </w:r>
    </w:p>
    <w:p>
      <w:pPr>
        <w:shd w:fill="F0F0F0"/>
        <w:spacing w:after="0" w:line="240" w:lineRule="auto"/>
      </w:pPr>
      <w:r>
        <w:rPr>
          <w:rFonts w:ascii="Courier New" w:hAnsi="Courier New"/>
          <w:sz w:val="20"/>
        </w:rPr>
        <w:t>Platform (cost $720M):                      $720M × 10% = $72,000,000</w:t>
      </w:r>
    </w:p>
    <w:p>
      <w:pPr>
        <w:shd w:fill="F0F0F0"/>
        <w:spacing w:after="0" w:line="240" w:lineRule="auto"/>
      </w:pPr>
      <w:r>
        <w:rPr>
          <w:rFonts w:ascii="Courier New" w:hAnsi="Courier New"/>
          <w:sz w:val="20"/>
        </w:rPr>
        <w:t>Subsea infrastructure (cost $240M):         $240M × 8% = $19,200,000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Total Depreciation:                         $91,200,000</w:t>
      </w:r>
    </w:p>
    <w:p/>
    <w:p>
      <w:r>
        <w:rPr>
          <w:b/>
        </w:rPr>
        <w:t>Step 4: Head Office Cost Allocation</w:t>
      </w:r>
    </w:p>
    <w:p>
      <w:r>
        <w:rPr>
          <w:b/>
        </w:rPr>
        <w:t>Services Provided by Houston Head Office:</w:t>
      </w:r>
    </w:p>
    <w:p>
      <w:pPr>
        <w:pStyle w:val="ListBullet"/>
      </w:pPr>
      <w:r>
        <w:t>Reservoir engineering and subsurface analysis (30% of time dedicated to Angola field)</w:t>
      </w:r>
    </w:p>
    <w:p>
      <w:pPr>
        <w:pStyle w:val="ListBullet"/>
      </w:pPr>
      <w:r>
        <w:t>Corporate finance and treasury (portfolio-wide)</w:t>
      </w:r>
    </w:p>
    <w:p>
      <w:pPr>
        <w:pStyle w:val="ListBullet"/>
      </w:pPr>
      <w:r>
        <w:t>Legal, tax, and compliance (15% Angola-related)</w:t>
      </w:r>
    </w:p>
    <w:p>
      <w:pPr>
        <w:pStyle w:val="ListBullet"/>
      </w:pPr>
      <w:r>
        <w:t>Executive management (portfolio oversight)</w:t>
      </w:r>
    </w:p>
    <w:p>
      <w:r>
        <w:rPr>
          <w:b/>
        </w:rPr>
        <w:t>Total Head Office Costs:</w:t>
      </w:r>
      <w:r>
        <w:t xml:space="preserve"> USD 60 million</w:t>
      </w:r>
    </w:p>
    <w:p>
      <w:r>
        <w:rPr>
          <w:b/>
        </w:rPr>
        <w:t>Allocation Methodology:</w:t>
      </w:r>
    </w:p>
    <w:p>
      <w:r>
        <w:t>Method 1 - Direct allocation based on time records:</w:t>
      </w:r>
    </w:p>
    <w:p>
      <w:pPr>
        <w:pStyle w:val="ListBullet"/>
      </w:pPr>
      <w:r>
        <w:t>Reservoir engineering (30% Angola-specific): Allocate 30%</w:t>
      </w:r>
    </w:p>
    <w:p>
      <w:pPr>
        <w:pStyle w:val="ListBullet"/>
      </w:pPr>
      <w:r>
        <w:t>Legal/tax (15% Angola): Allocate 15%</w:t>
      </w:r>
    </w:p>
    <w:p>
      <w:pPr>
        <w:pStyle w:val="ListBullet"/>
      </w:pPr>
      <w:r>
        <w:t>Corporate services (portfolio-wide): Allocate based on revenue/assets</w:t>
      </w:r>
    </w:p>
    <w:p>
      <w:r>
        <w:t>Method 2 - Percentage of direct costs (benchmarking approach):</w:t>
      </w:r>
    </w:p>
    <w:p>
      <w:pPr>
        <w:pStyle w:val="ListBullet"/>
      </w:pPr>
      <w:r>
        <w:t>Industry benchmark for operator head office allocation: 8-12% of direct field costs</w:t>
      </w:r>
    </w:p>
    <w:p>
      <w:pPr>
        <w:pStyle w:val="ListBullet"/>
      </w:pPr>
      <w:r>
        <w:t>Direct field costs (operating + personnel): USD 225M</w:t>
      </w:r>
    </w:p>
    <w:p>
      <w:pPr>
        <w:pStyle w:val="ListBullet"/>
      </w:pPr>
      <w:r>
        <w:t>Allowable range: USD 18M - USD 27M</w:t>
      </w:r>
    </w:p>
    <w:p>
      <w:r>
        <w:rPr>
          <w:b/>
        </w:rPr>
        <w:t>GlobalPetro Allocation:</w:t>
      </w:r>
      <w:r>
        <w:t xml:space="preserve"> USD 60M (26.7% of direct costs)</w:t>
      </w:r>
    </w:p>
    <w:p>
      <w:r>
        <w:rPr>
          <w:b/>
        </w:rPr>
        <w:t>Assessment:</w:t>
      </w:r>
      <w:r>
        <w:t xml:space="preserve"> USD 60M allocation appears </w:t>
      </w:r>
      <w:r>
        <w:rPr>
          <w:b/>
        </w:rPr>
        <w:t>excessive</w:t>
      </w:r>
      <w:r>
        <w:t xml:space="preserve"> compared to:</w:t>
      </w:r>
    </w:p>
    <w:p>
      <w:pPr>
        <w:pStyle w:val="ListBullet"/>
      </w:pPr>
      <w:r>
        <w:t>Industry benchmark: 8-12% (USD 18-27M)</w:t>
      </w:r>
    </w:p>
    <w:p>
      <w:pPr>
        <w:pStyle w:val="ListBullet"/>
      </w:pPr>
      <w:r>
        <w:t>Third-party operator fees: 10-15% of opex</w:t>
      </w:r>
    </w:p>
    <w:p>
      <w:r>
        <w:rPr>
          <w:b/>
        </w:rPr>
        <w:t>Arm's Length Adjustment:</w:t>
      </w:r>
    </w:p>
    <w:p>
      <w:pPr>
        <w:pStyle w:val="ListBullet"/>
      </w:pPr>
      <w:r>
        <w:t>Apply 10% rate (midpoint of benchmark): USD 225M × 10% = USD 22.5M</w:t>
      </w:r>
    </w:p>
    <w:p>
      <w:pPr>
        <w:pStyle w:val="ListBullet"/>
      </w:pPr>
      <w:r>
        <w:rPr>
          <w:b/>
        </w:rPr>
        <w:t>Disallowed allocation</w:t>
      </w:r>
      <w:r>
        <w:t xml:space="preserve">: USD 60M - USD 22.5M = </w:t>
      </w:r>
      <w:r>
        <w:rPr>
          <w:b/>
        </w:rPr>
        <w:t>USD 37.5M</w:t>
      </w:r>
    </w:p>
    <w:p>
      <w:r>
        <w:rPr>
          <w:b/>
        </w:rPr>
        <w:t>Revised Head Office Allocation (Arm's Length):</w:t>
      </w:r>
      <w:r>
        <w:t xml:space="preserve"> USD 22.5 million</w:t>
      </w:r>
    </w:p>
    <w:p>
      <w:r>
        <w:rPr>
          <w:b/>
        </w:rPr>
        <w:t>Step 5: PE Taxable Income</w:t>
      </w:r>
    </w:p>
    <w:p>
      <w:pPr>
        <w:shd w:fill="F0F0F0"/>
        <w:spacing w:after="0" w:line="240" w:lineRule="auto"/>
      </w:pPr>
      <w:r>
        <w:rPr>
          <w:rFonts w:ascii="Courier New" w:hAnsi="Courier New"/>
          <w:sz w:val="20"/>
        </w:rPr>
        <w:t>Gross Revenue:                              $792,000,000</w:t>
      </w:r>
    </w:p>
    <w:p>
      <w:pPr>
        <w:shd w:fill="F0F0F0"/>
        <w:spacing w:after="0" w:line="240" w:lineRule="auto"/>
      </w:pPr>
      <w:r>
        <w:rPr>
          <w:rFonts w:ascii="Courier New" w:hAnsi="Courier New"/>
          <w:sz w:val="20"/>
        </w:rPr>
        <w:t>Less: Direct Operating Costs                ($225,000,000)</w:t>
      </w:r>
    </w:p>
    <w:p>
      <w:pPr>
        <w:shd w:fill="F0F0F0"/>
        <w:spacing w:after="0" w:line="240" w:lineRule="auto"/>
      </w:pPr>
      <w:r>
        <w:rPr>
          <w:rFonts w:ascii="Courier New" w:hAnsi="Courier New"/>
          <w:sz w:val="20"/>
        </w:rPr>
        <w:t>Less: Depreciation                          ($91,200,000)</w:t>
      </w:r>
    </w:p>
    <w:p>
      <w:pPr>
        <w:shd w:fill="F0F0F0"/>
        <w:spacing w:after="0" w:line="240" w:lineRule="auto"/>
      </w:pPr>
      <w:r>
        <w:rPr>
          <w:rFonts w:ascii="Courier New" w:hAnsi="Courier New"/>
          <w:sz w:val="20"/>
        </w:rPr>
        <w:t>Less: Head Office Costs (arm's length)      ($22,500,000)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PE TAXABLE INCOME:                          $453,300,000</w:t>
      </w:r>
    </w:p>
    <w:p/>
    <w:p>
      <w:r>
        <w:rPr>
          <w:b/>
        </w:rPr>
        <w:t>Step 6: Adjustments</w:t>
      </w:r>
    </w:p>
    <w:p>
      <w:pPr>
        <w:shd w:fill="F0F0F0"/>
        <w:spacing w:after="0" w:line="240" w:lineRule="auto"/>
      </w:pPr>
      <w:r>
        <w:rPr>
          <w:rFonts w:ascii="Courier New" w:hAnsi="Courier New"/>
          <w:sz w:val="20"/>
        </w:rPr>
        <w:t>Transfer Pricing Adjustment:</w:t>
      </w:r>
    </w:p>
    <w:p>
      <w:pPr>
        <w:shd w:fill="F0F0F0"/>
        <w:spacing w:after="0" w:line="240" w:lineRule="auto"/>
      </w:pPr>
      <w:r>
        <w:rPr>
          <w:rFonts w:ascii="Courier New" w:hAnsi="Courier New"/>
          <w:sz w:val="20"/>
        </w:rPr>
        <w:t>- Disallowed head office costs:             $37,500,000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ADJUSTED PE TAXABLE INCOME:                 $490,800,000</w:t>
      </w:r>
    </w:p>
    <w:p/>
    <w:p>
      <w:pPr>
        <w:spacing w:before="120" w:after="120"/>
        <w:pBdr>
          <w:bottom w:val="single" w:sz="6" w:space="1" w:color="auto"/>
        </w:pBdr>
      </w:pPr>
    </w:p>
    <w:p>
      <w:r>
        <w:rPr>
          <w:b/>
        </w:rPr>
        <w:t>Part (c): Angola Tax Calculation</w:t>
      </w:r>
    </w:p>
    <w:p>
      <w:r>
        <w:rPr>
          <w:b/>
        </w:rPr>
        <w:t>Petroleum Income Tax (PIT) - 35%:</w:t>
      </w:r>
    </w:p>
    <w:p>
      <w:pPr>
        <w:shd w:fill="F0F0F0"/>
        <w:spacing w:after="0" w:line="240" w:lineRule="auto"/>
      </w:pPr>
      <w:r>
        <w:rPr>
          <w:rFonts w:ascii="Courier New" w:hAnsi="Courier New"/>
          <w:sz w:val="20"/>
        </w:rPr>
        <w:t>PE Taxable Income:                          $490,800,000</w:t>
      </w:r>
    </w:p>
    <w:p>
      <w:pPr>
        <w:shd w:fill="F0F0F0"/>
        <w:spacing w:after="0" w:line="240" w:lineRule="auto"/>
      </w:pPr>
      <w:r>
        <w:rPr>
          <w:rFonts w:ascii="Courier New" w:hAnsi="Courier New"/>
          <w:sz w:val="20"/>
        </w:rPr>
        <w:t>PIT Rate:                                   35%</w:t>
      </w:r>
    </w:p>
    <w:p>
      <w:pPr>
        <w:shd w:fill="F0F0F0"/>
        <w:spacing w:after="0" w:line="240" w:lineRule="auto"/>
      </w:pPr>
      <w:r>
        <w:rPr>
          <w:rFonts w:ascii="Courier New" w:hAnsi="Courier New"/>
          <w:sz w:val="20"/>
        </w:rPr>
        <w:t>PIT Liability:                              $171,780,000</w:t>
      </w:r>
    </w:p>
    <w:p/>
    <w:p>
      <w:r>
        <w:rPr>
          <w:b/>
        </w:rPr>
        <w:t>Corporate Income Tax (CIT) - 25%:</w:t>
      </w:r>
    </w:p>
    <w:p>
      <w:pPr>
        <w:shd w:fill="F0F0F0"/>
        <w:spacing w:after="0" w:line="240" w:lineRule="auto"/>
      </w:pPr>
      <w:r>
        <w:rPr>
          <w:rFonts w:ascii="Courier New" w:hAnsi="Courier New"/>
          <w:sz w:val="20"/>
        </w:rPr>
        <w:t>PE Taxable Income:                          $490,800,000</w:t>
      </w:r>
    </w:p>
    <w:p>
      <w:pPr>
        <w:shd w:fill="F0F0F0"/>
        <w:spacing w:after="0" w:line="240" w:lineRule="auto"/>
      </w:pPr>
      <w:r>
        <w:rPr>
          <w:rFonts w:ascii="Courier New" w:hAnsi="Courier New"/>
          <w:sz w:val="20"/>
        </w:rPr>
        <w:t>CIT Rate:                                   25%</w:t>
      </w:r>
    </w:p>
    <w:p>
      <w:pPr>
        <w:shd w:fill="F0F0F0"/>
        <w:spacing w:after="0" w:line="240" w:lineRule="auto"/>
      </w:pPr>
      <w:r>
        <w:rPr>
          <w:rFonts w:ascii="Courier New" w:hAnsi="Courier New"/>
          <w:sz w:val="20"/>
        </w:rPr>
        <w:t>CIT Before Credit:                          $122,700,000</w:t>
      </w:r>
    </w:p>
    <w:p>
      <w:pPr>
        <w:shd w:fill="F0F0F0"/>
        <w:spacing w:after="0" w:line="240" w:lineRule="auto"/>
      </w:pPr>
      <w:r>
        <w:rPr>
          <w:rFonts w:ascii="Courier New" w:hAnsi="Courier New"/>
          <w:sz w:val="20"/>
        </w:rPr>
        <w:t>Less: PIT Credit                            ($122,700,000)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CIT Liability:                              $0</w:t>
      </w:r>
    </w:p>
    <w:p>
      <w:pPr>
        <w:shd w:fill="F0F0F0"/>
        <w:spacing w:after="0" w:line="240" w:lineRule="auto"/>
      </w:pPr>
      <w:r>
        <w:rPr>
          <w:rFonts w:ascii="Courier New" w:hAnsi="Courier New"/>
          <w:sz w:val="20"/>
        </w:rPr>
        <w:t>(PIT exceeds CIT; only PIT payable)</w:t>
      </w:r>
    </w:p>
    <w:p/>
    <w:p>
      <w:r>
        <w:rPr>
          <w:b/>
        </w:rPr>
        <w:t>Total Angola Tax Liability:</w:t>
      </w:r>
    </w:p>
    <w:p>
      <w:pPr>
        <w:shd w:fill="F0F0F0"/>
        <w:spacing w:after="0" w:line="240" w:lineRule="auto"/>
      </w:pPr>
      <w:r>
        <w:rPr>
          <w:rFonts w:ascii="Courier New" w:hAnsi="Courier New"/>
          <w:sz w:val="20"/>
        </w:rPr>
        <w:t>Petroleum Income Tax:                       $171,780,000</w:t>
      </w:r>
    </w:p>
    <w:p>
      <w:pPr>
        <w:shd w:fill="F0F0F0"/>
        <w:spacing w:after="0" w:line="240" w:lineRule="auto"/>
      </w:pPr>
      <w:r>
        <w:rPr>
          <w:rFonts w:ascii="Courier New" w:hAnsi="Courier New"/>
          <w:sz w:val="20"/>
        </w:rPr>
        <w:t>Corporate Income Tax:                       $0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TOTAL ANGOLA TAX:                           $171,780,000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Tax Rate:                         35.0%</w:t>
      </w:r>
    </w:p>
    <w:p/>
    <w:p>
      <w:pPr>
        <w:spacing w:before="120" w:after="120"/>
        <w:pBdr>
          <w:bottom w:val="single" w:sz="6" w:space="1" w:color="auto"/>
        </w:pBdr>
      </w:pPr>
    </w:p>
    <w:p>
      <w:r>
        <w:rPr>
          <w:b/>
        </w:rPr>
        <w:t>Part (d): Head Office Allocation Justification</w:t>
      </w:r>
    </w:p>
    <w:p>
      <w:r>
        <w:rPr>
          <w:b/>
        </w:rPr>
        <w:t>Transfer Pricing Analysis:</w:t>
      </w:r>
    </w:p>
    <w:p>
      <w:r>
        <w:rPr>
          <w:b/>
        </w:rPr>
        <w:t>Comparable Data - Operator Fee Benchmarking: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Comparable Operator</w:t>
            </w:r>
          </w:p>
        </w:tc>
        <w:tc>
          <w:tcPr>
            <w:tcW w:type="dxa" w:w="2160"/>
          </w:tcPr>
          <w:p>
            <w:r>
              <w:rPr>
                <w:b/>
              </w:rPr>
            </w:r>
            <w:r>
              <w:rPr>
                <w:b/>
              </w:rPr>
              <w:t>Geography</w:t>
            </w:r>
          </w:p>
        </w:tc>
        <w:tc>
          <w:tcPr>
            <w:tcW w:type="dxa" w:w="2160"/>
          </w:tcPr>
          <w:p>
            <w:r>
              <w:rPr>
                <w:b/>
              </w:rPr>
            </w:r>
            <w:r>
              <w:rPr>
                <w:b/>
              </w:rPr>
              <w:t>Fee Structure</w:t>
            </w:r>
          </w:p>
        </w:tc>
        <w:tc>
          <w:tcPr>
            <w:tcW w:type="dxa" w:w="2160"/>
          </w:tcPr>
          <w:p>
            <w:r>
              <w:rPr>
                <w:b/>
              </w:rPr>
            </w:r>
            <w:r>
              <w:rPr>
                <w:b/>
              </w:rPr>
              <w:t>% of Opex</w:t>
            </w:r>
          </w:p>
        </w:tc>
      </w:tr>
      <w:tr>
        <w:tc>
          <w:tcPr>
            <w:tcW w:type="dxa" w:w="2160"/>
          </w:tcPr>
          <w:p>
            <w:r/>
            <w:r>
              <w:t>Shell Nigeria</w:t>
            </w:r>
          </w:p>
        </w:tc>
        <w:tc>
          <w:tcPr>
            <w:tcW w:type="dxa" w:w="2160"/>
          </w:tcPr>
          <w:p>
            <w:r/>
            <w:r>
              <w:t>West Africa</w:t>
            </w:r>
          </w:p>
        </w:tc>
        <w:tc>
          <w:tcPr>
            <w:tcW w:type="dxa" w:w="2160"/>
          </w:tcPr>
          <w:p>
            <w:r/>
            <w:r>
              <w:t>Cost + 8%</w:t>
            </w:r>
          </w:p>
        </w:tc>
        <w:tc>
          <w:tcPr>
            <w:tcW w:type="dxa" w:w="2160"/>
          </w:tcPr>
          <w:p>
            <w:r/>
            <w:r>
              <w:t>8.0%</w:t>
            </w:r>
          </w:p>
        </w:tc>
      </w:tr>
      <w:tr>
        <w:tc>
          <w:tcPr>
            <w:tcW w:type="dxa" w:w="2160"/>
          </w:tcPr>
          <w:p>
            <w:r/>
            <w:r>
              <w:t>TotalEnergies Angola</w:t>
            </w:r>
          </w:p>
        </w:tc>
        <w:tc>
          <w:tcPr>
            <w:tcW w:type="dxa" w:w="2160"/>
          </w:tcPr>
          <w:p>
            <w:r/>
            <w:r>
              <w:t>Angola</w:t>
            </w:r>
          </w:p>
        </w:tc>
        <w:tc>
          <w:tcPr>
            <w:tcW w:type="dxa" w:w="2160"/>
          </w:tcPr>
          <w:p>
            <w:r/>
            <w:r>
              <w:t>Cost + 10-12%</w:t>
            </w:r>
          </w:p>
        </w:tc>
        <w:tc>
          <w:tcPr>
            <w:tcW w:type="dxa" w:w="2160"/>
          </w:tcPr>
          <w:p>
            <w:r/>
            <w:r>
              <w:t>11.0%</w:t>
            </w:r>
          </w:p>
        </w:tc>
      </w:tr>
      <w:tr>
        <w:tc>
          <w:tcPr>
            <w:tcW w:type="dxa" w:w="2160"/>
          </w:tcPr>
          <w:p>
            <w:r/>
            <w:r>
              <w:t>ExxonMobil Angola</w:t>
            </w:r>
          </w:p>
        </w:tc>
        <w:tc>
          <w:tcPr>
            <w:tcW w:type="dxa" w:w="2160"/>
          </w:tcPr>
          <w:p>
            <w:r/>
            <w:r>
              <w:t>Angola</w:t>
            </w:r>
          </w:p>
        </w:tc>
        <w:tc>
          <w:tcPr>
            <w:tcW w:type="dxa" w:w="2160"/>
          </w:tcPr>
          <w:p>
            <w:r/>
            <w:r>
              <w:t>Allocated HQ costs</w:t>
            </w:r>
          </w:p>
        </w:tc>
        <w:tc>
          <w:tcPr>
            <w:tcW w:type="dxa" w:w="2160"/>
          </w:tcPr>
          <w:p>
            <w:r/>
            <w:r>
              <w:t>9-13%</w:t>
            </w:r>
          </w:p>
        </w:tc>
      </w:tr>
      <w:tr>
        <w:tc>
          <w:tcPr>
            <w:tcW w:type="dxa" w:w="2160"/>
          </w:tcPr>
          <w:p>
            <w:r/>
            <w:r>
              <w:t>Chevron Angola</w:t>
            </w:r>
          </w:p>
        </w:tc>
        <w:tc>
          <w:tcPr>
            <w:tcW w:type="dxa" w:w="2160"/>
          </w:tcPr>
          <w:p>
            <w:r/>
            <w:r>
              <w:t>Angola</w:t>
            </w:r>
          </w:p>
        </w:tc>
        <w:tc>
          <w:tcPr>
            <w:tcW w:type="dxa" w:w="2160"/>
          </w:tcPr>
          <w:p>
            <w:r/>
            <w:r>
              <w:t>Cost + 8-10%</w:t>
            </w:r>
          </w:p>
        </w:tc>
        <w:tc>
          <w:tcPr>
            <w:tcW w:type="dxa" w:w="2160"/>
          </w:tcPr>
          <w:p>
            <w:r/>
            <w:r>
              <w:t>9.5%</w:t>
            </w:r>
          </w:p>
        </w:tc>
      </w:tr>
    </w:tbl>
    <w:p/>
    <w:p>
      <w:r>
        <w:rPr>
          <w:b/>
        </w:rPr>
        <w:t>Interquartile Range:</w:t>
      </w:r>
      <w:r>
        <w:t xml:space="preserve"> 8.75% - 11.5% of operating costs</w:t>
      </w:r>
    </w:p>
    <w:p>
      <w:r>
        <w:rPr>
          <w:b/>
        </w:rPr>
        <w:t>Functional Analysis:</w:t>
      </w:r>
    </w:p>
    <w:p>
      <w:r>
        <w:rPr>
          <w:b/>
        </w:rPr>
        <w:t>Head Office (Houston):</w:t>
      </w:r>
    </w:p>
    <w:p>
      <w:pPr>
        <w:pStyle w:val="ListBullet"/>
      </w:pPr>
      <w:r>
        <w:t>Functions: Strategic planning, reservoir management, corporate services</w:t>
      </w:r>
    </w:p>
    <w:p>
      <w:pPr>
        <w:pStyle w:val="ListBullet"/>
      </w:pPr>
      <w:r>
        <w:t>Assets: Corporate infrastructure, technology, global expertise</w:t>
      </w:r>
    </w:p>
    <w:p>
      <w:pPr>
        <w:pStyle w:val="ListBullet"/>
      </w:pPr>
      <w:r>
        <w:t>Risks: Portfolio management risk (limited operational risk - borne by PE)</w:t>
      </w:r>
    </w:p>
    <w:p>
      <w:r>
        <w:rPr>
          <w:b/>
        </w:rPr>
        <w:t>PE (Angola):</w:t>
      </w:r>
    </w:p>
    <w:p>
      <w:pPr>
        <w:pStyle w:val="ListBullet"/>
      </w:pPr>
      <w:r>
        <w:t>Functions: Day-to-day operations, production management, local compliance</w:t>
      </w:r>
    </w:p>
    <w:p>
      <w:pPr>
        <w:pStyle w:val="ListBullet"/>
      </w:pPr>
      <w:r>
        <w:t>Assets: Production platform, subsea infrastructure, inventory</w:t>
      </w:r>
    </w:p>
    <w:p>
      <w:pPr>
        <w:pStyle w:val="ListBullet"/>
      </w:pPr>
      <w:r>
        <w:t>Risks: Operational risk, price risk, political risk, environmental risk</w:t>
      </w:r>
    </w:p>
    <w:p>
      <w:r>
        <w:rPr>
          <w:b/>
        </w:rPr>
        <w:t>Conclusion:</w:t>
      </w:r>
      <w:r>
        <w:t xml:space="preserve"> PE performs substantial value-creating functions and bears primary risks. Head office provides support functions. Allocation should reflect support nature: </w:t>
      </w:r>
      <w:r>
        <w:rPr>
          <w:b/>
        </w:rPr>
        <w:t>8-12% of direct costs is arm's length.</w:t>
      </w:r>
    </w:p>
    <w:p>
      <w:r>
        <w:rPr>
          <w:b/>
        </w:rPr>
        <w:t>Recommendation:</w:t>
      </w:r>
    </w:p>
    <w:p>
      <w:r>
        <w:rPr>
          <w:b/>
        </w:rPr>
        <w:t>Revised Allocation:</w:t>
      </w:r>
      <w:r>
        <w:t xml:space="preserve"> USD 22.5M (10% of USD 225M direct costs)</w:t>
      </w:r>
    </w:p>
    <w:p>
      <w:r>
        <w:rPr>
          <w:b/>
        </w:rPr>
        <w:t>Documentation Required:</w:t>
      </w:r>
    </w:p>
    <w:p>
      <w:pPr>
        <w:pStyle w:val="ListNumber"/>
      </w:pPr>
      <w:r>
        <w:t>Detailed description of services provided by Houston head office to Angola PE</w:t>
      </w:r>
    </w:p>
    <w:p>
      <w:pPr>
        <w:pStyle w:val="ListNumber"/>
      </w:pPr>
      <w:r>
        <w:t>Time records or allocation keys showing Angola-specific work</w:t>
      </w:r>
    </w:p>
    <w:p>
      <w:pPr>
        <w:pStyle w:val="ListNumber"/>
      </w:pPr>
      <w:r>
        <w:t>Benchmarking study comparing to third-party operator fees</w:t>
      </w:r>
    </w:p>
    <w:p>
      <w:pPr>
        <w:pStyle w:val="ListNumber"/>
      </w:pPr>
      <w:r>
        <w:t>Transfer pricing report justifying 10% allocation as arm's length</w:t>
      </w:r>
    </w:p>
    <w:p>
      <w:pPr>
        <w:pStyle w:val="ListNumber"/>
      </w:pPr>
      <w:r>
        <w:t>Advance Pricing Agreement (APA) consideration with Angola tax authority to provide certainty</w:t>
      </w:r>
    </w:p>
    <w:p>
      <w:r>
        <w:rPr>
          <w:b/>
        </w:rPr>
        <w:t>Tax Impact of Adjustment:</w:t>
      </w:r>
    </w:p>
    <w:p>
      <w:pPr>
        <w:shd w:fill="F0F0F0"/>
        <w:spacing w:after="0" w:line="240" w:lineRule="auto"/>
      </w:pPr>
      <w:r>
        <w:rPr>
          <w:rFonts w:ascii="Courier New" w:hAnsi="Courier New"/>
          <w:sz w:val="20"/>
        </w:rPr>
        <w:t>Disallowed costs:                           $37,500,000</w:t>
      </w:r>
    </w:p>
    <w:p>
      <w:pPr>
        <w:shd w:fill="F0F0F0"/>
        <w:spacing w:after="0" w:line="240" w:lineRule="auto"/>
      </w:pPr>
      <w:r>
        <w:rPr>
          <w:rFonts w:ascii="Courier New" w:hAnsi="Courier New"/>
          <w:sz w:val="20"/>
        </w:rPr>
        <w:t>Additional taxable income:                  $37,500,000</w:t>
      </w:r>
    </w:p>
    <w:p>
      <w:pPr>
        <w:shd w:fill="F0F0F0"/>
        <w:spacing w:after="0" w:line="240" w:lineRule="auto"/>
      </w:pPr>
      <w:r>
        <w:rPr>
          <w:rFonts w:ascii="Courier New" w:hAnsi="Courier New"/>
          <w:sz w:val="20"/>
        </w:rPr>
        <w:t>Additional PIT (35%):                       $13,125,000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Penalty (25% of understated tax):           $3,281,250</w:t>
      </w:r>
    </w:p>
    <w:p>
      <w:pPr>
        <w:shd w:fill="F0F0F0"/>
        <w:spacing w:after="0" w:line="240" w:lineRule="auto"/>
      </w:pPr>
      <w:r>
        <w:rPr>
          <w:rFonts w:ascii="Courier New" w:hAnsi="Courier New"/>
          <w:sz w:val="20"/>
        </w:rPr>
        <w:t>Interest (assume 10% p.a. for 1 year):      $1,312,500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TOTAL ADDITIONAL LIABILITY:                 $17,718,750</w:t>
      </w:r>
    </w:p>
    <w:p/>
    <w:p>
      <w:r>
        <w:rPr>
          <w:b/>
        </w:rPr>
        <w:t>Mitigation Strategy:</w:t>
      </w:r>
    </w:p>
    <w:p>
      <w:pPr>
        <w:pStyle w:val="ListBullet"/>
      </w:pPr>
      <w:r>
        <w:t>Voluntarily adjust transfer pricing in current/future years</w:t>
      </w:r>
    </w:p>
    <w:p>
      <w:pPr>
        <w:pStyle w:val="ListBullet"/>
      </w:pPr>
      <w:r>
        <w:t>File amended return with revised allocation</w:t>
      </w:r>
    </w:p>
    <w:p>
      <w:pPr>
        <w:pStyle w:val="ListBullet"/>
      </w:pPr>
      <w:r>
        <w:t>Negotiate settlement with Angola tax authority</w:t>
      </w:r>
    </w:p>
    <w:p>
      <w:pPr>
        <w:pStyle w:val="ListBullet"/>
      </w:pPr>
      <w:r>
        <w:t>Implement robust transfer pricing documentation for future years</w:t>
      </w:r>
    </w:p>
    <w:p>
      <w:pPr>
        <w:pStyle w:val="ListBullet"/>
      </w:pPr>
      <w:r>
        <w:t>Consider bilateral APA with US IRS and Angola tax authority</w:t>
      </w:r>
    </w:p>
    <w:p>
      <w:pPr>
        <w:spacing w:before="120" w:after="120"/>
        <w:pBdr>
          <w:bottom w:val="single" w:sz="6" w:space="1" w:color="auto"/>
        </w:pBdr>
      </w:pPr>
    </w:p>
    <w:p>
      <w:pPr>
        <w:pStyle w:val="Heading3"/>
      </w:pPr>
      <w:r>
        <w:t>Example 2: JOA Operator Analysis with PE Determination and Transfer Pricing</w:t>
      </w:r>
    </w:p>
    <w:p>
      <w:r>
        <w:rPr>
          <w:b/>
        </w:rPr>
        <w:t>Fact Pattern:</w:t>
      </w:r>
    </w:p>
    <w:p>
      <w:r>
        <w:rPr>
          <w:b/>
        </w:rPr>
        <w:t>North Sea Joint Venture - "Viking Field"</w:t>
      </w:r>
    </w:p>
    <w:p>
      <w:r>
        <w:rPr>
          <w:b/>
        </w:rPr>
        <w:t>Participants (JOA executed 2020):</w:t>
      </w:r>
    </w:p>
    <w:p>
      <w:pPr>
        <w:pStyle w:val="ListBullet"/>
      </w:pPr>
      <w:r>
        <w:rPr>
          <w:b/>
        </w:rPr>
        <w:t>NorwegianOil AS</w:t>
      </w:r>
      <w:r>
        <w:t xml:space="preserve"> (Norway resident): 40% working interest, OPERATOR</w:t>
      </w:r>
    </w:p>
    <w:p>
      <w:pPr>
        <w:pStyle w:val="ListBullet"/>
      </w:pPr>
      <w:r>
        <w:rPr>
          <w:b/>
        </w:rPr>
        <w:t>UKEnergy plc</w:t>
      </w:r>
      <w:r>
        <w:t xml:space="preserve"> (UK resident): 35% working interest</w:t>
      </w:r>
    </w:p>
    <w:p>
      <w:pPr>
        <w:pStyle w:val="ListBullet"/>
      </w:pPr>
      <w:r>
        <w:rPr>
          <w:b/>
        </w:rPr>
        <w:t>DutchGas BV</w:t>
      </w:r>
      <w:r>
        <w:t xml:space="preserve"> (Netherlands resident): 25% working interest</w:t>
      </w:r>
    </w:p>
    <w:p>
      <w:r>
        <w:rPr>
          <w:b/>
        </w:rPr>
        <w:t>Operations:</w:t>
      </w:r>
      <w:r>
        <w:t xml:space="preserve"> Viking Field is located in Norwegian North Sea (Norwegian territorial waters). Production commenced 2023.</w:t>
      </w:r>
    </w:p>
    <w:p>
      <w:r>
        <w:rPr>
          <w:b/>
        </w:rPr>
        <w:t>NorwegianOil AS Operating Structure:</w:t>
      </w:r>
    </w:p>
    <w:p>
      <w:pPr>
        <w:pStyle w:val="ListBullet"/>
      </w:pPr>
      <w:r>
        <w:t>Maintains field office in Stavanger (Norway) with 80 personnel</w:t>
      </w:r>
    </w:p>
    <w:p>
      <w:pPr>
        <w:pStyle w:val="ListBullet"/>
      </w:pPr>
      <w:r>
        <w:t>Operates fixed production platform (commissioned 2023)</w:t>
      </w:r>
    </w:p>
    <w:p>
      <w:pPr>
        <w:pStyle w:val="ListBullet"/>
      </w:pPr>
      <w:r>
        <w:t>Provides all operational services: production, maintenance, logistics, regulatory compliance</w:t>
      </w:r>
    </w:p>
    <w:p>
      <w:r>
        <w:rPr>
          <w:b/>
        </w:rPr>
        <w:t>Operator Fee Structure (JOA Terms):</w:t>
      </w:r>
    </w:p>
    <w:p>
      <w:pPr>
        <w:pStyle w:val="ListBullet"/>
      </w:pPr>
      <w:r>
        <w:t>NorwegianOil reimbursed for direct costs at cost (no markup)</w:t>
      </w:r>
    </w:p>
    <w:p>
      <w:pPr>
        <w:pStyle w:val="ListBullet"/>
      </w:pPr>
      <w:r>
        <w:t>Overhead allocation: 15% of direct operating costs charged to joint account</w:t>
      </w:r>
    </w:p>
    <w:p>
      <w:pPr>
        <w:pStyle w:val="ListBullet"/>
      </w:pPr>
      <w:r>
        <w:t>Fee split among all participants per working interest (NorwegianOil pays its 40% share)</w:t>
      </w:r>
    </w:p>
    <w:p>
      <w:r>
        <w:rPr>
          <w:b/>
        </w:rPr>
        <w:t>Year 2024 Operations:</w:t>
      </w:r>
    </w:p>
    <w:p>
      <w:r>
        <w:rPr>
          <w:b/>
        </w:rPr>
        <w:t>Production (100% basis):</w:t>
      </w:r>
    </w:p>
    <w:p>
      <w:pPr>
        <w:pStyle w:val="ListBullet"/>
      </w:pPr>
      <w:r>
        <w:t>Oil production: 5 million barrels</w:t>
      </w:r>
    </w:p>
    <w:p>
      <w:pPr>
        <w:pStyle w:val="ListBullet"/>
      </w:pPr>
      <w:r>
        <w:t>Gas production: 20 BCF</w:t>
      </w:r>
    </w:p>
    <w:p>
      <w:pPr>
        <w:pStyle w:val="ListBullet"/>
      </w:pPr>
      <w:r>
        <w:t>Average oil price: USD 85/barrel</w:t>
      </w:r>
    </w:p>
    <w:p>
      <w:pPr>
        <w:pStyle w:val="ListBullet"/>
      </w:pPr>
      <w:r>
        <w:t>Average gas price: USD 5/MCF</w:t>
      </w:r>
    </w:p>
    <w:p>
      <w:pPr>
        <w:pStyle w:val="ListBullet"/>
      </w:pPr>
      <w:r>
        <w:rPr>
          <w:b/>
        </w:rPr>
        <w:t>Total revenue:</w:t>
      </w:r>
      <w:r>
        <w:t xml:space="preserve"> (5M × $85) + (20,000 MCF × $5) = USD 525M</w:t>
      </w:r>
    </w:p>
    <w:p>
      <w:r>
        <w:rPr>
          <w:b/>
        </w:rPr>
        <w:t>Costs (100% basis, charged to joint account):</w:t>
      </w:r>
    </w:p>
    <w:p>
      <w:pPr>
        <w:pStyle w:val="ListBullet"/>
      </w:pPr>
      <w:r>
        <w:t>Direct operating costs: USD 120 million (personnel, services, supplies)</w:t>
      </w:r>
    </w:p>
    <w:p>
      <w:pPr>
        <w:pStyle w:val="ListBullet"/>
      </w:pPr>
      <w:r>
        <w:t>NorwegianOil overhead allocation: USD 120M × 15% = USD 18 million</w:t>
      </w:r>
    </w:p>
    <w:p>
      <w:pPr>
        <w:pStyle w:val="ListBullet"/>
      </w:pPr>
      <w:r>
        <w:rPr>
          <w:b/>
        </w:rPr>
        <w:t>Total operating costs:</w:t>
      </w:r>
      <w:r>
        <w:t xml:space="preserve"> USD 138 million</w:t>
      </w:r>
    </w:p>
    <w:p>
      <w:r>
        <w:rPr>
          <w:b/>
        </w:rPr>
        <w:t>Profit Split (Simplified - excluding capex/depreciation):</w:t>
      </w:r>
    </w:p>
    <w:p>
      <w:pPr>
        <w:shd w:fill="F0F0F0"/>
        <w:spacing w:after="0" w:line="240" w:lineRule="auto"/>
      </w:pPr>
      <w:r>
        <w:rPr>
          <w:rFonts w:ascii="Courier New" w:hAnsi="Courier New"/>
          <w:sz w:val="20"/>
        </w:rPr>
        <w:t>Revenue:                                    $525,000,000</w:t>
      </w:r>
    </w:p>
    <w:p>
      <w:pPr>
        <w:shd w:fill="F0F0F0"/>
        <w:spacing w:after="0" w:line="240" w:lineRule="auto"/>
      </w:pPr>
      <w:r>
        <w:rPr>
          <w:rFonts w:ascii="Courier New" w:hAnsi="Courier New"/>
          <w:sz w:val="20"/>
        </w:rPr>
        <w:t>Less: Operating costs:                      ($138,000,000)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Net Operating Profit:                       $387,000,000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Allocation by Working Interest:</w:t>
      </w:r>
    </w:p>
    <w:p>
      <w:pPr>
        <w:shd w:fill="F0F0F0"/>
        <w:spacing w:after="0" w:line="240" w:lineRule="auto"/>
      </w:pPr>
      <w:r>
        <w:rPr>
          <w:rFonts w:ascii="Courier New" w:hAnsi="Courier New"/>
          <w:sz w:val="20"/>
        </w:rPr>
        <w:t>- NorwegianOil (40%):                      $154,800,000</w:t>
      </w:r>
    </w:p>
    <w:p>
      <w:pPr>
        <w:shd w:fill="F0F0F0"/>
        <w:spacing w:after="0" w:line="240" w:lineRule="auto"/>
      </w:pPr>
      <w:r>
        <w:rPr>
          <w:rFonts w:ascii="Courier New" w:hAnsi="Courier New"/>
          <w:sz w:val="20"/>
        </w:rPr>
        <w:t>- UKEnergy (35%):                          $135,450,000</w:t>
      </w:r>
    </w:p>
    <w:p>
      <w:pPr>
        <w:shd w:fill="F0F0F0"/>
        <w:spacing w:after="0" w:line="240" w:lineRule="auto"/>
      </w:pPr>
      <w:r>
        <w:rPr>
          <w:rFonts w:ascii="Courier New" w:hAnsi="Courier New"/>
          <w:sz w:val="20"/>
        </w:rPr>
        <w:t>- DutchGas (25%):                          $96,750,000</w:t>
      </w:r>
    </w:p>
    <w:p/>
    <w:p>
      <w:r>
        <w:rPr>
          <w:b/>
        </w:rPr>
        <w:t>Transfer Pricing Issue:</w:t>
      </w:r>
    </w:p>
    <w:p>
      <w:r>
        <w:rPr>
          <w:b/>
        </w:rPr>
        <w:t>Norwegian Tax Authority</w:t>
      </w:r>
      <w:r>
        <w:t xml:space="preserve"> (Skatteetaten) conducting audit of Viking Field joint venture. Preliminary findings:</w:t>
      </w:r>
    </w:p>
    <w:p>
      <w:pPr>
        <w:pStyle w:val="ListNumber"/>
      </w:pPr>
      <w:r>
        <w:rPr>
          <w:b/>
        </w:rPr>
        <w:t>15% overhead allocation excessive</w:t>
      </w:r>
      <w:r>
        <w:t>: Comparables show 8-12% range</w:t>
      </w:r>
    </w:p>
    <w:p>
      <w:pPr>
        <w:pStyle w:val="ListNumber"/>
      </w:pPr>
      <w:r>
        <w:rPr>
          <w:b/>
        </w:rPr>
        <w:t>UKEnergy secondment</w:t>
      </w:r>
      <w:r>
        <w:t>: UKEnergy seconded 5 reservoir engineers to NorwegianOil for 2024 (full year, based at Stavanger office). No separate fee charged by UKEnergy (costs included in joint account).</w:t>
      </w:r>
    </w:p>
    <w:p>
      <w:pPr>
        <w:pStyle w:val="ListNumber"/>
      </w:pPr>
      <w:r>
        <w:rPr>
          <w:b/>
        </w:rPr>
        <w:t>DutchGas services</w:t>
      </w:r>
      <w:r>
        <w:t>: DutchGas parent company (DutchGas Holding) provides corporate services to DutchGas BV. DutchGas BV allocated USD 5M of parent costs and recovered USD 1.25M (25% working interest share) from joint account.</w:t>
      </w:r>
    </w:p>
    <w:p>
      <w:r>
        <w:rPr>
          <w:b/>
        </w:rPr>
        <w:t>Tax Authority Concerns:</w:t>
      </w:r>
    </w:p>
    <w:p>
      <w:pPr>
        <w:pStyle w:val="ListBullet"/>
      </w:pPr>
      <w:r>
        <w:t>NorwegianOil overhead (15%) not arm's length</w:t>
      </w:r>
    </w:p>
    <w:p>
      <w:pPr>
        <w:pStyle w:val="ListBullet"/>
      </w:pPr>
      <w:r>
        <w:t>UKEnergy secondment creates PE in Norway and requires arm's length compensation</w:t>
      </w:r>
    </w:p>
    <w:p>
      <w:pPr>
        <w:pStyle w:val="ListBullet"/>
      </w:pPr>
      <w:r>
        <w:t>DutchGas parent service allocation lacks documentation</w:t>
      </w:r>
    </w:p>
    <w:p>
      <w:r>
        <w:rPr>
          <w:b/>
        </w:rPr>
        <w:t>Required:</w:t>
      </w:r>
    </w:p>
    <w:p>
      <w:r>
        <w:t>(a) Determine PE status for each JOA participant in Norway</w:t>
      </w:r>
    </w:p>
    <w:p>
      <w:r>
        <w:t>(b) Assess arm's length nature of NorwegianOil 15% overhead allocation</w:t>
      </w:r>
    </w:p>
    <w:p>
      <w:r>
        <w:t>(c) Analyze UKEnergy secondment: PE implications and profit attribution</w:t>
      </w:r>
    </w:p>
    <w:p>
      <w:r>
        <w:t>(d) Evaluate DutchGas parent service allocation</w:t>
      </w:r>
    </w:p>
    <w:p>
      <w:r>
        <w:t>(e) Calculate tax adjustments for each participant</w:t>
      </w:r>
    </w:p>
    <w:p>
      <w:pPr>
        <w:spacing w:before="120" w:after="120"/>
        <w:pBdr>
          <w:bottom w:val="single" w:sz="6" w:space="1" w:color="auto"/>
        </w:pBdr>
      </w:pPr>
    </w:p>
    <w:p>
      <w:r>
        <w:rPr>
          <w:b/>
        </w:rPr>
        <w:t>Solution:</w:t>
      </w:r>
    </w:p>
    <w:p>
      <w:r>
        <w:rPr>
          <w:b/>
        </w:rPr>
        <w:t>Part (a): PE Determination for JOA Participants</w:t>
      </w:r>
    </w:p>
    <w:p>
      <w:r>
        <w:rPr>
          <w:b/>
        </w:rPr>
        <w:t>Norway Domestic Law (Petroleum Tax Act):</w:t>
      </w:r>
    </w:p>
    <w:p>
      <w:pPr>
        <w:pStyle w:val="ListBullet"/>
      </w:pPr>
      <w:r>
        <w:t>Section 2: Petroleum activities on Norwegian continental shelf are taxable in Norway</w:t>
      </w:r>
    </w:p>
    <w:p>
      <w:pPr>
        <w:pStyle w:val="ListBullet"/>
      </w:pPr>
      <w:r>
        <w:t>All participants in joint petroleum operations deemed to have PE in Norway</w:t>
      </w:r>
    </w:p>
    <w:p>
      <w:r>
        <w:rPr>
          <w:b/>
        </w:rPr>
        <w:t>Tax Treaties:</w:t>
      </w:r>
    </w:p>
    <w:p>
      <w:r>
        <w:rPr>
          <w:b/>
        </w:rPr>
        <w:t>1. NorwegianOil AS:</w:t>
      </w:r>
    </w:p>
    <w:p>
      <w:pPr>
        <w:pStyle w:val="ListBullet"/>
      </w:pPr>
      <w:r>
        <w:t>Norway resident: No PE analysis required (domestic company)</w:t>
      </w:r>
    </w:p>
    <w:p>
      <w:pPr>
        <w:pStyle w:val="ListBullet"/>
      </w:pPr>
      <w:r>
        <w:t>Taxable in Norway on worldwide income (but only Viking Field relevant here)</w:t>
      </w:r>
    </w:p>
    <w:p>
      <w:r>
        <w:rPr>
          <w:b/>
        </w:rPr>
        <w:t>2. UKEnergy plc (UK resident):</w:t>
      </w:r>
    </w:p>
    <w:p>
      <w:r>
        <w:rPr>
          <w:b/>
        </w:rPr>
        <w:t>UK-Norway Tax Treaty - Article 5:</w:t>
      </w:r>
    </w:p>
    <w:p>
      <w:pPr>
        <w:pStyle w:val="ListBullet"/>
      </w:pPr>
      <w:r>
        <w:t>Article 5(2)(f): "the extraction of natural resources" explicitly creates PE</w:t>
      </w:r>
    </w:p>
    <w:p>
      <w:pPr>
        <w:pStyle w:val="ListBullet"/>
      </w:pPr>
      <w:r>
        <w:rPr>
          <w:b/>
        </w:rPr>
        <w:t>Joint ownership</w:t>
      </w:r>
      <w:r>
        <w:t>: OECD Commentary confirms co-ownership of production platform creates PE for all co-owners</w:t>
      </w:r>
    </w:p>
    <w:p>
      <w:pPr>
        <w:pStyle w:val="ListBullet"/>
      </w:pPr>
      <w:r>
        <w:rPr>
          <w:b/>
        </w:rPr>
        <w:t>Result:</w:t>
      </w:r>
      <w:r>
        <w:t xml:space="preserve"> UKEnergy has </w:t>
      </w:r>
      <w:r>
        <w:rPr>
          <w:b/>
        </w:rPr>
        <w:t>PE in Norway</w:t>
      </w:r>
      <w:r>
        <w:t xml:space="preserve"> by virtue of joint ownership of Viking Field production platform</w:t>
      </w:r>
    </w:p>
    <w:p>
      <w:r>
        <w:rPr>
          <w:b/>
        </w:rPr>
        <w:t>Additional PE from Secondment:</w:t>
      </w:r>
    </w:p>
    <w:p>
      <w:pPr>
        <w:pStyle w:val="ListBullet"/>
      </w:pPr>
      <w:r>
        <w:t>5 engineers seconded full-time to Stavanger (365 days)</w:t>
      </w:r>
    </w:p>
    <w:p>
      <w:pPr>
        <w:pStyle w:val="ListBullet"/>
      </w:pPr>
      <w:r>
        <w:t>Services PE (UN Model Article 5(3)(b)): Services provided in source state for 183+ days creates PE</w:t>
      </w:r>
    </w:p>
    <w:p>
      <w:pPr>
        <w:pStyle w:val="ListBullet"/>
      </w:pPr>
      <w:r>
        <w:t>However, UK-Norway treaty based on OECD Model (no services PE provision)</w:t>
      </w:r>
    </w:p>
    <w:p>
      <w:pPr>
        <w:pStyle w:val="ListBullet"/>
      </w:pPr>
      <w:r>
        <w:rPr>
          <w:b/>
        </w:rPr>
        <w:t>Result:</w:t>
      </w:r>
      <w:r>
        <w:t xml:space="preserve"> Secondment does not create separate services PE, but engineers' activities attributable to existing extraction PE</w:t>
      </w:r>
    </w:p>
    <w:p>
      <w:r>
        <w:rPr>
          <w:b/>
        </w:rPr>
        <w:t>3. DutchGas BV (Netherlands resident):</w:t>
      </w:r>
    </w:p>
    <w:p>
      <w:r>
        <w:rPr>
          <w:b/>
        </w:rPr>
        <w:t>Netherlands-Norway Tax Treaty - Article 5:</w:t>
      </w:r>
    </w:p>
    <w:p>
      <w:pPr>
        <w:pStyle w:val="ListBullet"/>
      </w:pPr>
      <w:r>
        <w:t>Article 5(2)(f): Oil/gas extraction creates PE</w:t>
      </w:r>
    </w:p>
    <w:p>
      <w:pPr>
        <w:pStyle w:val="ListBullet"/>
      </w:pPr>
      <w:r>
        <w:t>Joint ownership of Viking Field platform</w:t>
      </w:r>
    </w:p>
    <w:p>
      <w:pPr>
        <w:pStyle w:val="ListBullet"/>
      </w:pPr>
      <w:r>
        <w:rPr>
          <w:b/>
        </w:rPr>
        <w:t>Result:</w:t>
      </w:r>
      <w:r>
        <w:t xml:space="preserve"> DutchGas has </w:t>
      </w:r>
      <w:r>
        <w:rPr>
          <w:b/>
        </w:rPr>
        <w:t>PE in Norway</w:t>
      </w:r>
    </w:p>
    <w:p>
      <w:r>
        <w:rPr>
          <w:b/>
        </w:rPr>
        <w:t>Conclusion:</w:t>
      </w:r>
      <w:r>
        <w:t xml:space="preserve"> All three JOA participants have PE in Norway under:</w:t>
      </w:r>
    </w:p>
    <w:p>
      <w:pPr>
        <w:pStyle w:val="ListBullet"/>
      </w:pPr>
      <w:r>
        <w:t>Domestic law: Petroleum Tax Act</w:t>
      </w:r>
    </w:p>
    <w:p>
      <w:pPr>
        <w:pStyle w:val="ListBullet"/>
      </w:pPr>
      <w:r>
        <w:t>Treaties: Article 5(2)(f) extraction PE + joint ownership principle</w:t>
      </w:r>
    </w:p>
    <w:p>
      <w:r>
        <w:rPr>
          <w:b/>
        </w:rPr>
        <w:t>Special Norway Rule (Petroleum Tax Act Section 5):</w:t>
      </w:r>
    </w:p>
    <w:p>
      <w:pPr>
        <w:pStyle w:val="ListBullet"/>
      </w:pPr>
      <w:r>
        <w:t>Each participant taxable on proportionate share of joint venture income (separate taxpayer)</w:t>
      </w:r>
    </w:p>
    <w:p>
      <w:pPr>
        <w:pStyle w:val="ListBullet"/>
      </w:pPr>
      <w:r>
        <w:t>78% total petroleum tax rate (22% standard CIT + 56% special petroleum tax)</w:t>
      </w:r>
    </w:p>
    <w:p>
      <w:pPr>
        <w:pStyle w:val="ListBullet"/>
      </w:pPr>
      <w:r>
        <w:t>Ring-fenced: Viking Field losses cannot offset other Norwegian operations (if any)</w:t>
      </w:r>
    </w:p>
    <w:p>
      <w:pPr>
        <w:spacing w:before="120" w:after="120"/>
        <w:pBdr>
          <w:bottom w:val="single" w:sz="6" w:space="1" w:color="auto"/>
        </w:pBdr>
      </w:pPr>
    </w:p>
    <w:p>
      <w:r>
        <w:rPr>
          <w:b/>
        </w:rPr>
        <w:t>Part (b): NorwegianOil Overhead Allocation - Arm's Length Analysis</w:t>
      </w:r>
    </w:p>
    <w:p>
      <w:r>
        <w:rPr>
          <w:b/>
        </w:rPr>
        <w:t>Claimed Overhead:</w:t>
      </w:r>
      <w:r>
        <w:t xml:space="preserve"> 15% of direct operating costs = USD 18 million</w:t>
      </w:r>
    </w:p>
    <w:p>
      <w:r>
        <w:rPr>
          <w:b/>
        </w:rPr>
        <w:t>Benchmarking Analysis:</w:t>
      </w:r>
    </w:p>
    <w:p>
      <w:r>
        <w:rPr>
          <w:b/>
        </w:rPr>
        <w:t>Comparable Operator Fees - North Sea: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Operator</w:t>
            </w:r>
          </w:p>
        </w:tc>
        <w:tc>
          <w:tcPr>
            <w:tcW w:type="dxa" w:w="2160"/>
          </w:tcPr>
          <w:p>
            <w:r>
              <w:rPr>
                <w:b/>
              </w:rPr>
            </w:r>
            <w:r>
              <w:rPr>
                <w:b/>
              </w:rPr>
              <w:t>Field/Country</w:t>
            </w:r>
          </w:p>
        </w:tc>
        <w:tc>
          <w:tcPr>
            <w:tcW w:type="dxa" w:w="2160"/>
          </w:tcPr>
          <w:p>
            <w:r>
              <w:rPr>
                <w:b/>
              </w:rPr>
            </w:r>
            <w:r>
              <w:rPr>
                <w:b/>
              </w:rPr>
              <w:t>Overhead %</w:t>
            </w:r>
          </w:p>
        </w:tc>
        <w:tc>
          <w:tcPr>
            <w:tcW w:type="dxa" w:w="2160"/>
          </w:tcPr>
          <w:p>
            <w:r>
              <w:rPr>
                <w:b/>
              </w:rPr>
            </w:r>
            <w:r>
              <w:rPr>
                <w:b/>
              </w:rPr>
              <w:t>Complexity</w:t>
            </w:r>
          </w:p>
        </w:tc>
      </w:tr>
      <w:tr>
        <w:tc>
          <w:tcPr>
            <w:tcW w:type="dxa" w:w="2160"/>
          </w:tcPr>
          <w:p>
            <w:r/>
            <w:r>
              <w:t>Equinor (Statfjord)</w:t>
            </w:r>
          </w:p>
        </w:tc>
        <w:tc>
          <w:tcPr>
            <w:tcW w:type="dxa" w:w="2160"/>
          </w:tcPr>
          <w:p>
            <w:r/>
            <w:r>
              <w:t>Norway</w:t>
            </w:r>
          </w:p>
        </w:tc>
        <w:tc>
          <w:tcPr>
            <w:tcW w:type="dxa" w:w="2160"/>
          </w:tcPr>
          <w:p>
            <w:r/>
            <w:r>
              <w:t>8-10%</w:t>
            </w:r>
          </w:p>
        </w:tc>
        <w:tc>
          <w:tcPr>
            <w:tcW w:type="dxa" w:w="2160"/>
          </w:tcPr>
          <w:p>
            <w:r/>
            <w:r>
              <w:t>Mature field, standard operations</w:t>
            </w:r>
          </w:p>
        </w:tc>
      </w:tr>
      <w:tr>
        <w:tc>
          <w:tcPr>
            <w:tcW w:type="dxa" w:w="2160"/>
          </w:tcPr>
          <w:p>
            <w:r/>
            <w:r>
              <w:t>Shell (Ormen Lange)</w:t>
            </w:r>
          </w:p>
        </w:tc>
        <w:tc>
          <w:tcPr>
            <w:tcW w:type="dxa" w:w="2160"/>
          </w:tcPr>
          <w:p>
            <w:r/>
            <w:r>
              <w:t>Norway</w:t>
            </w:r>
          </w:p>
        </w:tc>
        <w:tc>
          <w:tcPr>
            <w:tcW w:type="dxa" w:w="2160"/>
          </w:tcPr>
          <w:p>
            <w:r/>
            <w:r>
              <w:t>10-12%</w:t>
            </w:r>
          </w:p>
        </w:tc>
        <w:tc>
          <w:tcPr>
            <w:tcW w:type="dxa" w:w="2160"/>
          </w:tcPr>
          <w:p>
            <w:r/>
            <w:r>
              <w:t>Complex deepwater gas field</w:t>
            </w:r>
          </w:p>
        </w:tc>
      </w:tr>
      <w:tr>
        <w:tc>
          <w:tcPr>
            <w:tcW w:type="dxa" w:w="2160"/>
          </w:tcPr>
          <w:p>
            <w:r/>
            <w:r>
              <w:t>TotalEnergies (Martin Linge)</w:t>
            </w:r>
          </w:p>
        </w:tc>
        <w:tc>
          <w:tcPr>
            <w:tcW w:type="dxa" w:w="2160"/>
          </w:tcPr>
          <w:p>
            <w:r/>
            <w:r>
              <w:t>Norway</w:t>
            </w:r>
          </w:p>
        </w:tc>
        <w:tc>
          <w:tcPr>
            <w:tcW w:type="dxa" w:w="2160"/>
          </w:tcPr>
          <w:p>
            <w:r/>
            <w:r>
              <w:t>12-15%</w:t>
            </w:r>
          </w:p>
        </w:tc>
        <w:tc>
          <w:tcPr>
            <w:tcW w:type="dxa" w:w="2160"/>
          </w:tcPr>
          <w:p>
            <w:r/>
            <w:r>
              <w:t>New development, high complexity</w:t>
            </w:r>
          </w:p>
        </w:tc>
      </w:tr>
      <w:tr>
        <w:tc>
          <w:tcPr>
            <w:tcW w:type="dxa" w:w="2160"/>
          </w:tcPr>
          <w:p>
            <w:r/>
            <w:r>
              <w:t>ConocoPhillips (Ekofisk)</w:t>
            </w:r>
          </w:p>
        </w:tc>
        <w:tc>
          <w:tcPr>
            <w:tcW w:type="dxa" w:w="2160"/>
          </w:tcPr>
          <w:p>
            <w:r/>
            <w:r>
              <w:t>Norway</w:t>
            </w:r>
          </w:p>
        </w:tc>
        <w:tc>
          <w:tcPr>
            <w:tcW w:type="dxa" w:w="2160"/>
          </w:tcPr>
          <w:p>
            <w:r/>
            <w:r>
              <w:t>8-10%</w:t>
            </w:r>
          </w:p>
        </w:tc>
        <w:tc>
          <w:tcPr>
            <w:tcW w:type="dxa" w:w="2160"/>
          </w:tcPr>
          <w:p>
            <w:r/>
            <w:r>
              <w:t>Mature field cluster</w:t>
            </w:r>
          </w:p>
        </w:tc>
      </w:tr>
      <w:tr>
        <w:tc>
          <w:tcPr>
            <w:tcW w:type="dxa" w:w="2160"/>
          </w:tcPr>
          <w:p>
            <w:r/>
            <w:r>
              <w:t>Aker BP (Valhall)</w:t>
            </w:r>
          </w:p>
        </w:tc>
        <w:tc>
          <w:tcPr>
            <w:tcW w:type="dxa" w:w="2160"/>
          </w:tcPr>
          <w:p>
            <w:r/>
            <w:r>
              <w:t>Norway</w:t>
            </w:r>
          </w:p>
        </w:tc>
        <w:tc>
          <w:tcPr>
            <w:tcW w:type="dxa" w:w="2160"/>
          </w:tcPr>
          <w:p>
            <w:r/>
            <w:r>
              <w:t>9-11%</w:t>
            </w:r>
          </w:p>
        </w:tc>
        <w:tc>
          <w:tcPr>
            <w:tcW w:type="dxa" w:w="2160"/>
          </w:tcPr>
          <w:p>
            <w:r/>
            <w:r>
              <w:t>Redevelopment project</w:t>
            </w:r>
          </w:p>
        </w:tc>
      </w:tr>
    </w:tbl>
    <w:p/>
    <w:p>
      <w:r>
        <w:rPr>
          <w:b/>
        </w:rPr>
        <w:t>Interquartile Range:</w:t>
      </w:r>
      <w:r>
        <w:t xml:space="preserve"> 9% - 12%</w:t>
      </w:r>
    </w:p>
    <w:p>
      <w:r>
        <w:rPr>
          <w:b/>
        </w:rPr>
        <w:t>Viking Field Characteristics:</w:t>
      </w:r>
    </w:p>
    <w:p>
      <w:pPr>
        <w:pStyle w:val="ListBullet"/>
      </w:pPr>
      <w:r>
        <w:t>New field (production commenced 2023) - slightly higher complexity</w:t>
      </w:r>
    </w:p>
    <w:p>
      <w:pPr>
        <w:pStyle w:val="ListBullet"/>
      </w:pPr>
      <w:r>
        <w:t>Standard fixed platform (not deepwater or subsea) - moderate complexity</w:t>
      </w:r>
    </w:p>
    <w:p>
      <w:pPr>
        <w:pStyle w:val="ListBullet"/>
      </w:pPr>
      <w:r>
        <w:t>80 personnel operator team - typical for field size</w:t>
      </w:r>
    </w:p>
    <w:p>
      <w:r>
        <w:rPr>
          <w:b/>
        </w:rPr>
        <w:t>Arm's Length Conclusion:</w:t>
      </w:r>
    </w:p>
    <w:p>
      <w:pPr>
        <w:pStyle w:val="ListBullet"/>
      </w:pPr>
      <w:r>
        <w:rPr>
          <w:b/>
        </w:rPr>
        <w:t>Appropriate range: 10-12%</w:t>
      </w:r>
      <w:r>
        <w:t xml:space="preserve"> given new field status</w:t>
      </w:r>
    </w:p>
    <w:p>
      <w:pPr>
        <w:pStyle w:val="ListBullet"/>
      </w:pPr>
      <w:r>
        <w:rPr>
          <w:b/>
        </w:rPr>
        <w:t>NorwegianOil 15% allocation exceeds arm's length range</w:t>
      </w:r>
    </w:p>
    <w:p>
      <w:r>
        <w:rPr>
          <w:b/>
        </w:rPr>
        <w:t>Adjustment:</w:t>
      </w:r>
    </w:p>
    <w:p>
      <w:pPr>
        <w:shd w:fill="F0F0F0"/>
        <w:spacing w:after="0" w:line="240" w:lineRule="auto"/>
      </w:pPr>
      <w:r>
        <w:rPr>
          <w:rFonts w:ascii="Courier New" w:hAnsi="Courier New"/>
          <w:sz w:val="20"/>
        </w:rPr>
        <w:t>Arm's length overhead (11% midpoint):       $120M × 11% = $13,200,000</w:t>
      </w:r>
    </w:p>
    <w:p>
      <w:pPr>
        <w:shd w:fill="F0F0F0"/>
        <w:spacing w:after="0" w:line="240" w:lineRule="auto"/>
      </w:pPr>
      <w:r>
        <w:rPr>
          <w:rFonts w:ascii="Courier New" w:hAnsi="Courier New"/>
          <w:sz w:val="20"/>
        </w:rPr>
        <w:t>Claimed overhead:                           $18,000,000</w:t>
      </w:r>
    </w:p>
    <w:p>
      <w:pPr>
        <w:shd w:fill="F0F0F0"/>
        <w:spacing w:after="0" w:line="240" w:lineRule="auto"/>
      </w:pPr>
      <w:r>
        <w:rPr>
          <w:rFonts w:ascii="Courier New" w:hAnsi="Courier New"/>
          <w:sz w:val="20"/>
        </w:rPr>
        <w:t>Excess allocation:                          $4,800,000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Per Participant:</w:t>
      </w:r>
    </w:p>
    <w:p>
      <w:pPr>
        <w:shd w:fill="F0F0F0"/>
        <w:spacing w:after="0" w:line="240" w:lineRule="auto"/>
      </w:pPr>
      <w:r>
        <w:rPr>
          <w:rFonts w:ascii="Courier New" w:hAnsi="Courier New"/>
          <w:sz w:val="20"/>
        </w:rPr>
        <w:t>- NorwegianOil (40%):                      $1,920,000 (deduction disallowed)</w:t>
      </w:r>
    </w:p>
    <w:p>
      <w:pPr>
        <w:shd w:fill="F0F0F0"/>
        <w:spacing w:after="0" w:line="240" w:lineRule="auto"/>
      </w:pPr>
      <w:r>
        <w:rPr>
          <w:rFonts w:ascii="Courier New" w:hAnsi="Courier New"/>
          <w:sz w:val="20"/>
        </w:rPr>
        <w:t>- UKEnergy (35%):                          $1,680,000 (deduction restored)</w:t>
      </w:r>
    </w:p>
    <w:p>
      <w:pPr>
        <w:shd w:fill="F0F0F0"/>
        <w:spacing w:after="0" w:line="240" w:lineRule="auto"/>
      </w:pPr>
      <w:r>
        <w:rPr>
          <w:rFonts w:ascii="Courier New" w:hAnsi="Courier New"/>
          <w:sz w:val="20"/>
        </w:rPr>
        <w:t>- DutchGas (25%):                          $1,200,000 (deduction restored)</w:t>
      </w:r>
    </w:p>
    <w:p/>
    <w:p>
      <w:r>
        <w:rPr>
          <w:b/>
        </w:rPr>
        <w:t>Tax Impact:</w:t>
      </w:r>
    </w:p>
    <w:p>
      <w:pPr>
        <w:pStyle w:val="ListBullet"/>
      </w:pPr>
      <w:r>
        <w:rPr>
          <w:b/>
        </w:rPr>
        <w:t>NorwegianOil:</w:t>
      </w:r>
      <w:r>
        <w:t xml:space="preserve"> Taxable income increases by USD 1.92M → Additional tax: USD 1.92M × 78% = USD 1.50M</w:t>
      </w:r>
    </w:p>
    <w:p>
      <w:pPr>
        <w:pStyle w:val="ListBullet"/>
      </w:pPr>
      <w:r>
        <w:rPr>
          <w:b/>
        </w:rPr>
        <w:t>UKEnergy:</w:t>
      </w:r>
      <w:r>
        <w:t xml:space="preserve"> Taxable income decreases by USD 1.68M → Tax reduction: USD 1.68M × 78% = USD 1.31M</w:t>
      </w:r>
    </w:p>
    <w:p>
      <w:pPr>
        <w:pStyle w:val="ListBullet"/>
      </w:pPr>
      <w:r>
        <w:rPr>
          <w:b/>
        </w:rPr>
        <w:t>DutchGas:</w:t>
      </w:r>
      <w:r>
        <w:t xml:space="preserve"> Taxable income decreases by USD 1.20M → Tax reduction: USD 1.20M × 78% = USD 0.94M</w:t>
      </w:r>
    </w:p>
    <w:p>
      <w:r>
        <w:rPr>
          <w:b/>
        </w:rPr>
        <w:t>Net Effect:</w:t>
      </w:r>
      <w:r>
        <w:t xml:space="preserve"> NorwegianOil pays more tax; UKEnergy and DutchGas receive tax refunds (correlative adjustment per OECD Article 9(2)).</w:t>
      </w:r>
    </w:p>
    <w:p>
      <w:pPr>
        <w:spacing w:before="120" w:after="120"/>
        <w:pBdr>
          <w:bottom w:val="single" w:sz="6" w:space="1" w:color="auto"/>
        </w:pBdr>
      </w:pPr>
    </w:p>
    <w:p>
      <w:r>
        <w:rPr>
          <w:b/>
        </w:rPr>
        <w:t>Part (c): UKEnergy Secondment - PE and Profit Attribution</w:t>
      </w:r>
    </w:p>
    <w:p>
      <w:r>
        <w:rPr>
          <w:b/>
        </w:rPr>
        <w:t>Secondment Structure:</w:t>
      </w:r>
    </w:p>
    <w:p>
      <w:pPr>
        <w:pStyle w:val="ListBullet"/>
      </w:pPr>
      <w:r>
        <w:t>5 UKEnergy reservoir engineers seconded to NorwegianOil (Stavanger) for full year 2024</w:t>
      </w:r>
    </w:p>
    <w:p>
      <w:pPr>
        <w:pStyle w:val="ListBullet"/>
      </w:pPr>
      <w:r>
        <w:t>Engineers perform reservoir management, production optimization, decline curve analysis</w:t>
      </w:r>
    </w:p>
    <w:p>
      <w:pPr>
        <w:pStyle w:val="ListBullet"/>
      </w:pPr>
      <w:r>
        <w:t>Costs: Salaries + benefits approximately USD 2 million (5 engineers × USD 400K each)</w:t>
      </w:r>
    </w:p>
    <w:p>
      <w:pPr>
        <w:pStyle w:val="ListBullet"/>
      </w:pPr>
      <w:r>
        <w:t>UKEnergy charged USD 2M to joint account (recovered USD 2M × 35% = USD 700K as its working interest share)</w:t>
      </w:r>
    </w:p>
    <w:p>
      <w:r>
        <w:rPr>
          <w:b/>
        </w:rPr>
        <w:t>PE Analysis:</w:t>
      </w:r>
    </w:p>
    <w:p>
      <w:r>
        <w:t>UKEnergy already has PE in Norway (joint ownership of platform). Seconded engineers' activities attributed to UKEnergy's existing PE.</w:t>
      </w:r>
    </w:p>
    <w:p>
      <w:r>
        <w:rPr>
          <w:b/>
        </w:rPr>
        <w:t>Issue:</w:t>
      </w:r>
      <w:r>
        <w:t xml:space="preserve"> Do seconded engineers create additional PE profit beyond UKEnergy's working interest share?</w:t>
      </w:r>
    </w:p>
    <w:p>
      <w:r>
        <w:rPr>
          <w:b/>
        </w:rPr>
        <w:t>OECD AOA Analysis:</w:t>
      </w:r>
    </w:p>
    <w:p>
      <w:r>
        <w:rPr>
          <w:b/>
        </w:rPr>
        <w:t>Step 1: Functional Analysis</w:t>
      </w:r>
    </w:p>
    <w:p>
      <w:r>
        <w:rPr>
          <w:b/>
        </w:rPr>
        <w:t>Seconded Engineers:</w:t>
      </w:r>
    </w:p>
    <w:p>
      <w:pPr>
        <w:pStyle w:val="ListBullet"/>
      </w:pPr>
      <w:r>
        <w:t>Function: Technical services (reservoir engineering) benefiting all JOA participants</w:t>
      </w:r>
    </w:p>
    <w:p>
      <w:pPr>
        <w:pStyle w:val="ListBullet"/>
      </w:pPr>
      <w:r>
        <w:t>Assets: UKEnergy technical know-how and expertise</w:t>
      </w:r>
    </w:p>
    <w:p>
      <w:pPr>
        <w:pStyle w:val="ListBullet"/>
      </w:pPr>
      <w:r>
        <w:t>Risks: Limited (no performance risk; costs reimbursed)</w:t>
      </w:r>
    </w:p>
    <w:p>
      <w:r>
        <w:rPr>
          <w:b/>
        </w:rPr>
        <w:t>Step 2: Arm's Length Compensation</w:t>
      </w:r>
    </w:p>
    <w:p>
      <w:r>
        <w:rPr>
          <w:b/>
        </w:rPr>
        <w:t>Method:</w:t>
      </w:r>
      <w:r>
        <w:t xml:space="preserve"> Cost Plus Method (CPM)</w:t>
      </w:r>
    </w:p>
    <w:p>
      <w:r>
        <w:rPr>
          <w:b/>
        </w:rPr>
        <w:t>Comparables - Technical Service Providers: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Service Provider</w:t>
            </w:r>
          </w:p>
        </w:tc>
        <w:tc>
          <w:tcPr>
            <w:tcW w:type="dxa" w:w="2880"/>
          </w:tcPr>
          <w:p>
            <w:r>
              <w:rPr>
                <w:b/>
              </w:rPr>
            </w:r>
            <w:r>
              <w:rPr>
                <w:b/>
              </w:rPr>
              <w:t>Service Type</w:t>
            </w:r>
          </w:p>
        </w:tc>
        <w:tc>
          <w:tcPr>
            <w:tcW w:type="dxa" w:w="2880"/>
          </w:tcPr>
          <w:p>
            <w:r>
              <w:rPr>
                <w:b/>
              </w:rPr>
            </w:r>
            <w:r>
              <w:rPr>
                <w:b/>
              </w:rPr>
              <w:t>Markup Range</w:t>
            </w:r>
          </w:p>
        </w:tc>
      </w:tr>
      <w:tr>
        <w:tc>
          <w:tcPr>
            <w:tcW w:type="dxa" w:w="2880"/>
          </w:tcPr>
          <w:p>
            <w:r/>
            <w:r>
              <w:t>Reservoir engineering consultants</w:t>
            </w:r>
          </w:p>
        </w:tc>
        <w:tc>
          <w:tcPr>
            <w:tcW w:type="dxa" w:w="2880"/>
          </w:tcPr>
          <w:p>
            <w:r/>
            <w:r>
              <w:t>Technical specialists</w:t>
            </w:r>
          </w:p>
        </w:tc>
        <w:tc>
          <w:tcPr>
            <w:tcW w:type="dxa" w:w="2880"/>
          </w:tcPr>
          <w:p>
            <w:r/>
            <w:r>
              <w:t>15-25%</w:t>
            </w:r>
          </w:p>
        </w:tc>
      </w:tr>
      <w:tr>
        <w:tc>
          <w:tcPr>
            <w:tcW w:type="dxa" w:w="2880"/>
          </w:tcPr>
          <w:p>
            <w:r/>
            <w:r>
              <w:t>Seconded engineers (industry practice)</w:t>
            </w:r>
          </w:p>
        </w:tc>
        <w:tc>
          <w:tcPr>
            <w:tcW w:type="dxa" w:w="2880"/>
          </w:tcPr>
          <w:p>
            <w:r/>
            <w:r>
              <w:t>Embedded staff</w:t>
            </w:r>
          </w:p>
        </w:tc>
        <w:tc>
          <w:tcPr>
            <w:tcW w:type="dxa" w:w="2880"/>
          </w:tcPr>
          <w:p>
            <w:r/>
            <w:r>
              <w:t>10-18%</w:t>
            </w:r>
          </w:p>
        </w:tc>
      </w:tr>
      <w:tr>
        <w:tc>
          <w:tcPr>
            <w:tcW w:type="dxa" w:w="2880"/>
          </w:tcPr>
          <w:p>
            <w:r/>
            <w:r>
              <w:t>Operator technical services</w:t>
            </w:r>
          </w:p>
        </w:tc>
        <w:tc>
          <w:tcPr>
            <w:tcW w:type="dxa" w:w="2880"/>
          </w:tcPr>
          <w:p>
            <w:r/>
            <w:r>
              <w:t>Integrated services</w:t>
            </w:r>
          </w:p>
        </w:tc>
        <w:tc>
          <w:tcPr>
            <w:tcW w:type="dxa" w:w="2880"/>
          </w:tcPr>
          <w:p>
            <w:r/>
            <w:r>
              <w:t>8-15%</w:t>
            </w:r>
          </w:p>
        </w:tc>
      </w:tr>
    </w:tbl>
    <w:p/>
    <w:p>
      <w:r>
        <w:rPr>
          <w:b/>
        </w:rPr>
        <w:t>Arm's Length Range:</w:t>
      </w:r>
      <w:r>
        <w:t xml:space="preserve"> 12-20% markup for specialized reservoir engineers</w:t>
      </w:r>
    </w:p>
    <w:p>
      <w:r>
        <w:rPr>
          <w:b/>
        </w:rPr>
        <w:t>UKEnergy Secondment Pricing:</w:t>
      </w:r>
    </w:p>
    <w:p>
      <w:pPr>
        <w:pStyle w:val="ListBullet"/>
      </w:pPr>
      <w:r>
        <w:t>Costs: USD 2 million</w:t>
      </w:r>
    </w:p>
    <w:p>
      <w:pPr>
        <w:pStyle w:val="ListBullet"/>
      </w:pPr>
      <w:r>
        <w:t>Markup charged: 0% (at cost)</w:t>
      </w:r>
    </w:p>
    <w:p>
      <w:pPr>
        <w:pStyle w:val="ListBullet"/>
      </w:pPr>
      <w:r>
        <w:rPr>
          <w:b/>
        </w:rPr>
        <w:t>Arm's length markup:</w:t>
      </w:r>
      <w:r>
        <w:t xml:space="preserve"> 15% (midpoint) = USD 2M × 15% = USD 300K</w:t>
      </w:r>
    </w:p>
    <w:p>
      <w:r>
        <w:rPr>
          <w:b/>
        </w:rPr>
        <w:t>Adjustment:</w:t>
      </w:r>
    </w:p>
    <w:p>
      <w:pPr>
        <w:shd w:fill="F0F0F0"/>
        <w:spacing w:after="0" w:line="240" w:lineRule="auto"/>
      </w:pPr>
      <w:r>
        <w:rPr>
          <w:rFonts w:ascii="Courier New" w:hAnsi="Courier New"/>
          <w:sz w:val="20"/>
        </w:rPr>
        <w:t>Arm's length charge:                        $2,300,000 ($2M + 15%)</w:t>
      </w:r>
    </w:p>
    <w:p>
      <w:pPr>
        <w:shd w:fill="F0F0F0"/>
        <w:spacing w:after="0" w:line="240" w:lineRule="auto"/>
      </w:pPr>
      <w:r>
        <w:rPr>
          <w:rFonts w:ascii="Courier New" w:hAnsi="Courier New"/>
          <w:sz w:val="20"/>
        </w:rPr>
        <w:t>Actual charge:                              $2,000,000</w:t>
      </w:r>
    </w:p>
    <w:p>
      <w:pPr>
        <w:shd w:fill="F0F0F0"/>
        <w:spacing w:after="0" w:line="240" w:lineRule="auto"/>
      </w:pPr>
      <w:r>
        <w:rPr>
          <w:rFonts w:ascii="Courier New" w:hAnsi="Courier New"/>
          <w:sz w:val="20"/>
        </w:rPr>
        <w:t>Undercharge:                                $300,000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Consequence (UKEnergy):</w:t>
      </w:r>
    </w:p>
    <w:p>
      <w:pPr>
        <w:shd w:fill="F0F0F0"/>
        <w:spacing w:after="0" w:line="240" w:lineRule="auto"/>
      </w:pPr>
      <w:r>
        <w:rPr>
          <w:rFonts w:ascii="Courier New" w:hAnsi="Courier New"/>
          <w:sz w:val="20"/>
        </w:rPr>
        <w:t>- Additional income attributable to Norway PE: $300K</w:t>
      </w:r>
    </w:p>
    <w:p>
      <w:pPr>
        <w:shd w:fill="F0F0F0"/>
        <w:spacing w:after="0" w:line="240" w:lineRule="auto"/>
      </w:pPr>
      <w:r>
        <w:rPr>
          <w:rFonts w:ascii="Courier New" w:hAnsi="Courier New"/>
          <w:sz w:val="20"/>
        </w:rPr>
        <w:t>- Norwegian tax (78%):                      $234,000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Foreign Tax Credit (UK):</w:t>
      </w:r>
    </w:p>
    <w:p>
      <w:pPr>
        <w:shd w:fill="F0F0F0"/>
        <w:spacing w:after="0" w:line="240" w:lineRule="auto"/>
      </w:pPr>
      <w:r>
        <w:rPr>
          <w:rFonts w:ascii="Courier New" w:hAnsi="Courier New"/>
          <w:sz w:val="20"/>
        </w:rPr>
        <w:t>- Additional UK tax on $300K (25% UK rate):  $75,000</w:t>
      </w:r>
    </w:p>
    <w:p>
      <w:pPr>
        <w:shd w:fill="F0F0F0"/>
        <w:spacing w:after="0" w:line="240" w:lineRule="auto"/>
      </w:pPr>
      <w:r>
        <w:rPr>
          <w:rFonts w:ascii="Courier New" w:hAnsi="Courier New"/>
          <w:sz w:val="20"/>
        </w:rPr>
        <w:t>- Less: Norwegian FTC                       ($234,000)</w:t>
      </w:r>
    </w:p>
    <w:p>
      <w:pPr>
        <w:shd w:fill="F0F0F0"/>
        <w:spacing w:after="0" w:line="240" w:lineRule="auto"/>
      </w:pPr>
      <w:r>
        <w:rPr>
          <w:rFonts w:ascii="Courier New" w:hAnsi="Courier New"/>
          <w:sz w:val="20"/>
        </w:rPr>
        <w:t>- Net UK tax:                               $0 (excess FTC of $159K, limited by UK tax on $300K)</w:t>
      </w:r>
    </w:p>
    <w:p/>
    <w:p>
      <w:r>
        <w:rPr>
          <w:b/>
        </w:rPr>
        <w:t>Recommendation:</w:t>
      </w:r>
    </w:p>
    <w:p>
      <w:pPr>
        <w:pStyle w:val="ListBullet"/>
      </w:pPr>
      <w:r>
        <w:t>UKEnergy should charge arm's length fee for seconded engineers: Cost plus 15%</w:t>
      </w:r>
    </w:p>
    <w:p>
      <w:pPr>
        <w:pStyle w:val="ListBullet"/>
      </w:pPr>
      <w:r>
        <w:t>Document services provided and benchmarking study</w:t>
      </w:r>
    </w:p>
    <w:p>
      <w:pPr>
        <w:pStyle w:val="ListBullet"/>
      </w:pPr>
      <w:r>
        <w:t>File amended Norwegian tax return to report additional income (voluntary compliance)</w:t>
      </w:r>
    </w:p>
    <w:p>
      <w:pPr>
        <w:spacing w:before="120" w:after="120"/>
        <w:pBdr>
          <w:bottom w:val="single" w:sz="6" w:space="1" w:color="auto"/>
        </w:pBdr>
      </w:pPr>
    </w:p>
    <w:p>
      <w:r>
        <w:rPr>
          <w:b/>
        </w:rPr>
        <w:t>Part (d): DutchGas Parent Service Allocation</w:t>
      </w:r>
    </w:p>
    <w:p>
      <w:r>
        <w:rPr>
          <w:b/>
        </w:rPr>
        <w:t>Fact Pattern:</w:t>
      </w:r>
    </w:p>
    <w:p>
      <w:pPr>
        <w:pStyle w:val="ListBullet"/>
      </w:pPr>
      <w:r>
        <w:t>DutchGas Holding (Netherlands parent) provides corporate services to DutchGas BV</w:t>
      </w:r>
    </w:p>
    <w:p>
      <w:pPr>
        <w:pStyle w:val="ListBullet"/>
      </w:pPr>
      <w:r>
        <w:t>Services: Treasury, tax, legal, compliance, strategic planning</w:t>
      </w:r>
    </w:p>
    <w:p>
      <w:pPr>
        <w:pStyle w:val="ListBullet"/>
      </w:pPr>
      <w:r>
        <w:t>Annual cost: USD 5 million allocated to DutchGas BV</w:t>
      </w:r>
    </w:p>
    <w:p>
      <w:pPr>
        <w:pStyle w:val="ListBullet"/>
      </w:pPr>
      <w:r>
        <w:t>DutchGas BV recovered USD 1.25M (25% working interest share) from Viking Field joint account</w:t>
      </w:r>
    </w:p>
    <w:p>
      <w:r>
        <w:rPr>
          <w:b/>
        </w:rPr>
        <w:t>Transfer Pricing Issue:</w:t>
      </w:r>
    </w:p>
    <w:p>
      <w:pPr>
        <w:pStyle w:val="ListNumber"/>
      </w:pPr>
      <w:r>
        <w:rPr>
          <w:b/>
        </w:rPr>
        <w:t>Shareholder services vs. beneficial services:</w:t>
      </w:r>
      <w:r>
        <w:t xml:space="preserve"> Are parent services providing value to joint venture or merely shareholder oversight?</w:t>
      </w:r>
    </w:p>
    <w:p>
      <w:pPr>
        <w:pStyle w:val="ListNumber"/>
      </w:pPr>
      <w:r>
        <w:rPr>
          <w:b/>
        </w:rPr>
        <w:t>Allocation methodology:</w:t>
      </w:r>
      <w:r>
        <w:t xml:space="preserve"> How was USD 5M allocated to DutchGas BV? (DutchGas may have other operations)</w:t>
      </w:r>
    </w:p>
    <w:p>
      <w:pPr>
        <w:pStyle w:val="ListNumber"/>
      </w:pPr>
      <w:r>
        <w:rPr>
          <w:b/>
        </w:rPr>
        <w:t>Benefit test:</w:t>
      </w:r>
      <w:r>
        <w:t xml:space="preserve"> Does Viking Field receive benefit justifying USD 1.25M cost recovery?</w:t>
      </w:r>
    </w:p>
    <w:p>
      <w:r>
        <w:rPr>
          <w:b/>
        </w:rPr>
        <w:t>OECD Guidance (BEPS Actions 8-10):</w:t>
      </w:r>
    </w:p>
    <w:p>
      <w:pPr>
        <w:pStyle w:val="ListBullet"/>
      </w:pPr>
      <w:r>
        <w:rPr>
          <w:b/>
        </w:rPr>
        <w:t>Shareholder activities</w:t>
      </w:r>
      <w:r>
        <w:t xml:space="preserve"> not deductible: Activities performed by parent solely in shareholder capacity (e.g., board reporting, investor relations) provide no benefit to subsidiary</w:t>
      </w:r>
    </w:p>
    <w:p>
      <w:pPr>
        <w:pStyle w:val="ListBullet"/>
      </w:pPr>
      <w:r>
        <w:rPr>
          <w:b/>
        </w:rPr>
        <w:t>Beneficial services</w:t>
      </w:r>
      <w:r>
        <w:t>: Services providing economic or commercial value to recipient should be charged at arm's length</w:t>
      </w:r>
    </w:p>
    <w:p>
      <w:pPr>
        <w:pStyle w:val="ListBullet"/>
      </w:pPr>
      <w:r>
        <w:rPr>
          <w:b/>
        </w:rPr>
        <w:t>Documentation:</w:t>
      </w:r>
      <w:r>
        <w:t xml:space="preserve"> Taxpayer must demonstrate services actually rendered and benefit received</w:t>
      </w:r>
    </w:p>
    <w:p>
      <w:r>
        <w:rPr>
          <w:b/>
        </w:rPr>
        <w:t>Analysis:</w:t>
      </w:r>
    </w:p>
    <w:p>
      <w:r>
        <w:rPr>
          <w:b/>
        </w:rPr>
        <w:t>Potentially Non-Beneficial Services (Shareholder Activities):</w:t>
      </w:r>
    </w:p>
    <w:p>
      <w:pPr>
        <w:pStyle w:val="ListBullet"/>
      </w:pPr>
      <w:r>
        <w:t>Consolidated financial reporting (parent company requirement)</w:t>
      </w:r>
    </w:p>
    <w:p>
      <w:pPr>
        <w:pStyle w:val="ListBullet"/>
      </w:pPr>
      <w:r>
        <w:t>Parent board meetings and governance</w:t>
      </w:r>
    </w:p>
    <w:p>
      <w:pPr>
        <w:pStyle w:val="ListBullet"/>
      </w:pPr>
      <w:r>
        <w:t>Investor relations and communications</w:t>
      </w:r>
    </w:p>
    <w:p>
      <w:pPr>
        <w:pStyle w:val="ListBullet"/>
      </w:pPr>
      <w:r>
        <w:t>Parent tax compliance (unrelated to subsidiary)</w:t>
      </w:r>
    </w:p>
    <w:p>
      <w:pPr>
        <w:pStyle w:val="ListBullet"/>
      </w:pPr>
      <w:r>
        <w:t>Costs of acquiring/holding investment in subsidiary</w:t>
      </w:r>
    </w:p>
    <w:p>
      <w:r>
        <w:rPr>
          <w:b/>
        </w:rPr>
        <w:t>Beneficial Services:</w:t>
      </w:r>
    </w:p>
    <w:p>
      <w:pPr>
        <w:pStyle w:val="ListBullet"/>
      </w:pPr>
      <w:r>
        <w:t>Treasury management and cash pooling (reduces financing costs)</w:t>
      </w:r>
    </w:p>
    <w:p>
      <w:pPr>
        <w:pStyle w:val="ListBullet"/>
      </w:pPr>
      <w:r>
        <w:t>Tax planning and compliance for subsidiary operations</w:t>
      </w:r>
    </w:p>
    <w:p>
      <w:pPr>
        <w:pStyle w:val="ListBullet"/>
      </w:pPr>
      <w:r>
        <w:t>Legal services for subsidiary contracts and disputes</w:t>
      </w:r>
    </w:p>
    <w:p>
      <w:pPr>
        <w:pStyle w:val="ListBullet"/>
      </w:pPr>
      <w:r>
        <w:t>Strategic planning specific to Viking Field operations</w:t>
      </w:r>
    </w:p>
    <w:p>
      <w:r>
        <w:rPr>
          <w:b/>
        </w:rPr>
        <w:t>Assessment:</w:t>
      </w:r>
    </w:p>
    <w:p>
      <w:pPr>
        <w:pStyle w:val="ListBullet"/>
      </w:pPr>
      <w:r>
        <w:t>Assume 60% of USD 5M allocation is beneficial (USD 3M): Treasury, tax, legal</w:t>
      </w:r>
    </w:p>
    <w:p>
      <w:pPr>
        <w:pStyle w:val="ListBullet"/>
      </w:pPr>
      <w:r>
        <w:t>Assume 40% of USD 5M is shareholder activities (USD 2M): Not deductible</w:t>
      </w:r>
    </w:p>
    <w:p>
      <w:r>
        <w:rPr>
          <w:b/>
        </w:rPr>
        <w:t>Arm's Length Allocation to Viking Field:</w:t>
      </w:r>
    </w:p>
    <w:p>
      <w:pPr>
        <w:shd w:fill="F0F0F0"/>
        <w:spacing w:after="0" w:line="240" w:lineRule="auto"/>
      </w:pPr>
      <w:r>
        <w:rPr>
          <w:rFonts w:ascii="Courier New" w:hAnsi="Courier New"/>
          <w:sz w:val="20"/>
        </w:rPr>
        <w:t>Beneficial services:                        $3,000,000</w:t>
      </w:r>
    </w:p>
    <w:p>
      <w:pPr>
        <w:shd w:fill="F0F0F0"/>
        <w:spacing w:after="0" w:line="240" w:lineRule="auto"/>
      </w:pPr>
      <w:r>
        <w:rPr>
          <w:rFonts w:ascii="Courier New" w:hAnsi="Courier New"/>
          <w:sz w:val="20"/>
        </w:rPr>
        <w:t>DutchGas working interest:                  25%</w:t>
      </w:r>
    </w:p>
    <w:p>
      <w:pPr>
        <w:shd w:fill="F0F0F0"/>
        <w:spacing w:after="0" w:line="240" w:lineRule="auto"/>
      </w:pPr>
      <w:r>
        <w:rPr>
          <w:rFonts w:ascii="Courier New" w:hAnsi="Courier New"/>
          <w:sz w:val="20"/>
        </w:rPr>
        <w:t>Viking Field allocation:                    $3,000,000 × 25% = $750,000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Compare to claimed:                         $1,250,000</w:t>
      </w:r>
    </w:p>
    <w:p>
      <w:pPr>
        <w:shd w:fill="F0F0F0"/>
        <w:spacing w:after="0" w:line="240" w:lineRule="auto"/>
      </w:pPr>
      <w:r>
        <w:rPr>
          <w:rFonts w:ascii="Courier New" w:hAnsi="Courier New"/>
          <w:sz w:val="20"/>
        </w:rPr>
        <w:t>Excess allocation:                          $500,000 (disallowed)</w:t>
      </w:r>
    </w:p>
    <w:p/>
    <w:p>
      <w:r>
        <w:rPr>
          <w:b/>
        </w:rPr>
        <w:t>Tax Adjustment (DutchGas Norway PE):</w:t>
      </w:r>
    </w:p>
    <w:p>
      <w:pPr>
        <w:shd w:fill="F0F0F0"/>
        <w:spacing w:after="0" w:line="240" w:lineRule="auto"/>
      </w:pPr>
      <w:r>
        <w:rPr>
          <w:rFonts w:ascii="Courier New" w:hAnsi="Courier New"/>
          <w:sz w:val="20"/>
        </w:rPr>
        <w:t>Disallowed deduction:                       $500,000</w:t>
      </w:r>
    </w:p>
    <w:p>
      <w:pPr>
        <w:shd w:fill="F0F0F0"/>
        <w:spacing w:after="0" w:line="240" w:lineRule="auto"/>
      </w:pPr>
      <w:r>
        <w:rPr>
          <w:rFonts w:ascii="Courier New" w:hAnsi="Courier New"/>
          <w:sz w:val="20"/>
        </w:rPr>
        <w:t>Additional taxable income:                  $500,000</w:t>
      </w:r>
    </w:p>
    <w:p>
      <w:pPr>
        <w:shd w:fill="F0F0F0"/>
        <w:spacing w:after="0" w:line="240" w:lineRule="auto"/>
      </w:pPr>
      <w:r>
        <w:rPr>
          <w:rFonts w:ascii="Courier New" w:hAnsi="Courier New"/>
          <w:sz w:val="20"/>
        </w:rPr>
        <w:t>Norwegian tax (78%):                        $390,000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Penalties (20% for insufficient documentation):  $78,000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TOTAL ADDITIONAL LIABILITY:                 $468,000</w:t>
      </w:r>
    </w:p>
    <w:p/>
    <w:p>
      <w:r>
        <w:rPr>
          <w:b/>
        </w:rPr>
        <w:t>Documentation Requirement:</w:t>
      </w:r>
    </w:p>
    <w:p>
      <w:pPr>
        <w:pStyle w:val="ListBullet"/>
      </w:pPr>
      <w:r>
        <w:t>Detailed description of each service provided by parent</w:t>
      </w:r>
    </w:p>
    <w:p>
      <w:pPr>
        <w:pStyle w:val="ListBullet"/>
      </w:pPr>
      <w:r>
        <w:t>Identification of shareholder vs. beneficial services</w:t>
      </w:r>
    </w:p>
    <w:p>
      <w:pPr>
        <w:pStyle w:val="ListBullet"/>
      </w:pPr>
      <w:r>
        <w:t>Allocation methodology (time records, cost drivers)</w:t>
      </w:r>
    </w:p>
    <w:p>
      <w:pPr>
        <w:pStyle w:val="ListBullet"/>
      </w:pPr>
      <w:r>
        <w:t>Benefit test: How does Viking Field benefit from each service?</w:t>
      </w:r>
    </w:p>
    <w:p>
      <w:pPr>
        <w:pStyle w:val="ListBullet"/>
      </w:pPr>
      <w:r>
        <w:t>Benchmarking (if possible): Compare to third-party service provider fees</w:t>
      </w:r>
    </w:p>
    <w:p>
      <w:pPr>
        <w:spacing w:before="120" w:after="120"/>
        <w:pBdr>
          <w:bottom w:val="single" w:sz="6" w:space="1" w:color="auto"/>
        </w:pBdr>
      </w:pPr>
    </w:p>
    <w:p>
      <w:r>
        <w:rPr>
          <w:b/>
        </w:rPr>
        <w:t>Part (e): Summary of Tax Adjustments</w:t>
      </w:r>
    </w:p>
    <w:p>
      <w:r>
        <w:rPr>
          <w:b/>
        </w:rPr>
        <w:t>NorwegianOil AS:</w:t>
      </w:r>
    </w:p>
    <w:p>
      <w:pPr>
        <w:shd w:fill="F0F0F0"/>
        <w:spacing w:after="0" w:line="240" w:lineRule="auto"/>
      </w:pPr>
      <w:r>
        <w:rPr>
          <w:rFonts w:ascii="Courier New" w:hAnsi="Courier New"/>
          <w:sz w:val="20"/>
        </w:rPr>
        <w:t>Issue: Excessive overhead allocation (15% vs. 11% arm's length)</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Adjustment:</w:t>
      </w:r>
    </w:p>
    <w:p>
      <w:pPr>
        <w:shd w:fill="F0F0F0"/>
        <w:spacing w:after="0" w:line="240" w:lineRule="auto"/>
      </w:pPr>
      <w:r>
        <w:rPr>
          <w:rFonts w:ascii="Courier New" w:hAnsi="Courier New"/>
          <w:sz w:val="20"/>
        </w:rPr>
        <w:t>- Disallowed overhead:                      $1,920,000</w:t>
      </w:r>
    </w:p>
    <w:p>
      <w:pPr>
        <w:shd w:fill="F0F0F0"/>
        <w:spacing w:after="0" w:line="240" w:lineRule="auto"/>
      </w:pPr>
      <w:r>
        <w:rPr>
          <w:rFonts w:ascii="Courier New" w:hAnsi="Courier New"/>
          <w:sz w:val="20"/>
        </w:rPr>
        <w:t>- Additional taxable income:                $1,920,000</w:t>
      </w:r>
    </w:p>
    <w:p>
      <w:pPr>
        <w:shd w:fill="F0F0F0"/>
        <w:spacing w:after="0" w:line="240" w:lineRule="auto"/>
      </w:pPr>
      <w:r>
        <w:rPr>
          <w:rFonts w:ascii="Courier New" w:hAnsi="Courier New"/>
          <w:sz w:val="20"/>
        </w:rPr>
        <w:t>- Norwegian tax (78%):                      $1,497,600</w:t>
      </w:r>
    </w:p>
    <w:p>
      <w:pPr>
        <w:shd w:fill="F0F0F0"/>
        <w:spacing w:after="0" w:line="240" w:lineRule="auto"/>
      </w:pPr>
      <w:r>
        <w:rPr>
          <w:rFonts w:ascii="Courier New" w:hAnsi="Courier New"/>
          <w:sz w:val="20"/>
        </w:rPr>
        <w:t>- Penalties (10%):                          $149,760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TOTAL LIABILITY:                            $1,647,360</w:t>
      </w:r>
    </w:p>
    <w:p/>
    <w:p>
      <w:r>
        <w:rPr>
          <w:b/>
        </w:rPr>
        <w:t>UKEnergy plc:</w:t>
      </w:r>
    </w:p>
    <w:p>
      <w:pPr>
        <w:shd w:fill="F0F0F0"/>
        <w:spacing w:after="0" w:line="240" w:lineRule="auto"/>
      </w:pPr>
      <w:r>
        <w:rPr>
          <w:rFonts w:ascii="Courier New" w:hAnsi="Courier New"/>
          <w:sz w:val="20"/>
        </w:rPr>
        <w:t>Issue 1: Overhead allocation adjustment (benefit from reduced allocation)</w:t>
      </w:r>
    </w:p>
    <w:p>
      <w:pPr>
        <w:shd w:fill="F0F0F0"/>
        <w:spacing w:after="0" w:line="240" w:lineRule="auto"/>
      </w:pPr>
      <w:r>
        <w:rPr>
          <w:rFonts w:ascii="Courier New" w:hAnsi="Courier New"/>
          <w:sz w:val="20"/>
        </w:rPr>
        <w:t>- Reduced cost allocation:                  ($1,680,000)</w:t>
      </w:r>
    </w:p>
    <w:p>
      <w:pPr>
        <w:shd w:fill="F0F0F0"/>
        <w:spacing w:after="0" w:line="240" w:lineRule="auto"/>
      </w:pPr>
      <w:r>
        <w:rPr>
          <w:rFonts w:ascii="Courier New" w:hAnsi="Courier New"/>
          <w:sz w:val="20"/>
        </w:rPr>
        <w:t>- Reduced taxable income:                   ($1,680,000)</w:t>
      </w:r>
    </w:p>
    <w:p>
      <w:pPr>
        <w:shd w:fill="F0F0F0"/>
        <w:spacing w:after="0" w:line="240" w:lineRule="auto"/>
      </w:pPr>
      <w:r>
        <w:rPr>
          <w:rFonts w:ascii="Courier New" w:hAnsi="Courier New"/>
          <w:sz w:val="20"/>
        </w:rPr>
        <w:t>- Norwegian tax reduction (78%):            ($1,310,400)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Issue 2: Underpriced secondment (should charge cost + 15%)</w:t>
      </w:r>
    </w:p>
    <w:p>
      <w:pPr>
        <w:shd w:fill="F0F0F0"/>
        <w:spacing w:after="0" w:line="240" w:lineRule="auto"/>
      </w:pPr>
      <w:r>
        <w:rPr>
          <w:rFonts w:ascii="Courier New" w:hAnsi="Courier New"/>
          <w:sz w:val="20"/>
        </w:rPr>
        <w:t>- Additional income (markup):               $300,000</w:t>
      </w:r>
    </w:p>
    <w:p>
      <w:pPr>
        <w:shd w:fill="F0F0F0"/>
        <w:spacing w:after="0" w:line="240" w:lineRule="auto"/>
      </w:pPr>
      <w:r>
        <w:rPr>
          <w:rFonts w:ascii="Courier New" w:hAnsi="Courier New"/>
          <w:sz w:val="20"/>
        </w:rPr>
        <w:t>- Norwegian tax (78%):                      $234,000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Norwegian Tax Position:</w:t>
      </w:r>
    </w:p>
    <w:p>
      <w:pPr>
        <w:shd w:fill="F0F0F0"/>
        <w:spacing w:after="0" w:line="240" w:lineRule="auto"/>
      </w:pPr>
      <w:r>
        <w:rPr>
          <w:rFonts w:ascii="Courier New" w:hAnsi="Courier New"/>
          <w:sz w:val="20"/>
        </w:rPr>
        <w:t>- Tax reduction (overhead):                 ($1,310,400)</w:t>
      </w:r>
    </w:p>
    <w:p>
      <w:pPr>
        <w:shd w:fill="F0F0F0"/>
        <w:spacing w:after="0" w:line="240" w:lineRule="auto"/>
      </w:pPr>
      <w:r>
        <w:rPr>
          <w:rFonts w:ascii="Courier New" w:hAnsi="Courier New"/>
          <w:sz w:val="20"/>
        </w:rPr>
        <w:t>- Tax increase (secondment):                $234,000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NET TAX REFUND:                             ($1,076,400)</w:t>
      </w:r>
    </w:p>
    <w:p/>
    <w:p>
      <w:r>
        <w:rPr>
          <w:b/>
        </w:rPr>
        <w:t>DutchGas BV:</w:t>
      </w:r>
    </w:p>
    <w:p>
      <w:pPr>
        <w:shd w:fill="F0F0F0"/>
        <w:spacing w:after="0" w:line="240" w:lineRule="auto"/>
      </w:pPr>
      <w:r>
        <w:rPr>
          <w:rFonts w:ascii="Courier New" w:hAnsi="Courier New"/>
          <w:sz w:val="20"/>
        </w:rPr>
        <w:t>Issue 1: Overhead allocation adjustment (benefit from reduced allocation)</w:t>
      </w:r>
    </w:p>
    <w:p>
      <w:pPr>
        <w:shd w:fill="F0F0F0"/>
        <w:spacing w:after="0" w:line="240" w:lineRule="auto"/>
      </w:pPr>
      <w:r>
        <w:rPr>
          <w:rFonts w:ascii="Courier New" w:hAnsi="Courier New"/>
          <w:sz w:val="20"/>
        </w:rPr>
        <w:t>- Reduced cost allocation:                  ($1,200,000)</w:t>
      </w:r>
    </w:p>
    <w:p>
      <w:pPr>
        <w:shd w:fill="F0F0F0"/>
        <w:spacing w:after="0" w:line="240" w:lineRule="auto"/>
      </w:pPr>
      <w:r>
        <w:rPr>
          <w:rFonts w:ascii="Courier New" w:hAnsi="Courier New"/>
          <w:sz w:val="20"/>
        </w:rPr>
        <w:t>- Reduced taxable income:                   ($1,200,000)</w:t>
      </w:r>
    </w:p>
    <w:p>
      <w:pPr>
        <w:shd w:fill="F0F0F0"/>
        <w:spacing w:after="0" w:line="240" w:lineRule="auto"/>
      </w:pPr>
      <w:r>
        <w:rPr>
          <w:rFonts w:ascii="Courier New" w:hAnsi="Courier New"/>
          <w:sz w:val="20"/>
        </w:rPr>
        <w:t>- Norwegian tax reduction (78%):            ($936,000)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Issue 2: Excessive parent service allocation (40% shareholder activities)</w:t>
      </w:r>
    </w:p>
    <w:p>
      <w:pPr>
        <w:shd w:fill="F0F0F0"/>
        <w:spacing w:after="0" w:line="240" w:lineRule="auto"/>
      </w:pPr>
      <w:r>
        <w:rPr>
          <w:rFonts w:ascii="Courier New" w:hAnsi="Courier New"/>
          <w:sz w:val="20"/>
        </w:rPr>
        <w:t>- Disallowed parent costs:                  $500,000</w:t>
      </w:r>
    </w:p>
    <w:p>
      <w:pPr>
        <w:shd w:fill="F0F0F0"/>
        <w:spacing w:after="0" w:line="240" w:lineRule="auto"/>
      </w:pPr>
      <w:r>
        <w:rPr>
          <w:rFonts w:ascii="Courier New" w:hAnsi="Courier New"/>
          <w:sz w:val="20"/>
        </w:rPr>
        <w:t>- Additional taxable income:                $500,000</w:t>
      </w:r>
    </w:p>
    <w:p>
      <w:pPr>
        <w:shd w:fill="F0F0F0"/>
        <w:spacing w:after="0" w:line="240" w:lineRule="auto"/>
      </w:pPr>
      <w:r>
        <w:rPr>
          <w:rFonts w:ascii="Courier New" w:hAnsi="Courier New"/>
          <w:sz w:val="20"/>
        </w:rPr>
        <w:t>- Norwegian tax (78%):                      $390,000</w:t>
      </w:r>
    </w:p>
    <w:p>
      <w:pPr>
        <w:shd w:fill="F0F0F0"/>
        <w:spacing w:after="0" w:line="240" w:lineRule="auto"/>
      </w:pPr>
      <w:r>
        <w:rPr>
          <w:rFonts w:ascii="Courier New" w:hAnsi="Courier New"/>
          <w:sz w:val="20"/>
        </w:rPr>
        <w:t>- Penalties (20%):                          $78,000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Norwegian Tax Position:</w:t>
      </w:r>
    </w:p>
    <w:p>
      <w:pPr>
        <w:shd w:fill="F0F0F0"/>
        <w:spacing w:after="0" w:line="240" w:lineRule="auto"/>
      </w:pPr>
      <w:r>
        <w:rPr>
          <w:rFonts w:ascii="Courier New" w:hAnsi="Courier New"/>
          <w:sz w:val="20"/>
        </w:rPr>
        <w:t>- Tax reduction (overhead):                 ($936,000)</w:t>
      </w:r>
    </w:p>
    <w:p>
      <w:pPr>
        <w:shd w:fill="F0F0F0"/>
        <w:spacing w:after="0" w:line="240" w:lineRule="auto"/>
      </w:pPr>
      <w:r>
        <w:rPr>
          <w:rFonts w:ascii="Courier New" w:hAnsi="Courier New"/>
          <w:sz w:val="20"/>
        </w:rPr>
        <w:t>- Tax increase (parent services):           $390,000</w:t>
      </w:r>
    </w:p>
    <w:p>
      <w:pPr>
        <w:shd w:fill="F0F0F0"/>
        <w:spacing w:after="0" w:line="240" w:lineRule="auto"/>
      </w:pPr>
      <w:r>
        <w:rPr>
          <w:rFonts w:ascii="Courier New" w:hAnsi="Courier New"/>
          <w:sz w:val="20"/>
        </w:rPr>
        <w:t>- Penalties:                                $78,000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NET TAX REFUND:                             ($468,000)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Liability (with penalties):           ($390,000) refund</w:t>
      </w:r>
    </w:p>
    <w:p/>
    <w:p>
      <w:r>
        <w:rPr>
          <w:b/>
        </w:rPr>
        <w:t>Norway Tax Authority - Net Impact:</w:t>
      </w:r>
    </w:p>
    <w:p>
      <w:pPr>
        <w:shd w:fill="F0F0F0"/>
        <w:spacing w:after="0" w:line="240" w:lineRule="auto"/>
      </w:pPr>
      <w:r>
        <w:rPr>
          <w:rFonts w:ascii="Courier New" w:hAnsi="Courier New"/>
          <w:sz w:val="20"/>
        </w:rPr>
        <w:t>NorwegianOil additional tax:                $1,647,360</w:t>
      </w:r>
    </w:p>
    <w:p>
      <w:pPr>
        <w:shd w:fill="F0F0F0"/>
        <w:spacing w:after="0" w:line="240" w:lineRule="auto"/>
      </w:pPr>
      <w:r>
        <w:rPr>
          <w:rFonts w:ascii="Courier New" w:hAnsi="Courier New"/>
          <w:sz w:val="20"/>
        </w:rPr>
        <w:t>UKEnergy tax refund:                        ($1,076,400)</w:t>
      </w:r>
    </w:p>
    <w:p>
      <w:pPr>
        <w:shd w:fill="F0F0F0"/>
        <w:spacing w:after="0" w:line="240" w:lineRule="auto"/>
      </w:pPr>
      <w:r>
        <w:rPr>
          <w:rFonts w:ascii="Courier New" w:hAnsi="Courier New"/>
          <w:sz w:val="20"/>
        </w:rPr>
        <w:t>DutchGas tax refund:                        ($390,000)</w:t>
      </w:r>
    </w:p>
    <w:p>
      <w:pPr>
        <w:shd w:fill="F0F0F0"/>
        <w:spacing w:after="0" w:line="240" w:lineRule="auto"/>
      </w:pPr>
      <w:r>
        <w:rPr>
          <w:rFonts w:ascii="Courier New" w:hAnsi="Courier New"/>
          <w:sz w:val="20"/>
        </w:rPr>
        <w:t xml:space="preserve">                                           ________________</w:t>
      </w:r>
    </w:p>
    <w:p>
      <w:pPr>
        <w:shd w:fill="F0F0F0"/>
        <w:spacing w:after="0" w:line="240" w:lineRule="auto"/>
      </w:pPr>
      <w:r>
        <w:rPr>
          <w:rFonts w:ascii="Courier New" w:hAnsi="Courier New"/>
          <w:sz w:val="20"/>
        </w:rPr>
        <w:t>NET ADDITIONAL TAX REVENUE:                 $180,960</w:t>
      </w:r>
    </w:p>
    <w:p/>
    <w:p>
      <w:r>
        <w:rPr>
          <w:b/>
        </w:rPr>
        <w:t>Recommendations:</w:t>
      </w:r>
    </w:p>
    <w:p>
      <w:pPr>
        <w:pStyle w:val="ListNumber"/>
      </w:pPr>
      <w:r>
        <w:rPr>
          <w:b/>
        </w:rPr>
        <w:t>NorwegianOil:</w:t>
      </w:r>
    </w:p>
    <w:p>
      <w:pPr>
        <w:pStyle w:val="ListBullet"/>
        <w:ind w:left="360"/>
      </w:pPr>
      <w:r>
        <w:t>Reduce overhead allocation to 11% (arm's length rate)</w:t>
      </w:r>
    </w:p>
    <w:p>
      <w:pPr>
        <w:pStyle w:val="ListBullet"/>
        <w:ind w:left="360"/>
      </w:pPr>
      <w:r>
        <w:t>Conduct benchmarking study to support rate</w:t>
      </w:r>
    </w:p>
    <w:p>
      <w:pPr>
        <w:pStyle w:val="ListBullet"/>
        <w:ind w:left="360"/>
      </w:pPr>
      <w:r>
        <w:t>File amended return and pay additional tax to avoid penalties</w:t>
      </w:r>
    </w:p>
    <w:p>
      <w:pPr>
        <w:pStyle w:val="ListNumber"/>
      </w:pPr>
      <w:r>
        <w:rPr>
          <w:b/>
        </w:rPr>
        <w:t>UKEnergy:</w:t>
      </w:r>
    </w:p>
    <w:p>
      <w:pPr>
        <w:pStyle w:val="ListBullet"/>
        <w:ind w:left="360"/>
      </w:pPr>
      <w:r>
        <w:t>Charge arm's length fee for seconded engineers (cost + 15%)</w:t>
      </w:r>
    </w:p>
    <w:p>
      <w:pPr>
        <w:pStyle w:val="ListBullet"/>
        <w:ind w:left="360"/>
      </w:pPr>
      <w:r>
        <w:t>Document services provided and benchmarking</w:t>
      </w:r>
    </w:p>
    <w:p>
      <w:pPr>
        <w:pStyle w:val="ListBullet"/>
        <w:ind w:left="360"/>
      </w:pPr>
      <w:r>
        <w:t>Request corresponding adjustment from Norway tax authority for overhead reduction</w:t>
      </w:r>
    </w:p>
    <w:p>
      <w:pPr>
        <w:pStyle w:val="ListNumber"/>
      </w:pPr>
      <w:r>
        <w:rPr>
          <w:b/>
        </w:rPr>
        <w:t>DutchGas:</w:t>
      </w:r>
    </w:p>
    <w:p>
      <w:pPr>
        <w:pStyle w:val="ListBullet"/>
        <w:ind w:left="360"/>
      </w:pPr>
      <w:r>
        <w:t>Review parent service allocation and eliminate shareholder activities</w:t>
      </w:r>
    </w:p>
    <w:p>
      <w:pPr>
        <w:pStyle w:val="ListBullet"/>
        <w:ind w:left="360"/>
      </w:pPr>
      <w:r>
        <w:t>Prepare detailed documentation of beneficial services</w:t>
      </w:r>
    </w:p>
    <w:p>
      <w:pPr>
        <w:pStyle w:val="ListBullet"/>
        <w:ind w:left="360"/>
      </w:pPr>
      <w:r>
        <w:t>Request corresponding adjustment for overhead reduction</w:t>
      </w:r>
    </w:p>
    <w:p>
      <w:pPr>
        <w:pStyle w:val="ListNumber"/>
      </w:pPr>
      <w:r>
        <w:rPr>
          <w:b/>
        </w:rPr>
        <w:t>All Participants:</w:t>
      </w:r>
    </w:p>
    <w:p>
      <w:pPr>
        <w:pStyle w:val="ListBullet"/>
        <w:ind w:left="360"/>
      </w:pPr>
      <w:r>
        <w:t>Consider Advance Pricing Agreement (APA) with Norway tax authority</w:t>
      </w:r>
    </w:p>
    <w:p>
      <w:pPr>
        <w:pStyle w:val="ListBullet"/>
        <w:ind w:left="360"/>
      </w:pPr>
      <w:r>
        <w:t>Establish clear transfer pricing policies for JOA cost allocations</w:t>
      </w:r>
    </w:p>
    <w:p>
      <w:pPr>
        <w:pStyle w:val="ListBullet"/>
        <w:ind w:left="360"/>
      </w:pPr>
      <w:r>
        <w:t>Annual benchmarking review to ensure continued arm's length compliance</w:t>
      </w:r>
    </w:p>
    <w:p>
      <w:pPr>
        <w:spacing w:before="120" w:after="120"/>
        <w:pBdr>
          <w:bottom w:val="single" w:sz="6" w:space="1" w:color="auto"/>
        </w:pBdr>
      </w:pPr>
    </w:p>
    <w:p>
      <w:pPr>
        <w:pStyle w:val="Heading2"/>
      </w:pPr>
      <w:r>
        <w:t>6. Recent Developments and Emerging Issues</w:t>
      </w:r>
    </w:p>
    <w:p>
      <w:pPr>
        <w:pStyle w:val="Heading3"/>
      </w:pPr>
      <w:r>
        <w:t>6.1 OECD Pillar Two and Operating Companies</w:t>
      </w:r>
    </w:p>
    <w:p>
      <w:r>
        <w:rPr>
          <w:b/>
        </w:rPr>
        <w:t>Global Minimum Tax (15%):</w:t>
      </w:r>
    </w:p>
    <w:p>
      <w:r>
        <w:t>The OECD/G20 BEPS 2.0 Pillar Two framework establishes a global minimum corporate tax rate of 15% for multinational enterprises (MNEs) with consolidated revenues exceeding EUR 750 million. The framework was agreed in October 2021 and implementation began in 2024 in early-adopting jurisdictions.</w:t>
      </w:r>
    </w:p>
    <w:p>
      <w:r>
        <w:rPr>
          <w:b/>
        </w:rPr>
        <w:t>Operating company PE implications:</w:t>
      </w:r>
    </w:p>
    <w:p>
      <w:pPr>
        <w:pStyle w:val="ListBullet"/>
      </w:pPr>
      <w:r>
        <w:rPr>
          <w:b/>
        </w:rPr>
        <w:t>High-tax jurisdictions:</w:t>
      </w:r>
      <w:r>
        <w:t xml:space="preserve"> Operating companies with PEs in high-tax petroleum jurisdictions (e.g., Norway at 78% effective rate) significantly exceed the 15% minimum and face no Pillar Two top-up tax exposure</w:t>
      </w:r>
    </w:p>
    <w:p>
      <w:pPr>
        <w:pStyle w:val="ListBullet"/>
      </w:pPr>
      <w:r>
        <w:rPr>
          <w:b/>
        </w:rPr>
        <w:t>Low-tax jurisdictions:</w:t>
      </w:r>
      <w:r>
        <w:t xml:space="preserve"> Operating companies with PEs in jurisdictions with effective tax rates below 15% may trigger top-up tax under the </w:t>
      </w:r>
      <w:r>
        <w:rPr>
          <w:b/>
        </w:rPr>
        <w:t>Income Inclusion Rule (IIR)</w:t>
      </w:r>
      <w:r>
        <w:t>, payable by the ultimate parent company</w:t>
      </w:r>
    </w:p>
    <w:p>
      <w:pPr>
        <w:pStyle w:val="ListBullet"/>
      </w:pPr>
      <w:r>
        <w:rPr>
          <w:b/>
        </w:rPr>
        <w:t>Qualified Domestic Minimum Top-up Tax (QDMTT):</w:t>
      </w:r>
      <w:r>
        <w:t xml:space="preserve"> Some source states have enacted QDMTTs to collect the top-up tax domestically rather than allowing residence states to collect it under the IIR</w:t>
      </w:r>
    </w:p>
    <w:p>
      <w:r>
        <w:rPr>
          <w:b/>
        </w:rPr>
        <w:t>Example:</w:t>
      </w:r>
      <w:r>
        <w:t xml:space="preserve"> UK operating company PE in jurisdiction with 10% effective rate:</w:t>
      </w:r>
    </w:p>
    <w:p>
      <w:pPr>
        <w:pStyle w:val="ListBullet"/>
      </w:pPr>
      <w:r>
        <w:t>Top-up tax calculation: (15% minimum rate - 10% effective rate) × PE profits = 5% additional tax</w:t>
      </w:r>
    </w:p>
    <w:p>
      <w:pPr>
        <w:pStyle w:val="ListBullet"/>
      </w:pPr>
      <w:r>
        <w:t>Payable by ultimate parent under IIR (unless source state has enacted QDMTT to collect the top-up tax locally)</w:t>
      </w:r>
    </w:p>
    <w:p>
      <w:pPr>
        <w:pStyle w:val="Heading3"/>
      </w:pPr>
      <w:r>
        <w:t>6.2 Energy Transition and Decommissioning</w:t>
      </w:r>
    </w:p>
    <w:p>
      <w:r>
        <w:rPr>
          <w:b/>
        </w:rPr>
        <w:t>Increased Focus on Abandonment Costs:</w:t>
      </w:r>
    </w:p>
    <w:p>
      <w:r>
        <w:t>As North Sea and other mature petroleum provinces reach end-of-life, operators face significant decommissioning obligations to abandon platforms, plug wells, and restore seabed conditions. These costs can exceed original development expenditures for mature fields.</w:t>
      </w:r>
    </w:p>
    <w:p>
      <w:r>
        <w:rPr>
          <w:b/>
        </w:rPr>
        <w:t>Tax treatment of decommissioning:</w:t>
      </w:r>
      <w:r>
        <w:t xml:space="preserve"> Many jurisdictions provide tax relief for abandonment costs to ensure operators fulfill their obligations:</w:t>
      </w:r>
    </w:p>
    <w:p>
      <w:pPr>
        <w:pStyle w:val="ListBullet"/>
      </w:pPr>
      <w:r>
        <w:rPr>
          <w:b/>
        </w:rPr>
        <w:t>United Kingdom:</w:t>
      </w:r>
      <w:r>
        <w:t xml:space="preserve"> Under the ring-fence regime, decommissioning expenditures qualify for tax relief at the combined marginal rate (currently 75%), providing significant cash benefit to offset abandonment costs. The UK government also operates a Decommissioning Relief Deed (DRD) scheme guaranteeing tax relief certainty for operators.</w:t>
      </w:r>
    </w:p>
    <w:p>
      <w:pPr>
        <w:pStyle w:val="ListBullet"/>
      </w:pPr>
      <w:r>
        <w:rPr>
          <w:b/>
        </w:rPr>
        <w:t>Norway:</w:t>
      </w:r>
      <w:r>
        <w:t xml:space="preserve"> Decommissioning costs are fully deductible against petroleum income at the 78% marginal tax rate, effectively providing Norwegian government co-funding of 78% of abandonment costs.</w:t>
      </w:r>
    </w:p>
    <w:p>
      <w:r>
        <w:rPr>
          <w:b/>
        </w:rPr>
        <w:t>PE Profit Attribution:</w:t>
      </w:r>
    </w:p>
    <w:p>
      <w:pPr>
        <w:pStyle w:val="ListBullet"/>
      </w:pPr>
      <w:r>
        <w:t>Decommissioning provisions and actual abandonment expenditures must be attributed to the PE where the assets being decommissioned are located</w:t>
      </w:r>
    </w:p>
    <w:p>
      <w:pPr>
        <w:pStyle w:val="ListBullet"/>
      </w:pPr>
      <w:r>
        <w:t>Transfer of late-life fields: Tax attributes (accumulated losses, decommissioning provisions, deferred tax balances) may transfer to the acquirer or crystallize upon sale, depending on jurisdiction-specific rules and transaction structure</w:t>
      </w:r>
    </w:p>
    <w:p>
      <w:pPr>
        <w:pStyle w:val="Heading3"/>
      </w:pPr>
      <w:r>
        <w:t>6.3 Digitalization and Remote Operations</w:t>
      </w:r>
    </w:p>
    <w:p>
      <w:r>
        <w:rPr>
          <w:b/>
        </w:rPr>
        <w:t>Remote Operating Centers:</w:t>
      </w:r>
    </w:p>
    <w:p>
      <w:r>
        <w:t>A notable trend in the petroleum industry involves centralized operations centers controlling multiple offshore fields remotely from single onshore locations (e.g., Houston, Aberdeen, Stavanger). Advanced digital technologies, sensors, and automated systems enable real-time monitoring and control of production operations with minimal on-site personnel.</w:t>
      </w:r>
    </w:p>
    <w:p>
      <w:r>
        <w:rPr>
          <w:b/>
        </w:rPr>
        <w:t>PE Implications:</w:t>
      </w:r>
    </w:p>
    <w:p>
      <w:r>
        <w:t>The question arises: if actual operational decisions and control functions are performed remotely from the residence state, does a PE still exist at the offshore field location where physical extraction occurs?</w:t>
      </w:r>
    </w:p>
    <w:p>
      <w:r>
        <w:rPr>
          <w:b/>
        </w:rPr>
        <w:t>Conclusion:</w:t>
      </w:r>
    </w:p>
    <w:p>
      <w:r>
        <w:t>OECD Model Tax Convention Commentary confirms that an extraction PE under Article 5(2)(f) exists based on the physical location of extraction activities and assets, regardless of where operational control or decision-making occurs. The PE is determined by where the well, mine, or extraction site is physically located, not by where personnel controlling the operations are based. Remote operations may, however, affect profit attribution under the AOA by influencing where significant people functions are performed.</w:t>
      </w:r>
    </w:p>
    <w:p>
      <w:pPr>
        <w:pStyle w:val="Heading3"/>
      </w:pPr>
      <w:r>
        <w:t>6.4 Carbon Capture and Storage (CCS) Operations</w:t>
      </w:r>
    </w:p>
    <w:p>
      <w:r>
        <w:rPr>
          <w:b/>
        </w:rPr>
        <w:t>New Operating Models:</w:t>
      </w:r>
    </w:p>
    <w:p>
      <w:r>
        <w:t xml:space="preserve">As the energy industry transitions toward lower-carbon operations, </w:t>
      </w:r>
      <w:r>
        <w:rPr>
          <w:b/>
        </w:rPr>
        <w:t>Carbon Capture and Storage (CCS)</w:t>
      </w:r>
      <w:r>
        <w:t xml:space="preserve"> projects are emerging as a significant business activity. CCS involves capturing carbon dioxide (CO₂) from industrial sources or the atmosphere and injecting it into geological formations for permanent storage, often utilizing depleted oil and gas fields or deep saline aquifers.</w:t>
      </w:r>
    </w:p>
    <w:p>
      <w:r>
        <w:t>Operating companies traditionally focused on petroleum extraction are increasingly transitioning facilities from production to CO₂ storage operations, leveraging existing infrastructure, subsurface expertise, and regulatory licenses.</w:t>
      </w:r>
    </w:p>
    <w:p>
      <w:r>
        <w:rPr>
          <w:b/>
        </w:rPr>
        <w:t>PE Treatment:</w:t>
      </w:r>
    </w:p>
    <w:p>
      <w:r>
        <w:t>The tax treatment of CCS operations raises novel permanent establishment questions. Storage facilities, injection wells, and monitoring infrastructure likely constitute fixed places of business under Article 5(1) of the OECD Model Tax Convention. Whether CCS operations constitute extraction activities under Article 5(2)(f) is uncertain, as they involve injection rather than extraction. Most jurisdictions would likely classify CCS operating facilities as creating PE under the general fixed place of business test.</w:t>
      </w:r>
    </w:p>
    <w:p>
      <w:r>
        <w:rPr>
          <w:b/>
        </w:rPr>
        <w:t>Fiscal Regime Uncertainty:</w:t>
      </w:r>
    </w:p>
    <w:p>
      <w:r>
        <w:t>Tax treatment of CCS operations remains unclear in many jurisdictions. Key uncertainties include:</w:t>
      </w:r>
    </w:p>
    <w:p>
      <w:pPr>
        <w:pStyle w:val="ListBullet"/>
      </w:pPr>
      <w:r>
        <w:t>Whether CCS revenues (storage fees, carbon credits) are subject to petroleum-specific tax regimes or general corporate tax</w:t>
      </w:r>
    </w:p>
    <w:p>
      <w:pPr>
        <w:pStyle w:val="ListBullet"/>
      </w:pPr>
      <w:r>
        <w:t>Deductibility of CCS capital expenditures against petroleum production income under ring-fence rules</w:t>
      </w:r>
    </w:p>
    <w:p>
      <w:pPr>
        <w:pStyle w:val="ListBullet"/>
      </w:pPr>
      <w:r>
        <w:t>Application of existing tax incentives and allowances to CCS projects</w:t>
      </w:r>
    </w:p>
    <w:p>
      <w:pPr>
        <w:pStyle w:val="ListBullet"/>
      </w:pPr>
      <w:r>
        <w:t>Cross-border attribution of profits when CO₂ is captured in one jurisdiction and stored in another</w:t>
      </w:r>
    </w:p>
    <w:p>
      <w:pPr>
        <w:spacing w:before="120" w:after="120"/>
        <w:pBdr>
          <w:bottom w:val="single" w:sz="6" w:space="1" w:color="auto"/>
        </w:pBdr>
      </w:pPr>
    </w:p>
    <w:p>
      <w:pPr>
        <w:pStyle w:val="Heading2"/>
      </w:pPr>
      <w:r>
        <w:t>7. Key Examination Points and Best Practices</w:t>
      </w:r>
    </w:p>
    <w:p>
      <w:pPr>
        <w:pStyle w:val="Heading3"/>
      </w:pPr>
      <w:r>
        <w:t>7.1 Critical Concepts for ADIT Candidates</w:t>
      </w:r>
    </w:p>
    <w:p>
      <w:pPr>
        <w:pStyle w:val="ListNumber"/>
      </w:pPr>
      <w:r>
        <w:rPr>
          <w:b/>
        </w:rPr>
        <w:t>Operating companies almost always have PE</w:t>
      </w:r>
      <w:r>
        <w:t xml:space="preserve"> under Article 5(2)(f) - no exceptions for extractive operations</w:t>
      </w:r>
    </w:p>
    <w:p>
      <w:pPr>
        <w:pStyle w:val="ListNumber"/>
      </w:pPr>
      <w:r>
        <w:rPr>
          <w:b/>
        </w:rPr>
        <w:t>Operator vs. non-operator distinction</w:t>
      </w:r>
      <w:r>
        <w:t xml:space="preserve"> drives PE exposure (operators have extensive physical presence)</w:t>
      </w:r>
    </w:p>
    <w:p>
      <w:pPr>
        <w:pStyle w:val="ListNumber"/>
      </w:pPr>
      <w:r>
        <w:rPr>
          <w:b/>
        </w:rPr>
        <w:t>JOA participants deemed to have PE</w:t>
      </w:r>
      <w:r>
        <w:t xml:space="preserve"> through joint ownership of production facilities</w:t>
      </w:r>
    </w:p>
    <w:p>
      <w:pPr>
        <w:pStyle w:val="ListNumber"/>
      </w:pPr>
      <w:r>
        <w:rPr>
          <w:b/>
        </w:rPr>
        <w:t>Profit attribution under AOA</w:t>
      </w:r>
      <w:r>
        <w:t xml:space="preserve"> requires functional analysis and arm's length principle</w:t>
      </w:r>
    </w:p>
    <w:p>
      <w:pPr>
        <w:pStyle w:val="ListNumber"/>
      </w:pPr>
      <w:r>
        <w:rPr>
          <w:b/>
        </w:rPr>
        <w:t>Operator fees must be benchmarked</w:t>
      </w:r>
      <w:r>
        <w:t xml:space="preserve"> - typical range 8-15% of operating costs depending on complexity</w:t>
      </w:r>
    </w:p>
    <w:p>
      <w:pPr>
        <w:pStyle w:val="ListNumber"/>
      </w:pPr>
      <w:r>
        <w:rPr>
          <w:b/>
        </w:rPr>
        <w:t>Head office cost allocations</w:t>
      </w:r>
      <w:r>
        <w:t xml:space="preserve"> frequently challenged - require robust documentation</w:t>
      </w:r>
    </w:p>
    <w:p>
      <w:pPr>
        <w:pStyle w:val="ListNumber"/>
      </w:pPr>
      <w:r>
        <w:rPr>
          <w:b/>
        </w:rPr>
        <w:t>Seconded personnel create PE risks</w:t>
      </w:r>
      <w:r>
        <w:t xml:space="preserve"> and require arm's length compensation</w:t>
      </w:r>
    </w:p>
    <w:p>
      <w:pPr>
        <w:pStyle w:val="ListNumber"/>
      </w:pPr>
      <w:r>
        <w:rPr>
          <w:b/>
        </w:rPr>
        <w:t>Branch vs. subsidiary choice</w:t>
      </w:r>
      <w:r>
        <w:t xml:space="preserve"> depends on liability, tax, and commercial considerations</w:t>
      </w:r>
    </w:p>
    <w:p>
      <w:pPr>
        <w:pStyle w:val="Heading3"/>
      </w:pPr>
      <w:r>
        <w:t>7.2 Examination Techniques</w:t>
      </w:r>
    </w:p>
    <w:p>
      <w:r>
        <w:rPr>
          <w:b/>
        </w:rPr>
        <w:t>PE Determination Questions:</w:t>
      </w:r>
    </w:p>
    <w:p>
      <w:pPr>
        <w:pStyle w:val="ListBullet"/>
      </w:pPr>
      <w:r>
        <w:t>Systematically apply Article 5 analysis (fixed place, construction, service, agency)</w:t>
      </w:r>
    </w:p>
    <w:p>
      <w:pPr>
        <w:pStyle w:val="ListBullet"/>
      </w:pPr>
      <w:r>
        <w:t>Always note Article 5(2)(f) explicit inclusion for oil/gas operations</w:t>
      </w:r>
    </w:p>
    <w:p>
      <w:pPr>
        <w:pStyle w:val="ListBullet"/>
      </w:pPr>
      <w:r>
        <w:t>Consider treaty variations (OECD vs. UN Model, time thresholds)</w:t>
      </w:r>
    </w:p>
    <w:p>
      <w:r>
        <w:rPr>
          <w:b/>
        </w:rPr>
        <w:t>Profit Attribution Calculations:</w:t>
      </w:r>
    </w:p>
    <w:p>
      <w:pPr>
        <w:pStyle w:val="ListBullet"/>
      </w:pPr>
      <w:r>
        <w:t>Use structured approach: Revenue → Direct Costs → Depreciation → Allocated Costs → Taxable Income</w:t>
      </w:r>
    </w:p>
    <w:p>
      <w:pPr>
        <w:pStyle w:val="ListBullet"/>
      </w:pPr>
      <w:r>
        <w:t>Show adjustments clearly (transfer pricing, ring-fencing, disallowed costs)</w:t>
      </w:r>
    </w:p>
    <w:p>
      <w:pPr>
        <w:pStyle w:val="ListBullet"/>
      </w:pPr>
      <w:r>
        <w:t>Calculate effective tax rate as validation check</w:t>
      </w:r>
    </w:p>
    <w:p>
      <w:r>
        <w:rPr>
          <w:b/>
        </w:rPr>
        <w:t>Transfer Pricing Analysis:</w:t>
      </w:r>
    </w:p>
    <w:p>
      <w:pPr>
        <w:pStyle w:val="ListBullet"/>
      </w:pPr>
      <w:r>
        <w:t>Identify related-party transactions (operator fees, secondments, head office allocations)</w:t>
      </w:r>
    </w:p>
    <w:p>
      <w:pPr>
        <w:pStyle w:val="ListBullet"/>
      </w:pPr>
      <w:r>
        <w:t>Select appropriate method (typically cost plus for services)</w:t>
      </w:r>
    </w:p>
    <w:p>
      <w:pPr>
        <w:pStyle w:val="ListBullet"/>
      </w:pPr>
      <w:r>
        <w:t>Benchmark using comparables and justify adjustments</w:t>
      </w:r>
    </w:p>
    <w:p>
      <w:pPr>
        <w:pStyle w:val="ListBullet"/>
      </w:pPr>
      <w:r>
        <w:t>Document arm's length conclusion</w:t>
      </w:r>
    </w:p>
    <w:p>
      <w:pPr>
        <w:spacing w:before="120" w:after="120"/>
        <w:pBdr>
          <w:bottom w:val="single" w:sz="6" w:space="1" w:color="auto"/>
        </w:pBdr>
      </w:pPr>
    </w:p>
    <w:p>
      <w:r>
        <w:rPr>
          <w:b/>
        </w:rPr>
        <w:t>End of Study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