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Treaties in Energy Resources</w:t>
      </w:r>
    </w:p>
    <w:p>
      <w:pPr>
        <w:pStyle w:val="Heading2"/>
      </w:pPr>
      <w:r>
        <w:t>1. Core Framework and Statutory Basis</w:t>
      </w:r>
    </w:p>
    <w:p>
      <w:pPr/>
      <w:r>
        <w:rPr>
          <w:b/>
        </w:rPr>
        <w:t>Tax treaties</w:t>
      </w:r>
      <w:r>
        <w:t xml:space="preserve">, formally termed </w:t>
      </w:r>
      <w:r>
        <w:rPr>
          <w:b/>
        </w:rPr>
        <w:t>double tax agreements (DTAs)</w:t>
      </w:r>
      <w:r>
        <w:t xml:space="preserve"> or </w:t>
      </w:r>
      <w:r>
        <w:rPr>
          <w:b/>
        </w:rPr>
        <w:t>double tax conventions (DTCs)</w:t>
      </w:r>
      <w:r>
        <w:t>, are bilateral or multilateral agreements governing allocation of taxing rights between jurisdictions. For the energy resources sector, treaties are critical instruments affecting investment returns, permanent establishment exposure, and cross-border payment taxation.</w:t>
      </w:r>
    </w:p>
    <w:p>
      <w:pPr>
        <w:pStyle w:val="Heading3"/>
      </w:pPr>
      <w:r>
        <w:t>1.1 Treaty Models and Hierarchy</w:t>
      </w:r>
    </w:p>
    <w:p>
      <w:pPr/>
      <w:r>
        <w:t>The principal treaty models are:</w:t>
      </w:r>
    </w:p>
    <w:p>
      <w:pPr/>
      <w:r>
        <w:rPr>
          <w:b/>
        </w:rPr>
        <w:t>OECD Model Tax Convention on Income and Capital</w:t>
      </w:r>
      <w:r>
        <w:t xml:space="preserve"> (2017 edition, regularly updated with Commentaries): Reflects developed country consensus favoring residence-based taxation. Adopted primarily by capital-exporting countries. The 2017 edition incorporated tax treaty-related measures from the OECD/G20 Base Erosion and Profit Shifting (BEPS) Project. Commentary updates continue to be issued (most recently in 2024 for Article 26 on Exchange of Information). Over 3,000 bilateral treaties worldwide are based on OECD or UN Models.</w:t>
      </w:r>
    </w:p>
    <w:p>
      <w:pPr/>
      <w:r>
        <w:rPr>
          <w:b/>
        </w:rPr>
        <w:t>UN Model Double Taxation Convention between Developed and Developing Countries</w:t>
      </w:r>
      <w:r>
        <w:t xml:space="preserve"> (2021 edition): Provides greater source-country taxing rights. Favored by resource-rich developing countries. Includes lower permanent establishment (PE) thresholds, higher withholding rates, and broader service articles. The 2021 edition is the fifth edition, addressing concerns about taxation of automated digital services and offshore indirect transfers.</w:t>
      </w:r>
    </w:p>
    <w:p>
      <w:pPr/>
      <w:r>
        <w:rPr>
          <w:b/>
        </w:rPr>
        <w:t>US Model Income Tax Convention</w:t>
      </w:r>
      <w:r>
        <w:t xml:space="preserve"> (2016): Similar to OECD Model but includes </w:t>
      </w:r>
      <w:r>
        <w:rPr>
          <w:b/>
        </w:rPr>
        <w:t>Limitation on Benefits (LOB)</w:t>
      </w:r>
      <w:r>
        <w:t xml:space="preserve"> provisions, "savings clause" preserving US taxation of citizens/residents, and specific anti-treaty shopping rules. Released by the US Department of Treasury on February 17, 2016, updating the previous 2006 version.</w:t>
      </w:r>
    </w:p>
    <w:p>
      <w:pPr/>
      <w:r>
        <w:rPr>
          <w:b/>
        </w:rPr>
        <w:t>Multilateral Instrument (MLI)</w:t>
      </w:r>
      <w:r>
        <w:t xml:space="preserve"> (OECD BEPS, 2017): The Multilateral Convention to Implement Tax Treaty Related Measures to Prevent Base Erosion and Profit Shifting (MLI) allows simultaneous modification of multiple bilateral treaties. Signed on June 7, 2017, with over 104 jurisdictions participating as of January 2025. Implements BEPS minimum standards including Principal Purpose Test (PPT), treaty abuse prevention, and dispute resolution improvements.</w:t>
      </w:r>
    </w:p>
    <w:p>
      <w:pPr>
        <w:pStyle w:val="Heading3"/>
      </w:pPr>
      <w:r>
        <w:t>1.2 Legal Hierarchy and Application</w:t>
      </w:r>
    </w:p>
    <w:p>
      <w:pPr/>
      <w:r>
        <w:rPr>
          <w:b/>
        </w:rPr>
        <w:t>Constitutional Status</w:t>
      </w:r>
      <w:r>
        <w:t>: Treaties typically override domestic law in most jurisdictions (monist systems). Some jurisdictions require domestic legislation to implement treaties (dualist systems, e.g., United Kingdom).</w:t>
      </w:r>
    </w:p>
    <w:p>
      <w:pPr/>
      <w:r>
        <w:rPr>
          <w:b/>
        </w:rPr>
        <w:t>Interpretation</w:t>
      </w:r>
      <w:r>
        <w:t>: Vienna Convention on the Law of Treaties (concluded May 23, 1969, entered into force January 27, 1980) provides interpretation framework:</w:t>
      </w:r>
    </w:p>
    <w:p>
      <w:pPr>
        <w:pStyle w:val="ListBullet"/>
      </w:pPr>
      <w:r>
        <w:t>Ordinary meaning in context</w:t>
      </w:r>
    </w:p>
    <w:p>
      <w:pPr>
        <w:pStyle w:val="ListBullet"/>
      </w:pPr>
      <w:r>
        <w:t>Object and purpose consideration</w:t>
      </w:r>
    </w:p>
    <w:p>
      <w:pPr>
        <w:pStyle w:val="ListBullet"/>
      </w:pPr>
      <w:r>
        <w:t>OECD/UN Commentaries as interpretative guidance (not binding but persuasive)</w:t>
      </w:r>
    </w:p>
    <w:p>
      <w:pPr>
        <w:pStyle w:val="ListBullet"/>
      </w:pPr>
      <w:r>
        <w:t>Domestic courts may differ on interpretation weight given to Commentaries</w:t>
      </w:r>
    </w:p>
    <w:p>
      <w:pPr/>
      <w:r>
        <w:rPr>
          <w:b/>
        </w:rPr>
        <w:t>Conflict Resolution</w:t>
      </w:r>
      <w:r>
        <w:t xml:space="preserve">: When treaty and domestic law conflict, </w:t>
      </w:r>
      <w:r>
        <w:rPr>
          <w:b/>
        </w:rPr>
        <w:t>more favorable</w:t>
      </w:r>
      <w:r>
        <w:t xml:space="preserve"> provision typically applies to taxpayer (though specifics depend on domestic constitutional law).</w:t>
      </w:r>
    </w:p>
    <w:p>
      <w:pPr>
        <w:pStyle w:val="Heading3"/>
      </w:pPr>
      <w:r>
        <w:t>1.3 Key Treaty Articles for Energy Sector</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Article</w:t>
            </w:r>
          </w:p>
        </w:tc>
        <w:tc>
          <w:tcPr>
            <w:tcW w:type="dxa" w:w="2880"/>
            <w:shd w:fill="D9E2F3"/>
          </w:tcPr>
          <w:p>
            <w:r>
              <w:rPr>
                <w:b/>
              </w:rPr>
              <w:t>Topic</w:t>
            </w:r>
          </w:p>
        </w:tc>
        <w:tc>
          <w:tcPr>
            <w:tcW w:type="dxa" w:w="2880"/>
            <w:shd w:fill="D9E2F3"/>
          </w:tcPr>
          <w:p>
            <w:r>
              <w:rPr>
                <w:b/>
              </w:rPr>
              <w:t>Energy Sector Relevance</w:t>
            </w:r>
          </w:p>
        </w:tc>
      </w:tr>
      <w:tr>
        <w:tc>
          <w:tcPr>
            <w:tcW w:type="dxa" w:w="2880"/>
          </w:tcPr>
          <w:p>
            <w:r>
              <w:t>**Art. 4**</w:t>
            </w:r>
          </w:p>
        </w:tc>
        <w:tc>
          <w:tcPr>
            <w:tcW w:type="dxa" w:w="2880"/>
          </w:tcPr>
          <w:p>
            <w:r>
              <w:t>Residence</w:t>
            </w:r>
          </w:p>
        </w:tc>
        <w:tc>
          <w:tcPr>
            <w:tcW w:type="dxa" w:w="2880"/>
          </w:tcPr>
          <w:p>
            <w:r>
              <w:t>Determines treaty eligibility; tie-breaker rules for dual residence</w:t>
            </w:r>
          </w:p>
        </w:tc>
      </w:tr>
      <w:tr>
        <w:tc>
          <w:tcPr>
            <w:tcW w:type="dxa" w:w="2880"/>
          </w:tcPr>
          <w:p>
            <w:r>
              <w:t>**Art. 5**</w:t>
            </w:r>
          </w:p>
        </w:tc>
        <w:tc>
          <w:tcPr>
            <w:tcW w:type="dxa" w:w="2880"/>
          </w:tcPr>
          <w:p>
            <w:r>
              <w:t>Permanent Establishment</w:t>
            </w:r>
          </w:p>
        </w:tc>
        <w:tc>
          <w:tcPr>
            <w:tcW w:type="dxa" w:w="2880"/>
          </w:tcPr>
          <w:p>
            <w:r>
              <w:t>Critical threshold - determines when source taxation of business profits permitted</w:t>
            </w:r>
          </w:p>
        </w:tc>
      </w:tr>
      <w:tr>
        <w:tc>
          <w:tcPr>
            <w:tcW w:type="dxa" w:w="2880"/>
          </w:tcPr>
          <w:p>
            <w:r>
              <w:t>**Art. 6**</w:t>
            </w:r>
          </w:p>
        </w:tc>
        <w:tc>
          <w:tcPr>
            <w:tcW w:type="dxa" w:w="2880"/>
          </w:tcPr>
          <w:p>
            <w:r>
              <w:t>Immovable Property</w:t>
            </w:r>
          </w:p>
        </w:tc>
        <w:tc>
          <w:tcPr>
            <w:tcW w:type="dxa" w:w="2880"/>
          </w:tcPr>
          <w:p>
            <w:r>
              <w:t>Petroleum/gas rights typically classified as immovable property - source taxation</w:t>
            </w:r>
          </w:p>
        </w:tc>
      </w:tr>
      <w:tr>
        <w:tc>
          <w:tcPr>
            <w:tcW w:type="dxa" w:w="2880"/>
          </w:tcPr>
          <w:p>
            <w:r>
              <w:t>**Art. 7**</w:t>
            </w:r>
          </w:p>
        </w:tc>
        <w:tc>
          <w:tcPr>
            <w:tcW w:type="dxa" w:w="2880"/>
          </w:tcPr>
          <w:p>
            <w:r>
              <w:t>Business Profits</w:t>
            </w:r>
          </w:p>
        </w:tc>
        <w:tc>
          <w:tcPr>
            <w:tcW w:type="dxa" w:w="2880"/>
          </w:tcPr>
          <w:p>
            <w:r>
              <w:t>General rule - taxable only in residence state unless PE exists</w:t>
            </w:r>
          </w:p>
        </w:tc>
      </w:tr>
      <w:tr>
        <w:tc>
          <w:tcPr>
            <w:tcW w:type="dxa" w:w="2880"/>
          </w:tcPr>
          <w:p>
            <w:r>
              <w:t>**Art. 10**</w:t>
            </w:r>
          </w:p>
        </w:tc>
        <w:tc>
          <w:tcPr>
            <w:tcW w:type="dxa" w:w="2880"/>
          </w:tcPr>
          <w:p>
            <w:r>
              <w:t>Dividends</w:t>
            </w:r>
          </w:p>
        </w:tc>
        <w:tc>
          <w:tcPr>
            <w:tcW w:type="dxa" w:w="2880"/>
          </w:tcPr>
          <w:p>
            <w:r>
              <w:t>Withholding tax rates (typically 5-15% based on holding percentage)</w:t>
            </w:r>
          </w:p>
        </w:tc>
      </w:tr>
      <w:tr>
        <w:tc>
          <w:tcPr>
            <w:tcW w:type="dxa" w:w="2880"/>
          </w:tcPr>
          <w:p>
            <w:r>
              <w:t>**Art. 11**</w:t>
            </w:r>
          </w:p>
        </w:tc>
        <w:tc>
          <w:tcPr>
            <w:tcW w:type="dxa" w:w="2880"/>
          </w:tcPr>
          <w:p>
            <w:r>
              <w:t>Interest</w:t>
            </w:r>
          </w:p>
        </w:tc>
        <w:tc>
          <w:tcPr>
            <w:tcW w:type="dxa" w:w="2880"/>
          </w:tcPr>
          <w:p>
            <w:r>
              <w:t>Withholding tax rates (typically 0-10%)</w:t>
            </w:r>
          </w:p>
        </w:tc>
      </w:tr>
      <w:tr>
        <w:tc>
          <w:tcPr>
            <w:tcW w:type="dxa" w:w="2880"/>
          </w:tcPr>
          <w:p>
            <w:r>
              <w:t>**Art. 12**</w:t>
            </w:r>
          </w:p>
        </w:tc>
        <w:tc>
          <w:tcPr>
            <w:tcW w:type="dxa" w:w="2880"/>
          </w:tcPr>
          <w:p>
            <w:r>
              <w:t>Royalties</w:t>
            </w:r>
          </w:p>
        </w:tc>
        <w:tc>
          <w:tcPr>
            <w:tcW w:type="dxa" w:w="2880"/>
          </w:tcPr>
          <w:p>
            <w:r>
              <w:t>Withholding tax rates (0% OECD; 5-15% UN/bilateral)</w:t>
            </w:r>
          </w:p>
        </w:tc>
      </w:tr>
      <w:tr>
        <w:tc>
          <w:tcPr>
            <w:tcW w:type="dxa" w:w="2880"/>
          </w:tcPr>
          <w:p>
            <w:r>
              <w:t>**Art. 13**</w:t>
            </w:r>
          </w:p>
        </w:tc>
        <w:tc>
          <w:tcPr>
            <w:tcW w:type="dxa" w:w="2880"/>
          </w:tcPr>
          <w:p>
            <w:r>
              <w:t>Capital Gains</w:t>
            </w:r>
          </w:p>
        </w:tc>
        <w:tc>
          <w:tcPr>
            <w:tcW w:type="dxa" w:w="2880"/>
          </w:tcPr>
          <w:p>
            <w:r>
              <w:t>Immovable property and certain share sales - source taxation permitted</w:t>
            </w:r>
          </w:p>
        </w:tc>
      </w:tr>
      <w:tr>
        <w:tc>
          <w:tcPr>
            <w:tcW w:type="dxa" w:w="2880"/>
          </w:tcPr>
          <w:p>
            <w:r>
              <w:t>**Art. 14**</w:t>
            </w:r>
          </w:p>
        </w:tc>
        <w:tc>
          <w:tcPr>
            <w:tcW w:type="dxa" w:w="2880"/>
          </w:tcPr>
          <w:p>
            <w:r>
              <w:t>Independent Services</w:t>
            </w:r>
          </w:p>
        </w:tc>
        <w:tc>
          <w:tcPr>
            <w:tcW w:type="dxa" w:w="2880"/>
          </w:tcPr>
          <w:p>
            <w:r>
              <w:t>Deleted from OECD (2000); survives in many bilateral treaties</w:t>
            </w:r>
          </w:p>
        </w:tc>
      </w:tr>
      <w:tr>
        <w:tc>
          <w:tcPr>
            <w:tcW w:type="dxa" w:w="2880"/>
          </w:tcPr>
          <w:p>
            <w:r>
              <w:t>**Art. 21**</w:t>
            </w:r>
          </w:p>
        </w:tc>
        <w:tc>
          <w:tcPr>
            <w:tcW w:type="dxa" w:w="2880"/>
          </w:tcPr>
          <w:p>
            <w:r>
              <w:t>Other Income</w:t>
            </w:r>
          </w:p>
        </w:tc>
        <w:tc>
          <w:tcPr>
            <w:tcW w:type="dxa" w:w="2880"/>
          </w:tcPr>
          <w:p>
            <w:r>
              <w:t>Catch-all for income not covered by specific articles</w:t>
            </w:r>
          </w:p>
        </w:tc>
      </w:tr>
      <w:tr>
        <w:tc>
          <w:tcPr>
            <w:tcW w:type="dxa" w:w="2880"/>
          </w:tcPr>
          <w:p>
            <w:r>
              <w:t>**Art. 24**</w:t>
            </w:r>
          </w:p>
        </w:tc>
        <w:tc>
          <w:tcPr>
            <w:tcW w:type="dxa" w:w="2880"/>
          </w:tcPr>
          <w:p>
            <w:r>
              <w:t>Non-discrimination</w:t>
            </w:r>
          </w:p>
        </w:tc>
        <w:tc>
          <w:tcPr>
            <w:tcW w:type="dxa" w:w="2880"/>
          </w:tcPr>
          <w:p>
            <w:r>
              <w:t>Prevents discrimination based on nationality</w:t>
            </w:r>
          </w:p>
        </w:tc>
      </w:tr>
      <w:tr>
        <w:tc>
          <w:tcPr>
            <w:tcW w:type="dxa" w:w="2880"/>
          </w:tcPr>
          <w:p>
            <w:r>
              <w:t>**Art. 25**</w:t>
            </w:r>
          </w:p>
        </w:tc>
        <w:tc>
          <w:tcPr>
            <w:tcW w:type="dxa" w:w="2880"/>
          </w:tcPr>
          <w:p>
            <w:r>
              <w:t>Mutual Agreement Procedure</w:t>
            </w:r>
          </w:p>
        </w:tc>
        <w:tc>
          <w:tcPr>
            <w:tcW w:type="dxa" w:w="2880"/>
          </w:tcPr>
          <w:p>
            <w:r>
              <w:t>Dispute resolution mechanism</w:t>
            </w:r>
          </w:p>
        </w:tc>
      </w:tr>
      <w:tr>
        <w:tc>
          <w:tcPr>
            <w:tcW w:type="dxa" w:w="2880"/>
          </w:tcPr>
          <w:p>
            <w:r>
              <w:t>**Art. 26**</w:t>
            </w:r>
          </w:p>
        </w:tc>
        <w:tc>
          <w:tcPr>
            <w:tcW w:type="dxa" w:w="2880"/>
          </w:tcPr>
          <w:p>
            <w:r>
              <w:t>Exchange of Information</w:t>
            </w:r>
          </w:p>
        </w:tc>
        <w:tc>
          <w:tcPr>
            <w:tcW w:type="dxa" w:w="2880"/>
          </w:tcPr>
          <w:p>
            <w:r>
              <w:t>Tax information sharing; Common Reporting Standard (CRS) implementation</w:t>
            </w:r>
          </w:p>
        </w:tc>
      </w:tr>
    </w:tbl>
    <w:p/>
    <w:p>
      <w:pPr>
        <w:pStyle w:val="Heading2"/>
      </w:pPr>
      <w:r>
        <w:t>2. Technical Rules and Application</w:t>
      </w:r>
    </w:p>
    <w:p>
      <w:pPr>
        <w:pStyle w:val="Heading3"/>
      </w:pPr>
      <w:r>
        <w:t>2.1 Residence and Treaty Eligibility (Article 4)</w:t>
      </w:r>
    </w:p>
    <w:p>
      <w:pPr/>
      <w:r>
        <w:rPr>
          <w:b/>
        </w:rPr>
        <w:t>Resident Status</w:t>
      </w:r>
      <w:r>
        <w:t>: To access treaty benefits, taxpayer must be "resident" of contracting state, meaning:</w:t>
      </w:r>
    </w:p>
    <w:p>
      <w:pPr>
        <w:pStyle w:val="ListBullet"/>
      </w:pPr>
      <w:r>
        <w:t>Individual: Resident under domestic law by domicile, residence, place of management, or similar criterion</w:t>
      </w:r>
    </w:p>
    <w:p>
      <w:pPr>
        <w:pStyle w:val="ListBullet"/>
      </w:pPr>
      <w:r>
        <w:t>Company: Resident by place of incorporation, place of management, or place of effective management</w:t>
      </w:r>
    </w:p>
    <w:p>
      <w:pPr/>
      <w:r>
        <w:rPr>
          <w:b/>
        </w:rPr>
        <w:t>Dual Residence</w:t>
      </w:r>
      <w:r>
        <w:t>: Tie-breaker rules apply when entity resident in both states:</w:t>
      </w:r>
    </w:p>
    <w:p>
      <w:pPr>
        <w:pStyle w:val="ListBullet"/>
      </w:pPr>
      <w:r>
        <w:t>Individual: Permanent home → center of vital interests → habitual abode → nationality → Mutual Agreement Procedure (MAP)</w:t>
      </w:r>
    </w:p>
    <w:p>
      <w:pPr>
        <w:pStyle w:val="ListBullet"/>
      </w:pPr>
      <w:r>
        <w:t>Company: Place of effective management (POEM) - where key management/commercial decisions made</w:t>
      </w:r>
    </w:p>
    <w:p>
      <w:pPr/>
      <w:r>
        <w:rPr>
          <w:b/>
        </w:rPr>
        <w:t>POEM Determination</w:t>
      </w:r>
      <w:r>
        <w:t xml:space="preserve"> (critical for energy companies):</w:t>
      </w:r>
    </w:p>
    <w:p>
      <w:pPr>
        <w:pStyle w:val="ListBullet"/>
      </w:pPr>
      <w:r>
        <w:t>Location of board meetings</w:t>
      </w:r>
    </w:p>
    <w:p>
      <w:pPr>
        <w:pStyle w:val="ListBullet"/>
      </w:pPr>
      <w:r>
        <w:t>Location where key commercial decisions made</w:t>
      </w:r>
    </w:p>
    <w:p>
      <w:pPr>
        <w:pStyle w:val="ListBullet"/>
      </w:pPr>
      <w:r>
        <w:t>Location of day-to-day management</w:t>
      </w:r>
    </w:p>
    <w:p>
      <w:pPr>
        <w:pStyle w:val="ListBullet"/>
      </w:pPr>
      <w:r>
        <w:t>Location of senior executive offices</w:t>
      </w:r>
    </w:p>
    <w:p>
      <w:pPr>
        <w:pStyle w:val="Heading3"/>
      </w:pPr>
      <w:r>
        <w:t>2.2 Permanent Establishment (Article 5)</w:t>
      </w:r>
    </w:p>
    <w:p>
      <w:pPr/>
      <w:r>
        <w:rPr>
          <w:b/>
        </w:rPr>
        <w:t>Fundamental Principle</w:t>
      </w:r>
      <w:r>
        <w:t xml:space="preserve">: Business profits taxable in source state only if enterprise has </w:t>
      </w:r>
      <w:r>
        <w:rPr>
          <w:b/>
        </w:rPr>
        <w:t>permanent establishment</w:t>
      </w:r>
      <w:r>
        <w:t xml:space="preserve"> in that state (Article 7(1)).</w:t>
      </w:r>
    </w:p>
    <w:p>
      <w:pPr/>
      <w:r>
        <w:rPr>
          <w:b/>
        </w:rPr>
        <w:t>Article 5(1) General Definition</w:t>
      </w:r>
      <w:r>
        <w:t>: Fixed place of business through which business wholly or partly carried on.</w:t>
      </w:r>
    </w:p>
    <w:p>
      <w:pPr/>
      <w:r>
        <w:rPr>
          <w:b/>
        </w:rPr>
        <w:t>Article 5(2) Specific Inclusions</w:t>
      </w:r>
      <w:r>
        <w:t xml:space="preserve"> (deemed PE):</w:t>
      </w:r>
    </w:p>
    <w:p>
      <w:pPr>
        <w:pStyle w:val="ListBullet"/>
      </w:pPr>
      <w:r>
        <w:t>Place of management</w:t>
      </w:r>
    </w:p>
    <w:p>
      <w:pPr>
        <w:pStyle w:val="ListBullet"/>
      </w:pPr>
      <w:r>
        <w:t>Branch</w:t>
      </w:r>
    </w:p>
    <w:p>
      <w:pPr>
        <w:pStyle w:val="ListBullet"/>
      </w:pPr>
      <w:r>
        <w:t>Office</w:t>
      </w:r>
    </w:p>
    <w:p>
      <w:pPr>
        <w:pStyle w:val="ListBullet"/>
      </w:pPr>
      <w:r>
        <w:t>Factory</w:t>
      </w:r>
    </w:p>
    <w:p>
      <w:pPr>
        <w:pStyle w:val="ListBullet"/>
      </w:pPr>
      <w:r>
        <w:t>Workshop</w:t>
      </w:r>
    </w:p>
    <w:p>
      <w:pPr>
        <w:pStyle w:val="ListBullet"/>
      </w:pPr>
      <w:r>
        <w:rPr>
          <w:b/>
        </w:rPr>
        <w:t>Mine, oil or gas well, quarry, or any other place of extraction of natural resources</w:t>
      </w:r>
      <w:r>
        <w:t xml:space="preserve"> [Critically important for energy sector]</w:t>
      </w:r>
    </w:p>
    <w:p>
      <w:pPr/>
      <w:r>
        <w:rPr>
          <w:b/>
        </w:rPr>
        <w:t>Article 5(3) Construction PE</w:t>
      </w:r>
      <w:r>
        <w:t>: Building site, construction, assembly, or installation project constitutes PE if duration exceeds specified threshold:</w:t>
      </w:r>
    </w:p>
    <w:p>
      <w:pPr>
        <w:pStyle w:val="ListBullet"/>
      </w:pPr>
      <w:r>
        <w:t>OECD Model: 12 months</w:t>
      </w:r>
    </w:p>
    <w:p>
      <w:pPr>
        <w:pStyle w:val="ListBullet"/>
      </w:pPr>
      <w:r>
        <w:t>UN Model: 6 months</w:t>
      </w:r>
    </w:p>
    <w:p>
      <w:pPr>
        <w:pStyle w:val="ListBullet"/>
      </w:pPr>
      <w:r>
        <w:t>Many bilateral treaties (especially with developing countries): 3-6 months</w:t>
      </w:r>
    </w:p>
    <w:p>
      <w:pPr>
        <w:pStyle w:val="ListBullet"/>
      </w:pPr>
      <w:r>
        <w:t xml:space="preserve">Often shorter for </w:t>
      </w:r>
      <w:r>
        <w:rPr>
          <w:b/>
        </w:rPr>
        <w:t>supervisory activities</w:t>
      </w:r>
      <w:r>
        <w:t xml:space="preserve"> related to construction</w:t>
      </w:r>
    </w:p>
    <w:p>
      <w:pPr/>
      <w:r>
        <w:rPr>
          <w:b/>
        </w:rPr>
        <w:t>Article 5(4) Negative List</w:t>
      </w:r>
      <w:r>
        <w:t xml:space="preserve"> (activities not constituting PE):</w:t>
      </w:r>
    </w:p>
    <w:p>
      <w:pPr>
        <w:pStyle w:val="ListBullet"/>
      </w:pPr>
      <w:r>
        <w:t>Storage, display, delivery facilities (preparatory/auxiliary)</w:t>
      </w:r>
    </w:p>
    <w:p>
      <w:pPr>
        <w:pStyle w:val="ListBullet"/>
      </w:pPr>
      <w:r>
        <w:t>Purchasing goods/merchandise</w:t>
      </w:r>
    </w:p>
    <w:p>
      <w:pPr>
        <w:pStyle w:val="ListBullet"/>
      </w:pPr>
      <w:r>
        <w:t>Information collection activities</w:t>
      </w:r>
    </w:p>
    <w:p>
      <w:pPr>
        <w:pStyle w:val="ListBullet"/>
      </w:pPr>
      <w:r>
        <w:t>Preparatory or auxiliary activities</w:t>
      </w:r>
    </w:p>
    <w:p>
      <w:pPr/>
      <w:r>
        <w:rPr>
          <w:b/>
        </w:rPr>
        <w:t>Preparatory or Auxiliary Activities Defined</w:t>
      </w:r>
      <w:r>
        <w:t>: Under OECD BEPS Action 7 revisions, an activity is preparatory if carried on in contemplation of the essential and significant part of the enterprise's activity. An auxiliary activity supports, without being part of, the essential and significant part of the enterprise's activity. The anti-fragmentation rule (Article 5(4.1)) prevents splitting of complementary functions to avoid PE status.</w:t>
      </w:r>
    </w:p>
    <w:p>
      <w:pPr/>
      <w:r>
        <w:rPr>
          <w:b/>
        </w:rPr>
        <w:t>Article 5(5) Dependent Agent PE</w:t>
      </w:r>
      <w:r>
        <w:t>: Agent habitually exercising authority to conclude contracts creates PE (unless independent agent acting in ordinary course).</w:t>
      </w:r>
    </w:p>
    <w:p>
      <w:pPr/>
      <w:r>
        <w:rPr>
          <w:b/>
        </w:rPr>
        <w:t>Article 5(6) Independent Agent</w:t>
      </w:r>
      <w:r>
        <w:t>: Independent agent acting in ordinary course of business does NOT create PE for principal.</w:t>
      </w:r>
    </w:p>
    <w:p>
      <w:pPr/>
      <w:r>
        <w:rPr>
          <w:b/>
        </w:rPr>
        <w:t>Service PE</w:t>
      </w:r>
      <w:r>
        <w:t xml:space="preserve"> (UN Model Article 5(3)(b)): Furnishing of services (including consultancy) through employees/personnel for aggregate &gt;183 days (some treaties: &gt;90 days or &gt;60 days) in 12-month period creates PE. OECD Model added similar provision in 2017 updates.</w:t>
      </w:r>
    </w:p>
    <w:p>
      <w:pPr>
        <w:pStyle w:val="Heading3"/>
      </w:pPr>
      <w:r>
        <w:t>2.3 Business Profits Attribution (Article 7)</w:t>
      </w:r>
    </w:p>
    <w:p>
      <w:pPr/>
      <w:r>
        <w:rPr>
          <w:b/>
        </w:rPr>
        <w:t>Authorized OECD Approach (AOA)</w:t>
      </w:r>
      <w:r>
        <w:t>: PE treated as functionally separate enterprise. Profits attributed based on:</w:t>
      </w:r>
    </w:p>
    <w:p>
      <w:pPr>
        <w:pStyle w:val="ListBullet"/>
      </w:pPr>
      <w:r>
        <w:t>Functions performed</w:t>
      </w:r>
    </w:p>
    <w:p>
      <w:pPr>
        <w:pStyle w:val="ListBullet"/>
      </w:pPr>
      <w:r>
        <w:t>Assets used</w:t>
      </w:r>
    </w:p>
    <w:p>
      <w:pPr>
        <w:pStyle w:val="ListBullet"/>
      </w:pPr>
      <w:r>
        <w:t>Risks assumed</w:t>
      </w:r>
    </w:p>
    <w:p>
      <w:pPr/>
      <w:r>
        <w:t>The Authorized OECD Approach requires functional analysis treating the PE as if it were a separate entity dealing at arm's length with the head office.</w:t>
      </w:r>
    </w:p>
    <w:p>
      <w:pPr/>
      <w:r>
        <w:rPr>
          <w:b/>
        </w:rPr>
        <w:t>Transfer Pricing Principles</w:t>
      </w:r>
      <w:r>
        <w:t>: Arm's length principle applies to dealings between PE and head office. Requires functional analysis and comparability analysis.</w:t>
      </w:r>
    </w:p>
    <w:p>
      <w:pPr/>
      <w:r>
        <w:rPr>
          <w:b/>
        </w:rPr>
        <w:t>Common Energy Sector Issues</w:t>
      </w:r>
      <w:r>
        <w:t>:</w:t>
      </w:r>
    </w:p>
    <w:p>
      <w:pPr>
        <w:pStyle w:val="ListBullet"/>
      </w:pPr>
      <w:r>
        <w:t>Allocation of exploration/development costs</w:t>
      </w:r>
    </w:p>
    <w:p>
      <w:pPr>
        <w:pStyle w:val="ListBullet"/>
      </w:pPr>
      <w:r>
        <w:t>Attribution of production income</w:t>
      </w:r>
    </w:p>
    <w:p>
      <w:pPr>
        <w:pStyle w:val="ListBullet"/>
      </w:pPr>
      <w:r>
        <w:t>Overhead allocation from head office</w:t>
      </w:r>
    </w:p>
    <w:p>
      <w:pPr>
        <w:pStyle w:val="ListBullet"/>
      </w:pPr>
      <w:r>
        <w:t>Interest deductibility on attributed capital</w:t>
      </w:r>
    </w:p>
    <w:p>
      <w:pPr>
        <w:pStyle w:val="ListBullet"/>
      </w:pPr>
      <w:r>
        <w:t>Commissionaire vs. buy-sell arrangements</w:t>
      </w:r>
    </w:p>
    <w:p>
      <w:pPr>
        <w:pStyle w:val="Heading3"/>
      </w:pPr>
      <w:r>
        <w:t>2.4 Withholding Tax Treaty Reductions</w:t>
      </w:r>
    </w:p>
    <w:p>
      <w:pPr/>
      <w:r>
        <w:rPr>
          <w:b/>
        </w:rPr>
        <w:t>Dividends (Article 10)</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Holding Percentage</w:t>
            </w:r>
          </w:p>
        </w:tc>
        <w:tc>
          <w:tcPr>
            <w:tcW w:type="dxa" w:w="2160"/>
            <w:shd w:fill="D9E2F3"/>
          </w:tcPr>
          <w:p>
            <w:r>
              <w:rPr>
                <w:b/>
              </w:rPr>
              <w:t>OECD Model</w:t>
            </w:r>
          </w:p>
        </w:tc>
        <w:tc>
          <w:tcPr>
            <w:tcW w:type="dxa" w:w="2160"/>
            <w:shd w:fill="D9E2F3"/>
          </w:tcPr>
          <w:p>
            <w:r>
              <w:rPr>
                <w:b/>
              </w:rPr>
              <w:t>UN Model</w:t>
            </w:r>
          </w:p>
        </w:tc>
        <w:tc>
          <w:tcPr>
            <w:tcW w:type="dxa" w:w="2160"/>
            <w:shd w:fill="D9E2F3"/>
          </w:tcPr>
          <w:p>
            <w:r>
              <w:rPr>
                <w:b/>
              </w:rPr>
              <w:t>Typical Bilateral</w:t>
            </w:r>
          </w:p>
        </w:tc>
      </w:tr>
      <w:tr>
        <w:tc>
          <w:tcPr>
            <w:tcW w:type="dxa" w:w="2160"/>
          </w:tcPr>
          <w:p>
            <w:r>
              <w:t>≥10% (direct)</w:t>
            </w:r>
          </w:p>
        </w:tc>
        <w:tc>
          <w:tcPr>
            <w:tcW w:type="dxa" w:w="2160"/>
          </w:tcPr>
          <w:p>
            <w:r>
              <w:t>0%</w:t>
            </w:r>
          </w:p>
        </w:tc>
        <w:tc>
          <w:tcPr>
            <w:tcW w:type="dxa" w:w="2160"/>
          </w:tcPr>
          <w:p>
            <w:r>
              <w:t>5%</w:t>
            </w:r>
          </w:p>
        </w:tc>
        <w:tc>
          <w:tcPr>
            <w:tcW w:type="dxa" w:w="2160"/>
          </w:tcPr>
          <w:p>
            <w:r>
              <w:t>5-10%</w:t>
            </w:r>
          </w:p>
        </w:tc>
      </w:tr>
      <w:tr>
        <w:tc>
          <w:tcPr>
            <w:tcW w:type="dxa" w:w="2160"/>
          </w:tcPr>
          <w:p>
            <w:r>
              <w:t>&lt;10% (portfolio)</w:t>
            </w:r>
          </w:p>
        </w:tc>
        <w:tc>
          <w:tcPr>
            <w:tcW w:type="dxa" w:w="2160"/>
          </w:tcPr>
          <w:p>
            <w:r>
              <w:t>15%</w:t>
            </w:r>
          </w:p>
        </w:tc>
        <w:tc>
          <w:tcPr>
            <w:tcW w:type="dxa" w:w="2160"/>
          </w:tcPr>
          <w:p>
            <w:r>
              <w:t>15%</w:t>
            </w:r>
          </w:p>
        </w:tc>
        <w:tc>
          <w:tcPr>
            <w:tcW w:type="dxa" w:w="2160"/>
          </w:tcPr>
          <w:p>
            <w:r>
              <w:t>10-15%</w:t>
            </w:r>
          </w:p>
        </w:tc>
      </w:tr>
    </w:tbl>
    <w:p/>
    <w:p>
      <w:pPr/>
      <w:r>
        <w:rPr>
          <w:b/>
        </w:rPr>
        <w:t>Interest (Article 11)</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Type</w:t>
            </w:r>
          </w:p>
        </w:tc>
        <w:tc>
          <w:tcPr>
            <w:tcW w:type="dxa" w:w="2160"/>
            <w:shd w:fill="D9E2F3"/>
          </w:tcPr>
          <w:p>
            <w:r>
              <w:rPr>
                <w:b/>
              </w:rPr>
              <w:t>OECD Model</w:t>
            </w:r>
          </w:p>
        </w:tc>
        <w:tc>
          <w:tcPr>
            <w:tcW w:type="dxa" w:w="2160"/>
            <w:shd w:fill="D9E2F3"/>
          </w:tcPr>
          <w:p>
            <w:r>
              <w:rPr>
                <w:b/>
              </w:rPr>
              <w:t>UN Model</w:t>
            </w:r>
          </w:p>
        </w:tc>
        <w:tc>
          <w:tcPr>
            <w:tcW w:type="dxa" w:w="2160"/>
            <w:shd w:fill="D9E2F3"/>
          </w:tcPr>
          <w:p>
            <w:r>
              <w:rPr>
                <w:b/>
              </w:rPr>
              <w:t>Typical Bilateral</w:t>
            </w:r>
          </w:p>
        </w:tc>
      </w:tr>
      <w:tr>
        <w:tc>
          <w:tcPr>
            <w:tcW w:type="dxa" w:w="2160"/>
          </w:tcPr>
          <w:p>
            <w:r>
              <w:t>General</w:t>
            </w:r>
          </w:p>
        </w:tc>
        <w:tc>
          <w:tcPr>
            <w:tcW w:type="dxa" w:w="2160"/>
          </w:tcPr>
          <w:p>
            <w:r>
              <w:t>0%</w:t>
            </w:r>
          </w:p>
        </w:tc>
        <w:tc>
          <w:tcPr>
            <w:tcW w:type="dxa" w:w="2160"/>
          </w:tcPr>
          <w:p>
            <w:r>
              <w:t>10%</w:t>
            </w:r>
          </w:p>
        </w:tc>
        <w:tc>
          <w:tcPr>
            <w:tcW w:type="dxa" w:w="2160"/>
          </w:tcPr>
          <w:p>
            <w:r>
              <w:t>5-10%</w:t>
            </w:r>
          </w:p>
        </w:tc>
      </w:tr>
      <w:tr>
        <w:tc>
          <w:tcPr>
            <w:tcW w:type="dxa" w:w="2160"/>
          </w:tcPr>
          <w:p>
            <w:r>
              <w:t>Financial institutions</w:t>
            </w:r>
          </w:p>
        </w:tc>
        <w:tc>
          <w:tcPr>
            <w:tcW w:type="dxa" w:w="2160"/>
          </w:tcPr>
          <w:p>
            <w:r>
              <w:t>0%</w:t>
            </w:r>
          </w:p>
        </w:tc>
        <w:tc>
          <w:tcPr>
            <w:tcW w:type="dxa" w:w="2160"/>
          </w:tcPr>
          <w:p>
            <w:r>
              <w:t>10%</w:t>
            </w:r>
          </w:p>
        </w:tc>
        <w:tc>
          <w:tcPr>
            <w:tcW w:type="dxa" w:w="2160"/>
          </w:tcPr>
          <w:p>
            <w:r>
              <w:t>0-5%</w:t>
            </w:r>
          </w:p>
        </w:tc>
      </w:tr>
    </w:tbl>
    <w:p/>
    <w:p>
      <w:pPr/>
      <w:r>
        <w:rPr>
          <w:b/>
        </w:rPr>
        <w:t>Royalties (Article 12)</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Type</w:t>
            </w:r>
          </w:p>
        </w:tc>
        <w:tc>
          <w:tcPr>
            <w:tcW w:type="dxa" w:w="2160"/>
            <w:shd w:fill="D9E2F3"/>
          </w:tcPr>
          <w:p>
            <w:r>
              <w:rPr>
                <w:b/>
              </w:rPr>
              <w:t>OECD Model</w:t>
            </w:r>
          </w:p>
        </w:tc>
        <w:tc>
          <w:tcPr>
            <w:tcW w:type="dxa" w:w="2160"/>
            <w:shd w:fill="D9E2F3"/>
          </w:tcPr>
          <w:p>
            <w:r>
              <w:rPr>
                <w:b/>
              </w:rPr>
              <w:t>UN Model</w:t>
            </w:r>
          </w:p>
        </w:tc>
        <w:tc>
          <w:tcPr>
            <w:tcW w:type="dxa" w:w="2160"/>
            <w:shd w:fill="D9E2F3"/>
          </w:tcPr>
          <w:p>
            <w:r>
              <w:rPr>
                <w:b/>
              </w:rPr>
              <w:t>Typical Bilateral</w:t>
            </w:r>
          </w:p>
        </w:tc>
      </w:tr>
      <w:tr>
        <w:tc>
          <w:tcPr>
            <w:tcW w:type="dxa" w:w="2160"/>
          </w:tcPr>
          <w:p>
            <w:r>
              <w:t>Industrial royalties</w:t>
            </w:r>
          </w:p>
        </w:tc>
        <w:tc>
          <w:tcPr>
            <w:tcW w:type="dxa" w:w="2160"/>
          </w:tcPr>
          <w:p>
            <w:r>
              <w:t>0%</w:t>
            </w:r>
          </w:p>
        </w:tc>
        <w:tc>
          <w:tcPr>
            <w:tcW w:type="dxa" w:w="2160"/>
          </w:tcPr>
          <w:p>
            <w:r>
              <w:t>10%</w:t>
            </w:r>
          </w:p>
        </w:tc>
        <w:tc>
          <w:tcPr>
            <w:tcW w:type="dxa" w:w="2160"/>
          </w:tcPr>
          <w:p>
            <w:r>
              <w:t>5-15%</w:t>
            </w:r>
          </w:p>
        </w:tc>
      </w:tr>
      <w:tr>
        <w:tc>
          <w:tcPr>
            <w:tcW w:type="dxa" w:w="2160"/>
          </w:tcPr>
          <w:p>
            <w:r>
              <w:t>Cultural royalties</w:t>
            </w:r>
          </w:p>
        </w:tc>
        <w:tc>
          <w:tcPr>
            <w:tcW w:type="dxa" w:w="2160"/>
          </w:tcPr>
          <w:p>
            <w:r>
              <w:t>0%</w:t>
            </w:r>
          </w:p>
        </w:tc>
        <w:tc>
          <w:tcPr>
            <w:tcW w:type="dxa" w:w="2160"/>
          </w:tcPr>
          <w:p>
            <w:r>
              <w:t>0%</w:t>
            </w:r>
          </w:p>
        </w:tc>
        <w:tc>
          <w:tcPr>
            <w:tcW w:type="dxa" w:w="2160"/>
          </w:tcPr>
          <w:p>
            <w:r>
              <w:t>0%</w:t>
            </w:r>
          </w:p>
        </w:tc>
      </w:tr>
      <w:tr>
        <w:tc>
          <w:tcPr>
            <w:tcW w:type="dxa" w:w="2160"/>
          </w:tcPr>
          <w:p>
            <w:r>
              <w:t>Equipment lease</w:t>
            </w:r>
          </w:p>
        </w:tc>
        <w:tc>
          <w:tcPr>
            <w:tcW w:type="dxa" w:w="2160"/>
          </w:tcPr>
          <w:p>
            <w:r>
              <w:t>May be Art. 7 or 12</w:t>
            </w:r>
          </w:p>
        </w:tc>
        <w:tc>
          <w:tcPr>
            <w:tcW w:type="dxa" w:w="2160"/>
          </w:tcPr>
          <w:p>
            <w:r>
              <w:t>10%</w:t>
            </w:r>
          </w:p>
        </w:tc>
        <w:tc>
          <w:tcPr>
            <w:tcW w:type="dxa" w:w="2160"/>
          </w:tcPr>
          <w:p>
            <w:r>
              <w:t>5-15%</w:t>
            </w:r>
          </w:p>
        </w:tc>
      </w:tr>
    </w:tbl>
    <w:p/>
    <w:p>
      <w:pPr>
        <w:pStyle w:val="Heading3"/>
      </w:pPr>
      <w:r>
        <w:t>2.5 Capital Gains (Article 13)</w:t>
      </w:r>
    </w:p>
    <w:p>
      <w:pPr/>
      <w:r>
        <w:rPr>
          <w:b/>
        </w:rPr>
        <w:t>Source Taxation Permitted For</w:t>
      </w:r>
      <w:r>
        <w:t>:</w:t>
      </w:r>
    </w:p>
    <w:p>
      <w:pPr>
        <w:pStyle w:val="ListNumber"/>
      </w:pPr>
      <w:r>
        <w:rPr>
          <w:b/>
        </w:rPr>
        <w:t>Article 13(1)</w:t>
      </w:r>
      <w:r>
        <w:t>: Gains on immovable property (including petroleum/gas rights) - taxable in situs state</w:t>
      </w:r>
    </w:p>
    <w:p>
      <w:pPr>
        <w:pStyle w:val="ListNumber"/>
      </w:pPr>
      <w:r>
        <w:rPr>
          <w:b/>
        </w:rPr>
        <w:t>Article 13(2)</w:t>
      </w:r>
      <w:r>
        <w:t>: Gains on movable property of PE - taxable in PE state</w:t>
      </w:r>
    </w:p>
    <w:p>
      <w:pPr>
        <w:pStyle w:val="ListNumber"/>
      </w:pPr>
      <w:r>
        <w:rPr>
          <w:b/>
        </w:rPr>
        <w:t>Article 13(4)</w:t>
      </w:r>
      <w:r>
        <w:t>: Gains on shares deriving &gt;50% value from immovable property - taxable in situs state (many treaties)</w:t>
      </w:r>
    </w:p>
    <w:p>
      <w:pPr>
        <w:pStyle w:val="ListNumber"/>
      </w:pPr>
      <w:r>
        <w:rPr>
          <w:b/>
        </w:rPr>
        <w:t>Article 13(5)</w:t>
      </w:r>
      <w:r>
        <w:t>: Other gains - taxable only in residence state</w:t>
      </w:r>
    </w:p>
    <w:p>
      <w:pPr/>
      <w:r>
        <w:rPr>
          <w:b/>
        </w:rPr>
        <w:t>Energy Sector Application</w:t>
      </w:r>
      <w:r>
        <w:t>:</w:t>
      </w:r>
    </w:p>
    <w:p>
      <w:pPr>
        <w:pStyle w:val="ListBullet"/>
      </w:pPr>
      <w:r>
        <w:t>Sale of production assets: Article 13(1) - source taxation</w:t>
      </w:r>
    </w:p>
    <w:p>
      <w:pPr>
        <w:pStyle w:val="ListBullet"/>
      </w:pPr>
      <w:r>
        <w:t>Sale of shares in operating company: Article 13(4) if immovable property company test met</w:t>
      </w:r>
    </w:p>
    <w:p>
      <w:pPr>
        <w:pStyle w:val="ListBullet"/>
      </w:pPr>
      <w:r>
        <w:t>Indirect transfers: Many energy-producing countries have specific anti-avoidance rules taxing indirect transfers regardless of treaty</w:t>
      </w:r>
    </w:p>
    <w:p>
      <w:pPr>
        <w:pStyle w:val="Heading2"/>
      </w:pPr>
      <w:r>
        <w:t>3. Anti-Avoidance Provisions and Treaty Shopping</w:t>
      </w:r>
    </w:p>
    <w:p>
      <w:pPr>
        <w:pStyle w:val="Heading3"/>
      </w:pPr>
      <w:r>
        <w:t>3.1 Principal Purpose Test (PPT)</w:t>
      </w:r>
    </w:p>
    <w:p>
      <w:pPr/>
      <w:r>
        <w:rPr>
          <w:b/>
        </w:rPr>
        <w:t>MLI Article 7</w:t>
      </w:r>
      <w:r>
        <w:t xml:space="preserve"> introduces PPT as minimum standard: Treaty benefits denied if "one of the principal purposes" of arrangement was obtaining treaty benefits and granting benefits would be contrary to object/purpose of treaty provisions.</w:t>
      </w:r>
    </w:p>
    <w:p>
      <w:pPr/>
      <w:r>
        <w:t>The Principal Purpose Test (PPT) is a general anti-abuse rule requiring analysis of whether obtaining a tax benefit was one of the principal purposes of an arrangement or transaction.</w:t>
      </w:r>
    </w:p>
    <w:p>
      <w:pPr/>
      <w:r>
        <w:rPr>
          <w:b/>
        </w:rPr>
        <w:t>Application</w:t>
      </w:r>
      <w:r>
        <w:t>:</w:t>
      </w:r>
    </w:p>
    <w:p>
      <w:pPr>
        <w:pStyle w:val="ListBullet"/>
      </w:pPr>
      <w:r>
        <w:t>Objective test: Circumstances surrounding arrangement</w:t>
      </w:r>
    </w:p>
    <w:p>
      <w:pPr>
        <w:pStyle w:val="ListBullet"/>
      </w:pPr>
      <w:r>
        <w:t>Subjective intent considered</w:t>
      </w:r>
    </w:p>
    <w:p>
      <w:pPr>
        <w:pStyle w:val="ListBullet"/>
      </w:pPr>
      <w:r>
        <w:t>Tax authority may grant benefits despite PPT if reasonable to conclude benefits should be granted</w:t>
      </w:r>
    </w:p>
    <w:p>
      <w:pPr/>
      <w:r>
        <w:rPr>
          <w:b/>
        </w:rPr>
        <w:t>Safe Harbors</w:t>
      </w:r>
      <w:r>
        <w:t>: None automatic; case-by-case determination.</w:t>
      </w:r>
    </w:p>
    <w:p>
      <w:pPr/>
      <w:r>
        <w:rPr>
          <w:b/>
        </w:rPr>
        <w:t>Energy Sector Impact</w:t>
      </w:r>
      <w:r>
        <w:t>: Holding company structures in treaty jurisdictions scrutinized. Substance requirements increased:</w:t>
      </w:r>
    </w:p>
    <w:p>
      <w:pPr>
        <w:pStyle w:val="ListBullet"/>
      </w:pPr>
      <w:r>
        <w:t>Commercial justification beyond tax</w:t>
      </w:r>
    </w:p>
    <w:p>
      <w:pPr>
        <w:pStyle w:val="ListBullet"/>
      </w:pPr>
      <w:r>
        <w:t>Economic substance (employees, decision-making, risk management)</w:t>
      </w:r>
    </w:p>
    <w:p>
      <w:pPr>
        <w:pStyle w:val="ListBullet"/>
      </w:pPr>
      <w:r>
        <w:t>Genuine business activity</w:t>
      </w:r>
    </w:p>
    <w:p>
      <w:pPr>
        <w:pStyle w:val="Heading3"/>
      </w:pPr>
      <w:r>
        <w:t>3.2 Limitation on Benefits (LOB)</w:t>
      </w:r>
    </w:p>
    <w:p>
      <w:pPr/>
      <w:r>
        <w:rPr>
          <w:b/>
        </w:rPr>
        <w:t>US Treaty Approach</w:t>
      </w:r>
      <w:r>
        <w:t>: Detailed objective tests to qualify for benefits:</w:t>
      </w:r>
    </w:p>
    <w:p>
      <w:pPr/>
      <w:r>
        <w:rPr>
          <w:b/>
        </w:rPr>
        <w:t>Qualified Person Tests</w:t>
      </w:r>
      <w:r>
        <w:t>:</w:t>
      </w:r>
    </w:p>
    <w:p>
      <w:pPr>
        <w:pStyle w:val="ListNumber"/>
      </w:pPr>
      <w:r>
        <w:rPr>
          <w:b/>
        </w:rPr>
        <w:t>Publicly traded</w:t>
      </w:r>
      <w:r>
        <w:t>: Company traded on recognized exchange in treaty state</w:t>
      </w:r>
    </w:p>
    <w:p>
      <w:pPr>
        <w:pStyle w:val="ListNumber"/>
      </w:pPr>
      <w:r>
        <w:rPr>
          <w:b/>
        </w:rPr>
        <w:t>Ownership/base erosion</w:t>
      </w:r>
      <w:r>
        <w:t>: &gt;50% owned by qualified persons AND &lt;50% income paid to non-qualified persons</w:t>
      </w:r>
    </w:p>
    <w:p>
      <w:pPr>
        <w:pStyle w:val="ListNumber"/>
      </w:pPr>
      <w:r>
        <w:rPr>
          <w:b/>
        </w:rPr>
        <w:t>Active trade or business</w:t>
      </w:r>
      <w:r>
        <w:t>: Substantial business activity in residence state with connection to source income</w:t>
      </w:r>
    </w:p>
    <w:p>
      <w:pPr>
        <w:pStyle w:val="ListNumber"/>
      </w:pPr>
      <w:r>
        <w:rPr>
          <w:b/>
        </w:rPr>
        <w:t>Derivative benefits</w:t>
      </w:r>
      <w:r>
        <w:t>: Qualified intermediate owner (limited to European Union/North American Free Trade Agreement residents in some treaties)</w:t>
      </w:r>
    </w:p>
    <w:p>
      <w:pPr/>
      <w:r>
        <w:rPr>
          <w:b/>
        </w:rPr>
        <w:t>Discretionary Benefits</w:t>
      </w:r>
      <w:r>
        <w:t>: Competent authority may grant benefits if principal purposes not tax avoidance.</w:t>
      </w:r>
    </w:p>
    <w:p>
      <w:pPr>
        <w:pStyle w:val="Heading3"/>
      </w:pPr>
      <w:r>
        <w:t>3.3 Beneficial Ownership</w:t>
      </w:r>
    </w:p>
    <w:p>
      <w:pPr/>
      <w:r>
        <w:rPr>
          <w:b/>
        </w:rPr>
        <w:t>OECD Commentary</w:t>
      </w:r>
      <w:r>
        <w:t>: "Beneficial owner" not used in narrow technical sense but to exclude agents or conduits. Requires:</w:t>
      </w:r>
    </w:p>
    <w:p>
      <w:pPr>
        <w:pStyle w:val="ListBullet"/>
      </w:pPr>
      <w:r>
        <w:t>Legal right to receive income</w:t>
      </w:r>
    </w:p>
    <w:p>
      <w:pPr>
        <w:pStyle w:val="ListBullet"/>
      </w:pPr>
      <w:r>
        <w:t>Right to use and enjoy income</w:t>
      </w:r>
    </w:p>
    <w:p>
      <w:pPr>
        <w:pStyle w:val="ListBullet"/>
      </w:pPr>
      <w:r>
        <w:t>Genuine economic exposure</w:t>
      </w:r>
    </w:p>
    <w:p>
      <w:pPr>
        <w:pStyle w:val="ListBullet"/>
      </w:pPr>
      <w:r>
        <w:t>Substance and decision-making authority</w:t>
      </w:r>
    </w:p>
    <w:p>
      <w:pPr/>
      <w:r>
        <w:rPr>
          <w:b/>
        </w:rPr>
        <w:t>Recent Developments</w:t>
      </w:r>
      <w:r>
        <w:t>: Several jurisdictions (e.g., India, Nigeria) enacted domestic beneficial ownership tests stricter than treaty language, requiring demonstration of economic substance and genuine commercial operations beyond mere legal ownership.</w:t>
      </w:r>
    </w:p>
    <w:p>
      <w:pPr>
        <w:pStyle w:val="Heading2"/>
      </w:pPr>
      <w:r>
        <w:t>4. Dispute Resolution and Compliance</w:t>
      </w:r>
    </w:p>
    <w:p>
      <w:pPr>
        <w:pStyle w:val="Heading3"/>
      </w:pPr>
      <w:r>
        <w:t>4.1 Mutual Agreement Procedure (MAP) (Article 25)</w:t>
      </w:r>
    </w:p>
    <w:p>
      <w:pPr/>
      <w:r>
        <w:rPr>
          <w:b/>
        </w:rPr>
        <w:t>Purpose</w:t>
      </w:r>
      <w:r>
        <w:t>: Resolve cases of taxation not in accordance with treaty.</w:t>
      </w:r>
    </w:p>
    <w:p>
      <w:pPr/>
      <w:r>
        <w:rPr>
          <w:b/>
        </w:rPr>
        <w:t>Process</w:t>
      </w:r>
      <w:r>
        <w:t>:</w:t>
      </w:r>
    </w:p>
    <w:p>
      <w:pPr>
        <w:pStyle w:val="ListNumber"/>
      </w:pPr>
      <w:r>
        <w:t>Taxpayer presents case to competent authority of residence state (or either state) within 3 years of first notification</w:t>
      </w:r>
    </w:p>
    <w:p>
      <w:pPr>
        <w:pStyle w:val="ListNumber"/>
      </w:pPr>
      <w:r>
        <w:t>Competent authorities endeavor to resolve by mutual agreement</w:t>
      </w:r>
    </w:p>
    <w:p>
      <w:pPr>
        <w:pStyle w:val="ListNumber"/>
      </w:pPr>
      <w:r>
        <w:t>No obligation to reach agreement under traditional Article 25</w:t>
      </w:r>
    </w:p>
    <w:p>
      <w:pPr>
        <w:pStyle w:val="ListNumber"/>
      </w:pPr>
      <w:r>
        <w:t>MLI introduces mandatory binding arbitration if no Mutual Agreement Procedure (MAP) agreement within specified time (typically 2 years)</w:t>
      </w:r>
    </w:p>
    <w:p>
      <w:pPr/>
      <w:r>
        <w:rPr>
          <w:b/>
        </w:rPr>
        <w:t>Energy Sector MAP Cases</w:t>
      </w:r>
      <w:r>
        <w:t>: Common issues include:</w:t>
      </w:r>
    </w:p>
    <w:p>
      <w:pPr>
        <w:pStyle w:val="ListBullet"/>
      </w:pPr>
      <w:r>
        <w:t>PE existence and profit attribution</w:t>
      </w:r>
    </w:p>
    <w:p>
      <w:pPr>
        <w:pStyle w:val="ListBullet"/>
      </w:pPr>
      <w:r>
        <w:t>Transfer pricing adjustments</w:t>
      </w:r>
    </w:p>
    <w:p>
      <w:pPr>
        <w:pStyle w:val="ListBullet"/>
      </w:pPr>
      <w:r>
        <w:t>Characterization of payments (royalty vs. service fee)</w:t>
      </w:r>
    </w:p>
    <w:p>
      <w:pPr>
        <w:pStyle w:val="ListBullet"/>
      </w:pPr>
      <w:r>
        <w:t>Beneficial ownership determinations</w:t>
      </w:r>
    </w:p>
    <w:p>
      <w:pPr>
        <w:pStyle w:val="Heading3"/>
      </w:pPr>
      <w:r>
        <w:t>4.2 Exchange of Information (Article 26)</w:t>
      </w:r>
    </w:p>
    <w:p>
      <w:pPr/>
      <w:r>
        <w:rPr>
          <w:b/>
        </w:rPr>
        <w:t>Scope</w:t>
      </w:r>
      <w:r>
        <w:t>: Exchange "foreseeably relevant" information for tax administration.</w:t>
      </w:r>
    </w:p>
    <w:p>
      <w:pPr/>
      <w:r>
        <w:rPr>
          <w:b/>
        </w:rPr>
        <w:t>Automatic Exchange</w:t>
      </w:r>
      <w:r>
        <w:t>: Common Reporting Standard (CRS) implemented through Article 26 framework. The CRS, developed in response to the G20 request and approved by the OECD Council on July 15, 2014, calls on jurisdictions to obtain information from their financial institutions and automatically exchange that information with other jurisdictions on an annual basis. Over 100 jurisdictions automatically exchange:</w:t>
      </w:r>
    </w:p>
    <w:p>
      <w:pPr>
        <w:pStyle w:val="ListBullet"/>
      </w:pPr>
      <w:r>
        <w:t>Financial account information</w:t>
      </w:r>
    </w:p>
    <w:p>
      <w:pPr>
        <w:pStyle w:val="ListBullet"/>
      </w:pPr>
      <w:r>
        <w:t>Ultimate beneficial ownership data</w:t>
      </w:r>
    </w:p>
    <w:p>
      <w:pPr>
        <w:pStyle w:val="ListBullet"/>
      </w:pPr>
      <w:r>
        <w:t>Country-by-country reports (for multinational enterprises with revenue exceeding EUR 750 million)</w:t>
      </w:r>
    </w:p>
    <w:p>
      <w:pPr/>
      <w:r>
        <w:t>The CRS scope has been expanded to include crypto-assets, electronic money products, and central bank digital currencies.</w:t>
      </w:r>
    </w:p>
    <w:p>
      <w:pPr/>
      <w:r>
        <w:rPr>
          <w:b/>
        </w:rPr>
        <w:t>Spontaneous Exchange</w:t>
      </w:r>
      <w:r>
        <w:t>: Information discovered during audits shared when relevant to treaty partner.</w:t>
      </w:r>
    </w:p>
    <w:p>
      <w:pPr/>
      <w:r>
        <w:rPr>
          <w:b/>
        </w:rPr>
        <w:t>On Request</w:t>
      </w:r>
      <w:r>
        <w:t>: Specific information requested for ongoing examinations.</w:t>
      </w:r>
    </w:p>
    <w:p>
      <w:pPr>
        <w:pStyle w:val="Heading2"/>
      </w:pPr>
      <w:r>
        <w:t>5. Worked Example 1: PE Determination for Seismic Vessel</w:t>
      </w:r>
    </w:p>
    <w:p>
      <w:pPr>
        <w:pStyle w:val="Heading3"/>
      </w:pPr>
      <w:r>
        <w:t>Fact Pattern</w:t>
      </w:r>
    </w:p>
    <w:p>
      <w:pPr/>
      <w:r>
        <w:rPr>
          <w:b/>
        </w:rPr>
        <w:t>SeismicCo Ltd.</w:t>
      </w:r>
      <w:r>
        <w:t xml:space="preserve">, a Norwegian geophysical services company, conducts 3D seismic surveys off the coast of Indonesia under contract with </w:t>
      </w:r>
      <w:r>
        <w:rPr>
          <w:b/>
        </w:rPr>
        <w:t>IndonesiaPetro</w:t>
      </w:r>
      <w:r>
        <w:t xml:space="preserve"> (Indonesian state oil company). SeismicCo operates a specialized seismic vessel for the project.</w:t>
      </w:r>
    </w:p>
    <w:p>
      <w:pPr/>
      <w:r>
        <w:rPr>
          <w:b/>
        </w:rPr>
        <w:t>Timeline</w:t>
      </w:r>
      <w:r>
        <w:t>:</w:t>
      </w:r>
    </w:p>
    <w:p>
      <w:pPr>
        <w:pStyle w:val="ListBullet"/>
      </w:pPr>
      <w:r>
        <w:t>June 1, 2024: Vessel arrives in Indonesian territorial waters</w:t>
      </w:r>
    </w:p>
    <w:p>
      <w:pPr>
        <w:pStyle w:val="ListBullet"/>
      </w:pPr>
      <w:r>
        <w:t>June 1 - September 30, 2024: Seismic data acquisition (122 days)</w:t>
      </w:r>
    </w:p>
    <w:p>
      <w:pPr>
        <w:pStyle w:val="ListBullet"/>
      </w:pPr>
      <w:r>
        <w:t>October 1-31, 2024: Data processing on vessel in Indonesian waters (31 days)</w:t>
      </w:r>
    </w:p>
    <w:p>
      <w:pPr>
        <w:pStyle w:val="ListBullet"/>
      </w:pPr>
      <w:r>
        <w:t>November 1, 2024: Vessel departs Indonesian waters</w:t>
      </w:r>
    </w:p>
    <w:p>
      <w:pPr>
        <w:pStyle w:val="ListBullet"/>
      </w:pPr>
      <w:r>
        <w:t xml:space="preserve">Total time in Indonesian waters: </w:t>
      </w:r>
      <w:r>
        <w:rPr>
          <w:b/>
        </w:rPr>
        <w:t>153 days</w:t>
      </w:r>
    </w:p>
    <w:p>
      <w:pPr/>
      <w:r>
        <w:rPr>
          <w:b/>
        </w:rPr>
        <w:t>Contract fee</w:t>
      </w:r>
      <w:r>
        <w:t>: USD 15 million</w:t>
      </w:r>
    </w:p>
    <w:p>
      <w:pPr/>
      <w:r>
        <w:rPr>
          <w:b/>
        </w:rPr>
        <w:t>Indonesia-Norway Tax Treaty</w:t>
      </w:r>
      <w:r>
        <w:t>:</w:t>
      </w:r>
    </w:p>
    <w:p>
      <w:pPr>
        <w:pStyle w:val="ListBullet"/>
      </w:pPr>
      <w:r>
        <w:t>Construction PE threshold: 120 days</w:t>
      </w:r>
    </w:p>
    <w:p>
      <w:pPr>
        <w:pStyle w:val="ListBullet"/>
      </w:pPr>
      <w:r>
        <w:t>Service PE: Consultancy/technical services for aggregate &gt;60 days in 12 months creates PE</w:t>
      </w:r>
    </w:p>
    <w:p>
      <w:pPr>
        <w:pStyle w:val="ListBullet"/>
      </w:pPr>
      <w:r>
        <w:t>Indonesia corporate tax rate: 22%</w:t>
      </w:r>
    </w:p>
    <w:p>
      <w:pPr>
        <w:pStyle w:val="ListBullet"/>
      </w:pPr>
      <w:r>
        <w:t>Treaty business profits: Taxable only in Norway unless PE exists in Indonesia</w:t>
      </w:r>
    </w:p>
    <w:p>
      <w:pPr/>
      <w:r>
        <w:rPr>
          <w:b/>
        </w:rPr>
        <w:t>Question</w:t>
      </w:r>
      <w:r>
        <w:t>: Does SeismicCo have a PE in Indonesia? If yes, what profits are attributable?</w:t>
      </w:r>
    </w:p>
    <w:p>
      <w:pPr>
        <w:pStyle w:val="Heading3"/>
      </w:pPr>
      <w:r>
        <w:t>Analysis</w:t>
      </w:r>
    </w:p>
    <w:p>
      <w:pPr/>
      <w:r>
        <w:rPr>
          <w:b/>
        </w:rPr>
        <w:t>Article 5 General PE Test</w:t>
      </w:r>
      <w:r>
        <w:t>:</w:t>
      </w:r>
    </w:p>
    <w:p>
      <w:pPr>
        <w:pStyle w:val="ListBullet"/>
      </w:pPr>
      <w:r>
        <w:t>Fixed place of business: Seismic vessel in Indonesian territorial waters</w:t>
      </w:r>
    </w:p>
    <w:p>
      <w:pPr>
        <w:pStyle w:val="ListBullet"/>
      </w:pPr>
      <w:r>
        <w:t>Duration: 153 days continuously</w:t>
      </w:r>
    </w:p>
    <w:p>
      <w:pPr>
        <w:pStyle w:val="ListBullet"/>
      </w:pPr>
      <w:r>
        <w:t>Through which business carried on: Survey operations</w:t>
      </w:r>
    </w:p>
    <w:p>
      <w:pPr/>
      <w:r>
        <w:rPr>
          <w:b/>
        </w:rPr>
        <w:t>Article 5(2) Specific Inclusions</w:t>
      </w:r>
      <w:r>
        <w:t>: Seismic vessel may constitute a "workshop" or "place of extraction" for natural resources (debatable - vessel not extracting but facilitating exploration).</w:t>
      </w:r>
    </w:p>
    <w:p>
      <w:pPr/>
      <w:r>
        <w:rPr>
          <w:b/>
        </w:rPr>
        <w:t>Article 5(3) Construction PE</w:t>
      </w:r>
      <w:r>
        <w:t xml:space="preserve">: Treaty threshold is </w:t>
      </w:r>
      <w:r>
        <w:rPr>
          <w:b/>
        </w:rPr>
        <w:t>120 days</w:t>
      </w:r>
      <w:r>
        <w:t>. SeismicCo exceeded this threshold (</w:t>
      </w:r>
      <w:r>
        <w:rPr>
          <w:b/>
        </w:rPr>
        <w:t>153 days</w:t>
      </w:r>
      <w:r>
        <w:t>).</w:t>
      </w:r>
    </w:p>
    <w:p>
      <w:pPr/>
      <w:r>
        <w:rPr>
          <w:b/>
        </w:rPr>
        <w:t>Article 5(4) Negative List</w:t>
      </w:r>
      <w:r>
        <w:t>: Seismic survey not "preparatory or auxiliary" - it is core business activity of SeismicCo and essential service for IndonesiaPetro's exploration. The activity constitutes the essential and significant part of SeismicCo's business operations, not merely supportive functions. Negative list does not apply.</w:t>
      </w:r>
    </w:p>
    <w:p>
      <w:pPr/>
      <w:r>
        <w:rPr>
          <w:b/>
        </w:rPr>
        <w:t>Service PE (UN-style)</w:t>
      </w:r>
      <w:r>
        <w:t xml:space="preserve">: Many bilateral treaties include service PE provisions. Technical services for </w:t>
      </w:r>
      <w:r>
        <w:rPr>
          <w:b/>
        </w:rPr>
        <w:t>&gt;60 days</w:t>
      </w:r>
      <w:r>
        <w:t xml:space="preserve"> creates PE. SeismicCo provided services for </w:t>
      </w:r>
      <w:r>
        <w:rPr>
          <w:b/>
        </w:rPr>
        <w:t>153 days</w:t>
      </w:r>
      <w:r>
        <w:t>, exceeding threshold.</w:t>
      </w:r>
    </w:p>
    <w:p>
      <w:pPr/>
      <w:r>
        <w:rPr>
          <w:b/>
        </w:rPr>
        <w:t>Conclusion</w:t>
      </w:r>
      <w:r>
        <w:t xml:space="preserve">: </w:t>
      </w:r>
      <w:r>
        <w:rPr>
          <w:b/>
        </w:rPr>
        <w:t>PE exists</w:t>
      </w:r>
      <w:r>
        <w:t xml:space="preserve"> under construction PE rule (Article 5(3)) and likely under service PE if treaty includes such provision.</w:t>
      </w:r>
    </w:p>
    <w:p>
      <w:pPr/>
      <w:r>
        <w:rPr>
          <w:b/>
        </w:rPr>
        <w:t>Profit Attribution</w:t>
      </w:r>
      <w:r>
        <w:t>:</w:t>
      </w:r>
    </w:p>
    <w:p>
      <w:pPr/>
      <w:r>
        <w:t>Under Article 7 Authorized OECD Approach (AOA):</w:t>
      </w:r>
    </w:p>
    <w:p>
      <w:pPr>
        <w:pStyle w:val="ListBullet"/>
      </w:pPr>
      <w:r>
        <w:t>Total contract revenue: USD 15 million</w:t>
      </w:r>
    </w:p>
    <w:p>
      <w:pPr>
        <w:pStyle w:val="ListBullet"/>
      </w:pPr>
      <w:r>
        <w:t>Direct costs (vessel operations, crew, fuel, equipment): USD 9 million (estimated 60% of revenue)</w:t>
      </w:r>
    </w:p>
    <w:p>
      <w:pPr>
        <w:pStyle w:val="ListBullet"/>
      </w:pPr>
      <w:r>
        <w:t>Indirect costs (head office allocation): USD 1.5 million (10% of revenue)</w:t>
      </w:r>
    </w:p>
    <w:p>
      <w:pPr>
        <w:pStyle w:val="ListBullet"/>
      </w:pPr>
      <w:r>
        <w:rPr>
          <w:b/>
        </w:rPr>
        <w:t>Attributable profit</w:t>
      </w:r>
      <w:r>
        <w:t xml:space="preserve">: USD 15M - USD 9M - USD 1.5M = </w:t>
      </w:r>
      <w:r>
        <w:rPr>
          <w:b/>
        </w:rPr>
        <w:t>USD 4.5 million</w:t>
      </w:r>
    </w:p>
    <w:p>
      <w:pPr/>
      <w:r>
        <w:rPr>
          <w:b/>
        </w:rPr>
        <w:t>Indonesian Tax</w:t>
      </w:r>
      <w:r>
        <w:t>:</w:t>
      </w:r>
    </w:p>
    <w:p>
      <w:pPr>
        <w:pStyle w:val="ListBullet"/>
      </w:pPr>
      <w:r>
        <w:t>Taxable profit: USD 4.5M</w:t>
      </w:r>
    </w:p>
    <w:p>
      <w:pPr>
        <w:pStyle w:val="ListBullet"/>
      </w:pPr>
      <w:r>
        <w:t xml:space="preserve">Corporate tax (22%): </w:t>
      </w:r>
      <w:r>
        <w:rPr>
          <w:b/>
        </w:rPr>
        <w:t>USD 0.99 million</w:t>
      </w:r>
    </w:p>
    <w:p>
      <w:pPr>
        <w:pStyle w:val="ListBullet"/>
      </w:pPr>
      <w:r>
        <w:t>Withholding tax on profit repatriation: Additional 20% on after-tax profit (some treaties)</w:t>
      </w:r>
    </w:p>
    <w:p>
      <w:pPr/>
      <w:r>
        <w:rPr>
          <w:b/>
        </w:rPr>
        <w:t>Planning Considerations</w:t>
      </w:r>
      <w:r>
        <w:t>:</w:t>
      </w:r>
    </w:p>
    <w:p>
      <w:pPr>
        <w:pStyle w:val="ListNumber"/>
      </w:pPr>
      <w:r>
        <w:rPr>
          <w:b/>
        </w:rPr>
        <w:t>Contract structuring</w:t>
      </w:r>
      <w:r>
        <w:t>: Split contract into multiple mobilizations &lt;120 days each (aggregate test may still apply)</w:t>
      </w:r>
    </w:p>
    <w:p>
      <w:pPr>
        <w:pStyle w:val="ListNumber"/>
      </w:pPr>
      <w:r>
        <w:rPr>
          <w:b/>
        </w:rPr>
        <w:t>Flag jurisdiction</w:t>
      </w:r>
      <w:r>
        <w:t>: Consider vessel flag jurisdiction and whether creates different PE exposure</w:t>
      </w:r>
    </w:p>
    <w:p>
      <w:pPr>
        <w:pStyle w:val="ListNumber"/>
      </w:pPr>
      <w:r>
        <w:rPr>
          <w:b/>
        </w:rPr>
        <w:t>Subcontracting</w:t>
      </w:r>
      <w:r>
        <w:t>: Engage independent Indonesian subcontractor (creates agent PE risk)</w:t>
      </w:r>
    </w:p>
    <w:p>
      <w:pPr>
        <w:pStyle w:val="ListNumber"/>
      </w:pPr>
      <w:r>
        <w:rPr>
          <w:b/>
        </w:rPr>
        <w:t>Advanced Ruling</w:t>
      </w:r>
      <w:r>
        <w:t>: Obtain Indonesian tax authority ruling on PE status before commencing operations</w:t>
      </w:r>
    </w:p>
    <w:p>
      <w:pPr/>
      <w:r>
        <w:rPr>
          <w:b/>
        </w:rPr>
        <w:t>Recommendation</w:t>
      </w:r>
      <w:r>
        <w:t xml:space="preserve">: </w:t>
      </w:r>
      <w:r>
        <w:rPr>
          <w:b/>
        </w:rPr>
        <w:t>PE exists</w:t>
      </w:r>
      <w:r>
        <w:t>. SeismicCo should:</w:t>
      </w:r>
    </w:p>
    <w:p>
      <w:pPr>
        <w:pStyle w:val="ListBullet"/>
      </w:pPr>
      <w:r>
        <w:t>Register PE with Indonesian tax authorities</w:t>
      </w:r>
    </w:p>
    <w:p>
      <w:pPr>
        <w:pStyle w:val="ListBullet"/>
      </w:pPr>
      <w:r>
        <w:t>File Indonesian corporate tax returns</w:t>
      </w:r>
    </w:p>
    <w:p>
      <w:pPr>
        <w:pStyle w:val="ListBullet"/>
      </w:pPr>
      <w:r>
        <w:t>Maintain detailed accounts for profit attribution</w:t>
      </w:r>
    </w:p>
    <w:p>
      <w:pPr>
        <w:pStyle w:val="ListBullet"/>
      </w:pPr>
      <w:r>
        <w:t>Prepare transfer pricing documentation for head office charges</w:t>
      </w:r>
    </w:p>
    <w:p>
      <w:pPr>
        <w:pStyle w:val="ListBullet"/>
      </w:pPr>
      <w:r>
        <w:t>Consider advance pricing agreement (APA) for consistent treatment</w:t>
      </w:r>
    </w:p>
    <w:p>
      <w:pPr>
        <w:pStyle w:val="Heading2"/>
      </w:pPr>
      <w:r>
        <w:t>6. Worked Example 2: Treaty Shopping and PPT Application</w:t>
      </w:r>
    </w:p>
    <w:p>
      <w:pPr>
        <w:pStyle w:val="Heading3"/>
      </w:pPr>
      <w:r>
        <w:t>Fact Pattern</w:t>
      </w:r>
    </w:p>
    <w:p>
      <w:pPr/>
      <w:r>
        <w:rPr>
          <w:b/>
        </w:rPr>
        <w:t>OilInvest Cayman Ltd.</w:t>
      </w:r>
      <w:r>
        <w:t xml:space="preserve"> (OIC), a Cayman Islands company owned by a private equity fund (US investors), holds 100% shares in </w:t>
      </w:r>
      <w:r>
        <w:rPr>
          <w:b/>
        </w:rPr>
        <w:t>BrazilOil Ltda.</w:t>
      </w:r>
      <w:r>
        <w:t xml:space="preserve"> (Brazilian oil and gas production company). BrazilOil pays annual dividends of USD 50 million.</w:t>
      </w:r>
    </w:p>
    <w:p>
      <w:pPr/>
      <w:r>
        <w:rPr>
          <w:b/>
        </w:rPr>
        <w:t>Tax Rates</w:t>
      </w:r>
      <w:r>
        <w:t>:</w:t>
      </w:r>
    </w:p>
    <w:p>
      <w:pPr>
        <w:pStyle w:val="ListBullet"/>
      </w:pPr>
      <w:r>
        <w:t>Brazil domestic withholding on dividends: 25%</w:t>
      </w:r>
    </w:p>
    <w:p>
      <w:pPr>
        <w:pStyle w:val="ListBullet"/>
      </w:pPr>
      <w:r>
        <w:t>Cayman Islands: 0% corporate tax, no dividend withholding</w:t>
      </w:r>
    </w:p>
    <w:p>
      <w:pPr>
        <w:pStyle w:val="ListBullet"/>
      </w:pPr>
      <w:r>
        <w:t>United States: 21% corporate tax; 30% dividend withholding</w:t>
      </w:r>
    </w:p>
    <w:p>
      <w:pPr/>
      <w:r>
        <w:rPr>
          <w:b/>
        </w:rPr>
        <w:t>Treaty Analysis</w:t>
      </w:r>
      <w:r>
        <w:t>:</w:t>
      </w:r>
    </w:p>
    <w:p>
      <w:pPr>
        <w:pStyle w:val="ListBullet"/>
      </w:pPr>
      <w:r>
        <w:rPr>
          <w:b/>
        </w:rPr>
        <w:t>Brazil-Cayman</w:t>
      </w:r>
      <w:r>
        <w:t>: No tax treaty</w:t>
      </w:r>
    </w:p>
    <w:p>
      <w:pPr>
        <w:pStyle w:val="ListBullet"/>
      </w:pPr>
      <w:r>
        <w:rPr>
          <w:b/>
        </w:rPr>
        <w:t>Brazil-Netherlands</w:t>
      </w:r>
      <w:r>
        <w:t>: Dividend withholding 10% (for &gt;10% holdings)</w:t>
      </w:r>
    </w:p>
    <w:p>
      <w:pPr>
        <w:pStyle w:val="ListBullet"/>
      </w:pPr>
      <w:r>
        <w:rPr>
          <w:b/>
        </w:rPr>
        <w:t>Brazil-Luxembourg</w:t>
      </w:r>
      <w:r>
        <w:t>: Dividend withholding 15% (for &gt;10% holdings)</w:t>
      </w:r>
    </w:p>
    <w:p>
      <w:pPr/>
      <w:r>
        <w:rPr>
          <w:b/>
        </w:rPr>
        <w:t>Restructuring</w:t>
      </w:r>
      <w:r>
        <w:t xml:space="preserve">: OIC establishes </w:t>
      </w:r>
      <w:r>
        <w:rPr>
          <w:b/>
        </w:rPr>
        <w:t>Netherlands HoldCo BV</w:t>
      </w:r>
      <w:r>
        <w:t xml:space="preserve"> (Dutch company) as intermediate holding company. Netherlands HoldCo owns BrazilOil shares; OIC owns Netherlands HoldCo shares.</w:t>
      </w:r>
    </w:p>
    <w:p>
      <w:pPr/>
      <w:r>
        <w:rPr>
          <w:b/>
        </w:rPr>
        <w:t>Post-Restructuring</w:t>
      </w:r>
      <w:r>
        <w:t>:</w:t>
      </w:r>
    </w:p>
    <w:p>
      <w:pPr>
        <w:spacing w:before="60" w:after="60"/>
        <w:ind w:left="360"/>
      </w:pPr>
      <w:r>
        <w:rPr>
          <w:rFonts w:ascii="Courier New" w:hAnsi="Courier New"/>
          <w:sz w:val="20"/>
        </w:rPr>
        <w:t>US PE Fund</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OilInvest Cayman</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Netherlands HoldCo BV (established 2024)</w:t>
      </w:r>
    </w:p>
    <w:p>
      <w:pPr>
        <w:spacing w:before="60" w:after="60"/>
        <w:ind w:left="360"/>
      </w:pPr>
      <w:r>
        <w:rPr>
          <w:rFonts w:ascii="Courier New" w:hAnsi="Courier New"/>
          <w:sz w:val="20"/>
        </w:rPr>
        <w:t xml:space="preserve">    |</w:t>
      </w:r>
    </w:p>
    <w:p>
      <w:pPr>
        <w:spacing w:before="60" w:after="60"/>
        <w:ind w:left="360"/>
      </w:pPr>
      <w:r>
        <w:rPr>
          <w:rFonts w:ascii="Courier New" w:hAnsi="Courier New"/>
          <w:sz w:val="20"/>
        </w:rPr>
        <w:t>BrazilOil Ltda (Brazil)</w:t>
      </w:r>
    </w:p>
    <w:p>
      <w:pPr/>
      <w:r>
        <w:rPr>
          <w:b/>
        </w:rPr>
        <w:t>Netherlands HoldCo substance</w:t>
      </w:r>
      <w:r>
        <w:t>:</w:t>
      </w:r>
    </w:p>
    <w:p>
      <w:pPr>
        <w:pStyle w:val="ListBullet"/>
      </w:pPr>
      <w:r>
        <w:t>Office: Serviced office space (EUR 50K annually)</w:t>
      </w:r>
    </w:p>
    <w:p>
      <w:pPr>
        <w:pStyle w:val="ListBullet"/>
      </w:pPr>
      <w:r>
        <w:t>Directors: Two Dutch directors (non-executive, attend 4 meetings annually)</w:t>
      </w:r>
    </w:p>
    <w:p>
      <w:pPr>
        <w:pStyle w:val="ListBullet"/>
      </w:pPr>
      <w:r>
        <w:t>Employees: None (administrative services outsourced)</w:t>
      </w:r>
    </w:p>
    <w:p>
      <w:pPr>
        <w:pStyle w:val="ListBullet"/>
      </w:pPr>
      <w:r>
        <w:t>Bank account: Dutch bank account</w:t>
      </w:r>
    </w:p>
    <w:p>
      <w:pPr/>
      <w:r>
        <w:rPr>
          <w:b/>
        </w:rPr>
        <w:t>Question</w:t>
      </w:r>
      <w:r>
        <w:t>: Will Brazil-Netherlands treaty benefits be available? How does PPT apply?</w:t>
      </w:r>
    </w:p>
    <w:p>
      <w:pPr>
        <w:pStyle w:val="Heading3"/>
      </w:pPr>
      <w:r>
        <w:t>Analysis</w:t>
      </w:r>
    </w:p>
    <w:p>
      <w:pPr/>
      <w:r>
        <w:rPr>
          <w:b/>
        </w:rPr>
        <w:t>Without Netherlands HoldCo (Current)</w:t>
      </w:r>
      <w:r>
        <w:t>:</w:t>
      </w:r>
    </w:p>
    <w:p>
      <w:pPr>
        <w:pStyle w:val="ListBullet"/>
      </w:pPr>
      <w:r>
        <w:t>Dividend: USD 50M</w:t>
      </w:r>
    </w:p>
    <w:p>
      <w:pPr>
        <w:pStyle w:val="ListBullet"/>
      </w:pPr>
      <w:r>
        <w:t xml:space="preserve">Brazil withholding tax (no treaty): USD 50M × 25% = </w:t>
      </w:r>
      <w:r>
        <w:rPr>
          <w:b/>
        </w:rPr>
        <w:t>USD 12.5M</w:t>
      </w:r>
    </w:p>
    <w:p>
      <w:pPr>
        <w:pStyle w:val="ListBullet"/>
      </w:pPr>
      <w:r>
        <w:t xml:space="preserve">Net to Cayman: </w:t>
      </w:r>
      <w:r>
        <w:rPr>
          <w:b/>
        </w:rPr>
        <w:t>USD 37.5M</w:t>
      </w:r>
    </w:p>
    <w:p>
      <w:pPr/>
      <w:r>
        <w:rPr>
          <w:b/>
        </w:rPr>
        <w:t>With Netherlands HoldCo (Proposed)</w:t>
      </w:r>
      <w:r>
        <w:t>:</w:t>
      </w:r>
    </w:p>
    <w:p>
      <w:pPr>
        <w:pStyle w:val="ListBullet"/>
      </w:pPr>
      <w:r>
        <w:t>Dividend: USD 50M</w:t>
      </w:r>
    </w:p>
    <w:p>
      <w:pPr>
        <w:pStyle w:val="ListBullet"/>
      </w:pPr>
      <w:r>
        <w:t xml:space="preserve">Brazil withholding tax (treaty rate): USD 50M × 10% = </w:t>
      </w:r>
      <w:r>
        <w:rPr>
          <w:b/>
        </w:rPr>
        <w:t>USD 5.0M</w:t>
      </w:r>
    </w:p>
    <w:p>
      <w:pPr>
        <w:pStyle w:val="ListBullet"/>
      </w:pPr>
      <w:r>
        <w:t>Netherlands tax: USD 0 (participation exemption, assuming qualified)</w:t>
      </w:r>
    </w:p>
    <w:p>
      <w:pPr>
        <w:pStyle w:val="ListBullet"/>
      </w:pPr>
      <w:r>
        <w:t>Netherlands withholding tax on dividend to Cayman: Typically 15% domestic rate (no treaty)</w:t>
      </w:r>
    </w:p>
    <w:p>
      <w:pPr>
        <w:pStyle w:val="ListBullet"/>
      </w:pPr>
      <w:r>
        <w:rPr>
          <w:b/>
        </w:rPr>
        <w:t>Tax savings if retained in Netherlands</w:t>
      </w:r>
      <w:r>
        <w:t>: USD 7.5M annually</w:t>
      </w:r>
    </w:p>
    <w:p>
      <w:pPr/>
      <w:r>
        <w:rPr>
          <w:b/>
        </w:rPr>
        <w:t>Treaty Eligibility Tests</w:t>
      </w:r>
      <w:r>
        <w:t>:</w:t>
      </w:r>
    </w:p>
    <w:p>
      <w:pPr/>
      <w:r>
        <w:rPr>
          <w:b/>
        </w:rPr>
        <w:t>1. Residence (Article 4)</w:t>
      </w:r>
      <w:r>
        <w:t>: Netherlands HoldCo is Dutch tax resident (incorporated in Netherlands, place of effective management may be questioned).</w:t>
      </w:r>
    </w:p>
    <w:p>
      <w:pPr/>
      <w:r>
        <w:rPr>
          <w:b/>
        </w:rPr>
        <w:t>2. Beneficial Ownership (Article 10 Commentary)</w:t>
      </w:r>
      <w:r>
        <w:t>: Netherlands HoldCo must be beneficial owner of dividends:</w:t>
      </w:r>
    </w:p>
    <w:p>
      <w:pPr>
        <w:pStyle w:val="ListBullet"/>
      </w:pPr>
      <w:r>
        <w:t>Legal right to receive: ✓</w:t>
      </w:r>
    </w:p>
    <w:p>
      <w:pPr>
        <w:pStyle w:val="ListBullet"/>
      </w:pPr>
      <w:r>
        <w:t>Right to use and enjoy: Questionable - immediately paid to Cayman</w:t>
      </w:r>
    </w:p>
    <w:p>
      <w:pPr>
        <w:pStyle w:val="ListBullet"/>
      </w:pPr>
      <w:r>
        <w:t>Economic substance: Limited - serviced office, outsourced services</w:t>
      </w:r>
    </w:p>
    <w:p>
      <w:pPr>
        <w:pStyle w:val="ListBullet"/>
      </w:pPr>
      <w:r>
        <w:t>Decision-making authority: Questionable - PE fund likely controls</w:t>
      </w:r>
    </w:p>
    <w:p>
      <w:pPr/>
      <w:r>
        <w:rPr>
          <w:b/>
        </w:rPr>
        <w:t>Risk</w:t>
      </w:r>
      <w:r>
        <w:t>: Tax authorities may deny beneficial ownership status if Netherlands HoldCo acts as mere conduit.</w:t>
      </w:r>
    </w:p>
    <w:p>
      <w:pPr/>
      <w:r>
        <w:rPr>
          <w:b/>
        </w:rPr>
        <w:t>3. Principal Purpose Test (PPT)</w:t>
      </w:r>
      <w:r>
        <w:t xml:space="preserve"> (if Brazil-Netherlands treaty modified by MLI):</w:t>
      </w:r>
    </w:p>
    <w:p>
      <w:pPr/>
      <w:r>
        <w:rPr>
          <w:b/>
        </w:rPr>
        <w:t>Was one of the principal purposes obtaining treaty benefits?</w:t>
      </w:r>
    </w:p>
    <w:p>
      <w:pPr>
        <w:pStyle w:val="ListBullet"/>
      </w:pPr>
      <w:r>
        <w:t>Timing: Netherlands HoldCo established shortly before dividend</w:t>
      </w:r>
    </w:p>
    <w:p>
      <w:pPr>
        <w:pStyle w:val="ListBullet"/>
      </w:pPr>
      <w:r>
        <w:t>Business purpose: No operational reason beyond tax</w:t>
      </w:r>
    </w:p>
    <w:p>
      <w:pPr>
        <w:pStyle w:val="ListBullet"/>
      </w:pPr>
      <w:r>
        <w:t>Substance: Minimal employees, serviced office</w:t>
      </w:r>
    </w:p>
    <w:p>
      <w:pPr>
        <w:pStyle w:val="ListBullet"/>
      </w:pPr>
      <w:r>
        <w:t>Alternative structures: Direct holding from Cayman would incur higher tax</w:t>
      </w:r>
    </w:p>
    <w:p>
      <w:pPr/>
      <w:r>
        <w:rPr>
          <w:b/>
        </w:rPr>
        <w:t>Conclusion</w:t>
      </w:r>
      <w:r>
        <w:t xml:space="preserve">: Likely </w:t>
      </w:r>
      <w:r>
        <w:rPr>
          <w:b/>
        </w:rPr>
        <w:t>YES</w:t>
      </w:r>
      <w:r>
        <w:t xml:space="preserve"> - obtaining treaty benefit was one of principal purposes.</w:t>
      </w:r>
    </w:p>
    <w:p>
      <w:pPr/>
      <w:r>
        <w:rPr>
          <w:b/>
        </w:rPr>
        <w:t>Would granting benefit be contrary to treaty object/purpose?</w:t>
      </w:r>
    </w:p>
    <w:p>
      <w:pPr>
        <w:pStyle w:val="ListBullet"/>
      </w:pPr>
      <w:r>
        <w:t>Treaty intended to prevent double taxation and facilitate genuine cross-border investment</w:t>
      </w:r>
    </w:p>
    <w:p>
      <w:pPr>
        <w:pStyle w:val="ListBullet"/>
      </w:pPr>
      <w:r>
        <w:t>Structure appears designed primarily for treaty access (treaty shopping)</w:t>
      </w:r>
    </w:p>
    <w:p>
      <w:pPr>
        <w:pStyle w:val="ListBullet"/>
      </w:pPr>
      <w:r>
        <w:t>Ultimate beneficial owners (US PE fund) could not directly access same treaty benefits</w:t>
      </w:r>
    </w:p>
    <w:p>
      <w:pPr/>
      <w:r>
        <w:rPr>
          <w:b/>
        </w:rPr>
        <w:t>Conclusion</w:t>
      </w:r>
      <w:r>
        <w:t xml:space="preserve">: Likely </w:t>
      </w:r>
      <w:r>
        <w:rPr>
          <w:b/>
        </w:rPr>
        <w:t>YES</w:t>
      </w:r>
      <w:r>
        <w:t xml:space="preserve"> - granting benefits contrary to object/purpose.</w:t>
      </w:r>
    </w:p>
    <w:p>
      <w:pPr/>
      <w:r>
        <w:rPr>
          <w:b/>
        </w:rPr>
        <w:t>PPT Application</w:t>
      </w:r>
      <w:r>
        <w:t xml:space="preserve">: Brazilian tax authorities likely to </w:t>
      </w:r>
      <w:r>
        <w:rPr>
          <w:b/>
        </w:rPr>
        <w:t>deny treaty benefits</w:t>
      </w:r>
      <w:r>
        <w:t xml:space="preserve"> under Principal Purpose Test (PPT), applying 25% domestic withholding rate.</w:t>
      </w:r>
    </w:p>
    <w:p>
      <w:pPr/>
      <w:r>
        <w:rPr>
          <w:b/>
        </w:rPr>
        <w:t>Alternative Approach - Genuine Substance</w:t>
      </w:r>
      <w:r>
        <w:t>:</w:t>
      </w:r>
    </w:p>
    <w:p>
      <w:pPr/>
      <w:r>
        <w:t>If OIC restructures Netherlands HoldCo with genuine substance:</w:t>
      </w:r>
    </w:p>
    <w:p>
      <w:pPr>
        <w:pStyle w:val="ListBullet"/>
      </w:pPr>
      <w:r>
        <w:rPr>
          <w:b/>
        </w:rPr>
        <w:t>Purpose</w:t>
      </w:r>
      <w:r>
        <w:t>: Regional European headquarters managing multiple Latin American investments (not just Brazil)</w:t>
      </w:r>
    </w:p>
    <w:p>
      <w:pPr>
        <w:pStyle w:val="ListBullet"/>
      </w:pPr>
      <w:r>
        <w:rPr>
          <w:b/>
        </w:rPr>
        <w:t>Employees</w:t>
      </w:r>
      <w:r>
        <w:t>: 5-10 employees including Chief Financial Officer, investment managers, legal/compliance</w:t>
      </w:r>
    </w:p>
    <w:p>
      <w:pPr>
        <w:pStyle w:val="ListBullet"/>
      </w:pPr>
      <w:r>
        <w:rPr>
          <w:b/>
        </w:rPr>
        <w:t>Functions</w:t>
      </w:r>
      <w:r>
        <w:t>: Active investment management, treasury, compliance, group financing</w:t>
      </w:r>
    </w:p>
    <w:p>
      <w:pPr>
        <w:pStyle w:val="ListBullet"/>
      </w:pPr>
      <w:r>
        <w:rPr>
          <w:b/>
        </w:rPr>
        <w:t>Office</w:t>
      </w:r>
      <w:r>
        <w:t>: Physical office space with operational facilities</w:t>
      </w:r>
    </w:p>
    <w:p>
      <w:pPr>
        <w:pStyle w:val="ListBullet"/>
      </w:pPr>
      <w:r>
        <w:rPr>
          <w:b/>
        </w:rPr>
        <w:t>Decision-making</w:t>
      </w:r>
      <w:r>
        <w:t>: Board meetings with documented decisions, investment committee</w:t>
      </w:r>
    </w:p>
    <w:p>
      <w:pPr>
        <w:pStyle w:val="ListBullet"/>
      </w:pPr>
      <w:r>
        <w:rPr>
          <w:b/>
        </w:rPr>
        <w:t>Timing</w:t>
      </w:r>
      <w:r>
        <w:t>: Established with clear business plan, pre-existing Brazilian investment</w:t>
      </w:r>
    </w:p>
    <w:p>
      <w:pPr/>
      <w:r>
        <w:rPr>
          <w:b/>
        </w:rPr>
        <w:t>PPT Analysis with Substance</w:t>
      </w:r>
      <w:r>
        <w:t>:</w:t>
      </w:r>
    </w:p>
    <w:p>
      <w:pPr>
        <w:pStyle w:val="ListBullet"/>
      </w:pPr>
      <w:r>
        <w:t>Principal purpose: Regional management hub (tax benefit incidental, not principal)</w:t>
      </w:r>
    </w:p>
    <w:p>
      <w:pPr>
        <w:pStyle w:val="ListBullet"/>
      </w:pPr>
      <w:r>
        <w:t>Business purpose: Clear non-tax rationale</w:t>
      </w:r>
    </w:p>
    <w:p>
      <w:pPr>
        <w:pStyle w:val="ListBullet"/>
      </w:pPr>
      <w:r>
        <w:t>Contrary to object/purpose: Arguable no - genuine cross-border investment facilitation</w:t>
      </w:r>
    </w:p>
    <w:p>
      <w:pPr/>
      <w:r>
        <w:rPr>
          <w:b/>
        </w:rPr>
        <w:t>Conclusion</w:t>
      </w:r>
      <w:r>
        <w:t>: If genuine substance established, PPT less likely to apply. However, beneficial ownership still requires economic substance and genuine decision-making authority.</w:t>
      </w:r>
    </w:p>
    <w:p>
      <w:pPr/>
      <w:r>
        <w:rPr>
          <w:b/>
        </w:rPr>
        <w:t>Recommendation</w:t>
      </w:r>
      <w:r>
        <w:t>:</w:t>
      </w:r>
    </w:p>
    <w:p>
      <w:pPr/>
      <w:r>
        <w:rPr>
          <w:b/>
        </w:rPr>
        <w:t>Short term</w:t>
      </w:r>
      <w:r>
        <w:t>: Do not implement Netherlands structure without substantial business purpose and operational substance. Risk of treaty benefit denial is high.</w:t>
      </w:r>
    </w:p>
    <w:p>
      <w:pPr/>
      <w:r>
        <w:rPr>
          <w:b/>
        </w:rPr>
        <w:t>Long term</w:t>
      </w:r>
      <w:r>
        <w:t>: If OIC developing multiple Latin American investments, consider:</w:t>
      </w:r>
    </w:p>
    <w:p>
      <w:pPr>
        <w:pStyle w:val="ListNumber"/>
      </w:pPr>
      <w:r>
        <w:t>Establish Netherlands regional hub with genuine operational substance</w:t>
      </w:r>
    </w:p>
    <w:p>
      <w:pPr>
        <w:pStyle w:val="ListNumber"/>
      </w:pPr>
      <w:r>
        <w:t>Document clear business purposes and functions beyond tax</w:t>
      </w:r>
    </w:p>
    <w:p>
      <w:pPr>
        <w:pStyle w:val="ListNumber"/>
      </w:pPr>
      <w:r>
        <w:t>Obtain advance tax ruling from Dutch and Brazilian authorities</w:t>
      </w:r>
    </w:p>
    <w:p>
      <w:pPr>
        <w:pStyle w:val="ListNumber"/>
      </w:pPr>
      <w:r>
        <w:t>Consider Luxembourg or other jurisdictions with similar treaty networks and European Union law protections</w:t>
      </w:r>
    </w:p>
    <w:p>
      <w:pPr>
        <w:pStyle w:val="ListNumber"/>
      </w:pPr>
      <w:r>
        <w:t>Ensure compliance with substance requirements, beneficial ownership tests, and PPT defenses</w:t>
      </w:r>
    </w:p>
    <w:p>
      <w:pPr/>
      <w:r>
        <w:rPr>
          <w:b/>
        </w:rPr>
        <w:t>Cost-benefit</w:t>
      </w:r>
      <w:r>
        <w:t>: Netherlands substance costs EUR 500K-1M annually; tax savings USD 7.5M annually. Viable if substance genuine and PPT risk mitigated.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