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EXAMINATION</w:t>
      </w:r>
    </w:p>
    <w:p>
      <w:pPr>
        <w:pStyle w:val="Heading2"/>
      </w:pPr>
      <w:r>
        <w:t>ADIT Module 3.03 – Transfer Pricing Option</w:t>
      </w:r>
    </w:p>
    <w:p>
      <w:pPr>
        <w:pStyle w:val="Heading2"/>
      </w:pPr>
      <w:r>
        <w:t>Mock Exam 7</w:t>
      </w:r>
    </w:p>
    <w:p>
      <w:r>
        <w:rPr>
          <w:b w:val="0"/>
          <w:i w:val="0"/>
          <w:sz w:val="22"/>
        </w:rPr>
        <w:t>Time Allowed: 3 hours 15 minutes</w:t>
      </w:r>
    </w:p>
    <w:p>
      <w:r>
        <w:rPr>
          <w:b w:val="0"/>
          <w:i w:val="0"/>
          <w:sz w:val="22"/>
        </w:rPr>
        <w:t>Total Marks: 100 marks</w:t>
      </w:r>
    </w:p>
    <w:p>
      <w:r>
        <w:rPr>
          <w:b w:val="0"/>
          <w:i w:val="0"/>
          <w:sz w:val="22"/>
        </w:rPr>
        <w:t>Date: November 2025</w:t>
      </w:r>
    </w:p>
    <w:p/>
    <w:p>
      <w:r>
        <w:rPr>
          <w:b w:val="0"/>
          <w:i w:val="0"/>
          <w:sz w:val="22"/>
        </w:rPr>
        <w:t>INSTRUCTIONS TO CANDIDATES:</w:t>
      </w:r>
    </w:p>
    <w:p>
      <w:r>
        <w:rPr>
          <w:b w:val="0"/>
          <w:i w:val="0"/>
          <w:sz w:val="22"/>
        </w:rPr>
        <w:t>• Answer FIVE questions in total</w:t>
      </w:r>
    </w:p>
    <w:p>
      <w:r>
        <w:rPr>
          <w:b w:val="0"/>
          <w:i w:val="0"/>
          <w:sz w:val="22"/>
        </w:rPr>
        <w:t>• PART A: Answer BOTH questions (2 × 25 marks = 50 marks)</w:t>
      </w:r>
    </w:p>
    <w:p>
      <w:r>
        <w:rPr>
          <w:b w:val="0"/>
          <w:i w:val="0"/>
          <w:sz w:val="22"/>
        </w:rPr>
        <w:t>• PART B: Answer ONE question from the two offered (20 marks)</w:t>
      </w:r>
    </w:p>
    <w:p>
      <w:r>
        <w:rPr>
          <w:b w:val="0"/>
          <w:i w:val="0"/>
          <w:sz w:val="22"/>
        </w:rPr>
        <w:t>• PART C: Answer TWO questions from the five offered (2 × 15 marks = 30 marks)</w:t>
      </w:r>
    </w:p>
    <w:p/>
    <w:p>
      <w:r>
        <w:rPr>
          <w:b w:val="0"/>
          <w:i w:val="0"/>
          <w:sz w:val="22"/>
        </w:rPr>
        <w:t>Write your answers clearly and legibly. Marks will be awarded for:</w:t>
      </w:r>
    </w:p>
    <w:p>
      <w:r>
        <w:rPr>
          <w:b w:val="0"/>
          <w:i w:val="0"/>
          <w:sz w:val="22"/>
        </w:rPr>
        <w:t>• Correct identification and analysis of issues</w:t>
      </w:r>
    </w:p>
    <w:p>
      <w:r>
        <w:rPr>
          <w:b w:val="0"/>
          <w:i w:val="0"/>
          <w:sz w:val="22"/>
        </w:rPr>
        <w:t>• Application of OECD Transfer Pricing Guidelines</w:t>
      </w:r>
    </w:p>
    <w:p>
      <w:r>
        <w:rPr>
          <w:b w:val="0"/>
          <w:i w:val="0"/>
          <w:sz w:val="22"/>
        </w:rPr>
        <w:t>• Supporting calculations and references</w:t>
      </w:r>
    </w:p>
    <w:p>
      <w:r>
        <w:rPr>
          <w:b w:val="0"/>
          <w:i w:val="0"/>
          <w:sz w:val="22"/>
        </w:rPr>
        <w:t>• Clear presentation and structure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A: COMPULSORY CASE STUDY QUESTIONS</w:t>
      </w:r>
    </w:p>
    <w:p>
      <w:r>
        <w:rPr>
          <w:b w:val="0"/>
          <w:i/>
          <w:sz w:val="22"/>
        </w:rPr>
        <w:t>Answer BOTH questions. Each question is worth 25 marks.</w:t>
      </w:r>
    </w:p>
    <w:p/>
    <w:p>
      <w:pPr>
        <w:pStyle w:val="Heading2"/>
      </w:pPr>
      <w:r>
        <w:t>QUESTION 1 (25 marks)</w:t>
      </w:r>
    </w:p>
    <w:p>
      <w:r>
        <w:rPr>
          <w:b w:val="0"/>
          <w:i w:val="0"/>
          <w:sz w:val="22"/>
        </w:rPr>
        <w:br/>
        <w:t>SCENARIO - Construction Global</w:t>
        <w:br/>
        <w:br/>
        <w:t>Construction Global is a multinational construction and engineering services company</w:t>
        <w:br/>
        <w:t>operating on major infrastructure projects across continents.</w:t>
        <w:br/>
        <w:br/>
        <w:t>GROUP STRUCTURE:</w:t>
        <w:br/>
        <w:br/>
        <w:t>1. Construction Global Holding (Luxembourg) - Parent company</w:t>
        <w:br/>
        <w:t>2. Construction Europe (Belgium) - European operations</w:t>
        <w:br/>
        <w:t>3. Construction Americas (USA) - Americas operations</w:t>
        <w:br/>
        <w:t>4. Construction Engineering (India) - Design and engineering</w:t>
        <w:br/>
        <w:t>5. Construction Resources (UAE) - Project management and coordination</w:t>
        <w:br/>
        <w:br/>
        <w:t>COMPANY PROFILES:</w:t>
        <w:br/>
        <w:br/>
        <w:t>Construction Global Holding (Luxembourg):</w:t>
        <w:br/>
        <w:t>- Parent company providing group coordination</w:t>
        <w:br/>
        <w:t>- Bid on large international projects</w:t>
        <w:br/>
        <w:t>- Provide management and oversight</w:t>
        <w:br/>
        <w:t>- Employees: 25 management and business development</w:t>
        <w:br/>
        <w:t>- Tax rate: 17%</w:t>
        <w:br/>
        <w:br/>
        <w:t>Construction Europe (Belgium):</w:t>
        <w:br/>
        <w:t>- Executes construction projects in Europe</w:t>
        <w:br/>
        <w:t>- Brings in engineering from India</w:t>
        <w:br/>
        <w:t>- Project team on-site at customer locations</w:t>
        <w:br/>
        <w:t>- Employees: 200 project managers, site supervisors, some labor</w:t>
        <w:br/>
        <w:t>- Annual revenue from projects: EUR 150 million</w:t>
        <w:br/>
        <w:t>- Annual direct labor and costs: EUR 120 million</w:t>
        <w:br/>
        <w:t>- Annual net profit: EUR 15 million</w:t>
        <w:br/>
        <w:t>- Tax rate: 29.58%</w:t>
        <w:br/>
        <w:t>- Typically on-site for 18-36 months per project</w:t>
        <w:br/>
        <w:br/>
        <w:t>Construction Americas (USA):</w:t>
        <w:br/>
        <w:t>- Executes construction projects in North and South America</w:t>
        <w:br/>
        <w:t>- Brings in engineering from India</w:t>
        <w:br/>
        <w:t>- Project team on-site at customer locations</w:t>
        <w:br/>
        <w:t>- Employees: 300 project managers, engineers, some labor</w:t>
        <w:br/>
        <w:t>- Annual revenue from projects: USD 200 million</w:t>
        <w:br/>
        <w:t>- Annual costs: USD 170 million</w:t>
        <w:br/>
        <w:t>- Annual net profit: USD 20 million</w:t>
        <w:br/>
        <w:t>- Tax rate: 21%</w:t>
        <w:br/>
        <w:t>- Current major project: 28-month infrastructure project in Mexico</w:t>
        <w:br/>
        <w:br/>
        <w:t>Construction Engineering (India):</w:t>
        <w:br/>
        <w:t>- Provides engineering design and technical services</w:t>
        <w:br/>
        <w:t>- Provides key technical personnel for project teams</w:t>
        <w:br/>
        <w:t>- Performs site inspections and technical oversight</w:t>
        <w:br/>
        <w:t>- Employees: 150 engineers and technical specialists</w:t>
        <w:br/>
        <w:t>- Annual revenue: INR 350 million (for engineering and technical services)</w:t>
        <w:br/>
        <w:t>- Annual costs: INR 310 million</w:t>
        <w:br/>
        <w:t>- Profit margin: INR 40 million (11%)</w:t>
        <w:br/>
        <w:t>- Tax rate: 30%</w:t>
        <w:br/>
        <w:br/>
        <w:t>Construction Resources (UAE):</w:t>
        <w:br/>
        <w:t>- Project management office for Middle East and Africa</w:t>
        <w:br/>
        <w:t>- Central coordination and planning</w:t>
        <w:br/>
        <w:t>- Equipment storage and logistics</w:t>
        <w:br/>
        <w:t>- Employees: 80</w:t>
        <w:br/>
        <w:t>- Annual coordination and management fees: AED 50 million</w:t>
        <w:br/>
        <w:t>- Annual costs: AED 30 million</w:t>
        <w:br/>
        <w:t>- Profit: AED 20 million</w:t>
        <w:br/>
        <w:t>- Tax rate: 0% (no corporate tax in UAE)</w:t>
        <w:br/>
        <w:br/>
        <w:t>PROJECT STRUCTURE:</w:t>
        <w:br/>
        <w:t>Example: 28-Month Construction Project in Mexico</w:t>
        <w:br/>
        <w:br/>
        <w:t>Total project value: USD 200 million</w:t>
        <w:br/>
        <w:t>- Construction Europe wins bid: USD 80 million portion</w:t>
        <w:br/>
        <w:t>- Construction Americas wins bid: USD 120 million portion</w:t>
        <w:br/>
        <w:t>- Construction Engineering provides technical services: INR 1.2 billion (USD 14 million)</w:t>
        <w:br/>
        <w:t>- Construction Resources coordinates: AED 30 million (USD 8 million)</w:t>
        <w:br/>
        <w:br/>
        <w:t>Key personnel on-site in Mexico for 28 months:</w:t>
        <w:br/>
        <w:t>- From Construction Europe: 50 employees</w:t>
        <w:br/>
        <w:t>- From Construction Americas: 80 employees</w:t>
        <w:br/>
        <w:t>- From Construction Engineering: 20 key technical staff members</w:t>
        <w:br/>
        <w:t>- From Construction Resources: 5 project coordinators</w:t>
        <w:br/>
        <w:br/>
        <w:t>REQUIRED:</w:t>
        <w:br/>
        <w:br/>
        <w:t>(a) Analyze whether Construction Engineering's activities in Mexico constitute a Permanent</w:t>
        <w:br/>
        <w:t xml:space="preserve">    Establishment under Article 5 of the OECD Model Tax Convention. Specifically consider:</w:t>
        <w:br/>
        <w:t xml:space="preserve">    (i)   Whether there is a "fixed place of business"</w:t>
        <w:br/>
        <w:t xml:space="preserve">    (ii)  The duration and nature of the presence</w:t>
        <w:br/>
        <w:t xml:space="preserve">    (iii) The dependent agent PE rules</w:t>
        <w:br/>
        <w:t xml:space="preserve">    (10 marks)</w:t>
        <w:br/>
        <w:br/>
        <w:t>(b) If a PE is deemed to exist, discuss how profits should be attributed to the PE using</w:t>
        <w:br/>
        <w:t xml:space="preserve">    the Authorized OECD Approach. What functions and assets would you attribute to the PE?</w:t>
        <w:br/>
        <w:t xml:space="preserve">    (9 marks)</w:t>
        <w:br/>
        <w:br/>
        <w:t>(c) Evaluate the current transfer pricing arrangement for engineering services (INR 1.2</w:t>
        <w:br/>
        <w:t xml:space="preserve">    billion). Is this arm's length? What factors should influence the pricing?</w:t>
        <w:br/>
        <w:t xml:space="preserve">    (6 marks)</w:t>
        <w:br/>
      </w:r>
    </w:p>
    <w:p>
      <w:pPr>
        <w:pStyle w:val="Heading2"/>
      </w:pPr>
      <w:r>
        <w:t>QUESTION 2 (25 marks)</w:t>
      </w:r>
    </w:p>
    <w:p>
      <w:r>
        <w:rPr>
          <w:b w:val="0"/>
          <w:i w:val="0"/>
          <w:sz w:val="22"/>
        </w:rPr>
        <w:br/>
        <w:t>Continuing with Construction Global:</w:t>
        <w:br/>
        <w:br/>
        <w:t>(a) Discuss transfer pricing issues for the services provided by Construction Resources</w:t>
        <w:br/>
        <w:t xml:space="preserve">    (UAE). Is the profit allocation appropriate given the UAE has no corporate tax? What</w:t>
        <w:br/>
        <w:t xml:space="preserve">    risks or concerns should the group consider?</w:t>
        <w:br/>
        <w:t xml:space="preserve">    (10 marks)</w:t>
        <w:br/>
        <w:br/>
        <w:t>(b) The Mexico tax authority has challenged the construction group's transfer pricing,</w:t>
        <w:br/>
        <w:t xml:space="preserve">    claiming that Construction Engineering should bear greater costs given the nature of</w:t>
        <w:br/>
        <w:t xml:space="preserve">    its activities. Respond to this challenge with a complete analysis and recommendation.</w:t>
        <w:br/>
        <w:t xml:space="preserve">    (10 marks)</w:t>
        <w:br/>
        <w:br/>
        <w:t>(c) Recommend changes to the group's structure or transfer pricing arrangements to</w:t>
        <w:br/>
        <w:t xml:space="preserve">    minimize the risk of PE challenges in future projects while maintaining operational</w:t>
        <w:br/>
        <w:t xml:space="preserve">    efficiency.</w:t>
        <w:br/>
        <w:t xml:space="preserve">    (5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B: CHOOSE ONE SCENARIO QUESTION (20 marks)</w:t>
      </w:r>
    </w:p>
    <w:p>
      <w:r>
        <w:rPr>
          <w:b w:val="0"/>
          <w:i/>
          <w:sz w:val="22"/>
        </w:rPr>
        <w:t>Answer ONE question from the two offered.</w:t>
      </w:r>
    </w:p>
    <w:p/>
    <w:p>
      <w:pPr>
        <w:pStyle w:val="Heading2"/>
      </w:pPr>
      <w:r>
        <w:t>QUESTION 3 (20 marks)</w:t>
      </w:r>
    </w:p>
    <w:p>
      <w:r>
        <w:rPr>
          <w:b w:val="0"/>
          <w:i w:val="0"/>
          <w:sz w:val="22"/>
        </w:rPr>
        <w:br/>
        <w:t>Your client is a multinational group that is undertaking a significant business restructuring.</w:t>
        <w:br/>
        <w:t>The group is considering relocating manufacturing operations from a developed country (Current</w:t>
        <w:br/>
        <w:t>Location) to a developing country (New Location) to reduce costs. The current manufacturer</w:t>
        <w:br/>
        <w:t>achieves a net profit margin of 15% on manufacturing activities. The new location can</w:t>
        <w:br/>
        <w:t>manufacture the same product at 35% lower cost.</w:t>
        <w:br/>
        <w:br/>
        <w:t>(a) Discuss the transfer pricing issues arising from this relocation, specifically:</w:t>
        <w:br/>
        <w:t xml:space="preserve">    (i)   Exit charge implications for the current manufacturer</w:t>
        <w:br/>
        <w:t xml:space="preserve">    (ii)  Transfer pricing methodology for the new manufacturer</w:t>
        <w:br/>
        <w:t xml:space="preserve">    (iii) Working capital and inventory adjustment implications</w:t>
        <w:br/>
        <w:t xml:space="preserve">    (iv)  The impact of the cost reduction on future transfer prices</w:t>
        <w:br/>
        <w:t xml:space="preserve">    (8 marks)</w:t>
        <w:br/>
        <w:br/>
        <w:t>(b) Recommend a defensible approach to pricing this restructuring that balances commercial</w:t>
        <w:br/>
        <w:t xml:space="preserve">    rationale with transfer pricing compliance. Consider any APAs or advance notice to tax</w:t>
        <w:br/>
        <w:t xml:space="preserve">    authorities that might be appropriate.</w:t>
        <w:br/>
        <w:t xml:space="preserve">    (12 marks)</w:t>
        <w:br/>
      </w:r>
    </w:p>
    <w:p/>
    <w:p>
      <w:pPr>
        <w:pStyle w:val="Heading2"/>
      </w:pPr>
      <w:r>
        <w:t>QUESTION 4 (20 marks)</w:t>
      </w:r>
    </w:p>
    <w:p>
      <w:r>
        <w:rPr>
          <w:b w:val="0"/>
          <w:i w:val="0"/>
          <w:sz w:val="22"/>
        </w:rPr>
        <w:br/>
        <w:t>Your client operates an international service delivery model where a service provider based</w:t>
        <w:br/>
        <w:t>in a low-tax jurisdiction provides technical services to operating entities in higher-tax</w:t>
        <w:br/>
        <w:t>jurisdictions. The service provider is charging on a cost-plus basis, which results in the</w:t>
        <w:br/>
        <w:t>service provider earning a minimal margin while the operating entities earn substantial</w:t>
        <w:br/>
        <w:t>profits. A tax authority in one of the higher-tax jurisdictions has challenged whether the</w:t>
        <w:br/>
        <w:t>service provider should be earning a higher margin and whether the service provider might</w:t>
        <w:br/>
        <w:t>constitute a Permanent Establishment.</w:t>
        <w:br/>
        <w:br/>
        <w:t>(a) Analyze the transfer pricing issue:</w:t>
        <w:br/>
        <w:t xml:space="preserve">    (i)   What is the current transfer pricing methodology?</w:t>
        <w:br/>
        <w:t xml:space="preserve">    (ii)  Is the cost-plus basis appropriate for these services?</w:t>
        <w:br/>
        <w:t xml:space="preserve">    (iii) What alternative transfer pricing methodologies might be considered?</w:t>
        <w:br/>
        <w:t xml:space="preserve">    (iv)  What would be an arm's length profit margin for the service provider?</w:t>
        <w:br/>
        <w:t xml:space="preserve">    (8 marks)</w:t>
        <w:br/>
        <w:br/>
        <w:t>(b) Evaluate the PE risk and recommend a structure that minimizes PE exposure while</w:t>
        <w:br/>
        <w:t xml:space="preserve">    maintaining transfer pricing defensibility:</w:t>
        <w:br/>
        <w:t xml:space="preserve">    (i)   What functions and assets of the service provider increase PE risk?</w:t>
        <w:br/>
        <w:t xml:space="preserve">    (ii)  How could the structure be modified to reduce PE exposure?</w:t>
        <w:br/>
        <w:t xml:space="preserve">    (iii) What documentation should be prepared?</w:t>
        <w:br/>
        <w:t xml:space="preserve">    (12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C: CHOOSE TWO SHORT QUESTIONS (15 marks each)</w:t>
      </w:r>
    </w:p>
    <w:p>
      <w:r>
        <w:rPr>
          <w:b w:val="0"/>
          <w:i/>
          <w:sz w:val="22"/>
        </w:rPr>
        <w:t>Answer TWO questions from the five offered. Each question is worth 15 marks.</w:t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p>
      <w:pPr>
        <w:pStyle w:val="Heading2"/>
      </w:pPr>
      <w:r>
        <w:t>QUESTION 5</w:t>
      </w:r>
    </w:p>
    <w:p>
      <w:r>
        <w:rPr>
          <w:b w:val="0"/>
          <w:i w:val="0"/>
          <w:sz w:val="22"/>
        </w:rPr>
        <w:br/>
        <w:t>INTRAGROUP SERVICES AND SERVICE HUBS</w:t>
        <w:br/>
        <w:br/>
        <w:t>Discuss the key transfer pricing issues for intragroup services, including:</w:t>
        <w:br/>
        <w:t>(a) How to distinguish between:</w:t>
        <w:br/>
        <w:t xml:space="preserve">    (i)   Genuine intragroup services subject to transfer pricing</w:t>
        <w:br/>
        <w:t xml:space="preserve">    (ii)  Shareholder activities (not subject to charge)</w:t>
        <w:br/>
        <w:t xml:space="preserve">    (iii) Duplicative services (not subject to charge)</w:t>
        <w:br/>
        <w:t xml:space="preserve">    (8 marks)</w:t>
        <w:br/>
        <w:br/>
        <w:t>(b) The transfer pricing methodology appropriate for:</w:t>
        <w:br/>
        <w:t xml:space="preserve">    (i)   Administrative and back-office services</w:t>
        <w:br/>
        <w:t xml:space="preserve">    (ii)  Technical and professional services</w:t>
        <w:br/>
        <w:t xml:space="preserve">    (iii) Management and coordination services</w:t>
        <w:br/>
        <w:t xml:space="preserve">    (7 marks)</w:t>
        <w:br/>
      </w:r>
    </w:p>
    <w:p/>
    <w:p>
      <w:pPr>
        <w:pStyle w:val="Heading2"/>
      </w:pPr>
      <w:r>
        <w:t>QUESTION 6</w:t>
      </w:r>
    </w:p>
    <w:p>
      <w:r>
        <w:rPr>
          <w:b w:val="0"/>
          <w:i w:val="0"/>
          <w:sz w:val="22"/>
        </w:rPr>
        <w:br/>
        <w:t>INTELLECTUAL PROPERTY AND DEMPE FRAMEWORK</w:t>
        <w:br/>
        <w:br/>
        <w:t>Explain the DEMPE framework (Development, Enhancement, Maintenance, Protection, Exploitation)</w:t>
        <w:br/>
        <w:t>and its application to transfer pricing, addressing:</w:t>
        <w:br/>
        <w:t>(a) How BEPS Actions 8-10 have changed transfer pricing analysis for intellectual property</w:t>
        <w:br/>
        <w:t xml:space="preserve">    (8 marks)</w:t>
        <w:br/>
        <w:br/>
        <w:t>(b) How DEMPE analysis should influence:</w:t>
        <w:br/>
        <w:t xml:space="preserve">    (i)   The allocation of R&amp;D costs among group entities</w:t>
        <w:br/>
        <w:t xml:space="preserve">    (ii)  The transfer pricing methodology for IP licensing</w:t>
        <w:br/>
        <w:t xml:space="preserve">    (iii) The profit allocation between IP owners and users</w:t>
        <w:br/>
        <w:t xml:space="preserve">    (7 marks)</w:t>
        <w:br/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/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/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