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EXAMINATION</w:t>
      </w:r>
    </w:p>
    <w:p>
      <w:pPr>
        <w:pStyle w:val="Heading2"/>
      </w:pPr>
      <w:r>
        <w:t>ADIT Module 3.03 – Transfer Pricing Option</w:t>
      </w:r>
    </w:p>
    <w:p>
      <w:pPr>
        <w:pStyle w:val="Heading2"/>
      </w:pPr>
      <w:r>
        <w:t>Mock Exam 9</w:t>
      </w:r>
    </w:p>
    <w:p>
      <w:r>
        <w:rPr>
          <w:b w:val="0"/>
          <w:i w:val="0"/>
          <w:sz w:val="22"/>
        </w:rPr>
        <w:t>Time Allowed: 3 hours 15 minutes</w:t>
      </w:r>
    </w:p>
    <w:p>
      <w:r>
        <w:rPr>
          <w:b w:val="0"/>
          <w:i w:val="0"/>
          <w:sz w:val="22"/>
        </w:rPr>
        <w:t>Total Marks: 100 marks</w:t>
      </w:r>
    </w:p>
    <w:p>
      <w:r>
        <w:rPr>
          <w:b w:val="0"/>
          <w:i w:val="0"/>
          <w:sz w:val="22"/>
        </w:rPr>
        <w:t>Date: November 2025</w:t>
      </w:r>
    </w:p>
    <w:p/>
    <w:p>
      <w:r>
        <w:rPr>
          <w:b w:val="0"/>
          <w:i w:val="0"/>
          <w:sz w:val="22"/>
        </w:rPr>
        <w:t>INSTRUCTIONS TO CANDIDATES:</w:t>
      </w:r>
    </w:p>
    <w:p>
      <w:r>
        <w:rPr>
          <w:b w:val="0"/>
          <w:i w:val="0"/>
          <w:sz w:val="22"/>
        </w:rPr>
        <w:t>• Answer FIVE questions in total</w:t>
      </w:r>
    </w:p>
    <w:p>
      <w:r>
        <w:rPr>
          <w:b w:val="0"/>
          <w:i w:val="0"/>
          <w:sz w:val="22"/>
        </w:rPr>
        <w:t>• PART A: Answer BOTH questions (2 × 25 marks = 50 marks)</w:t>
      </w:r>
    </w:p>
    <w:p>
      <w:r>
        <w:rPr>
          <w:b w:val="0"/>
          <w:i w:val="0"/>
          <w:sz w:val="22"/>
        </w:rPr>
        <w:t>• PART B: Answer ONE question from the two offered (20 marks)</w:t>
      </w:r>
    </w:p>
    <w:p>
      <w:r>
        <w:rPr>
          <w:b w:val="0"/>
          <w:i w:val="0"/>
          <w:sz w:val="22"/>
        </w:rPr>
        <w:t>• PART C: Answer TWO questions from the five offered (2 × 15 marks = 30 marks)</w:t>
      </w:r>
    </w:p>
    <w:p/>
    <w:p>
      <w:r>
        <w:rPr>
          <w:b w:val="0"/>
          <w:i w:val="0"/>
          <w:sz w:val="22"/>
        </w:rPr>
        <w:t>Write your answers clearly and legibly. Marks will be awarded for:</w:t>
      </w:r>
    </w:p>
    <w:p>
      <w:r>
        <w:rPr>
          <w:b w:val="0"/>
          <w:i w:val="0"/>
          <w:sz w:val="22"/>
        </w:rPr>
        <w:t>• Correct identification and analysis of issues</w:t>
      </w:r>
    </w:p>
    <w:p>
      <w:r>
        <w:rPr>
          <w:b w:val="0"/>
          <w:i w:val="0"/>
          <w:sz w:val="22"/>
        </w:rPr>
        <w:t>• Application of OECD Transfer Pricing Guidelines</w:t>
      </w:r>
    </w:p>
    <w:p>
      <w:r>
        <w:rPr>
          <w:b w:val="0"/>
          <w:i w:val="0"/>
          <w:sz w:val="22"/>
        </w:rPr>
        <w:t>• Supporting calculations and references</w:t>
      </w:r>
    </w:p>
    <w:p>
      <w:r>
        <w:rPr>
          <w:b w:val="0"/>
          <w:i w:val="0"/>
          <w:sz w:val="22"/>
        </w:rPr>
        <w:t>• Clear presentation and structure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A: COMPULSORY CASE STUDY QUESTIONS</w:t>
      </w:r>
    </w:p>
    <w:p>
      <w:r>
        <w:rPr>
          <w:b w:val="0"/>
          <w:i/>
          <w:sz w:val="22"/>
        </w:rPr>
        <w:t>Answer BOTH questions. Each question is worth 25 marks.</w:t>
      </w:r>
    </w:p>
    <w:p/>
    <w:p>
      <w:pPr>
        <w:pStyle w:val="Heading2"/>
      </w:pPr>
      <w:r>
        <w:t>QUESTION 1 (25 marks)</w:t>
      </w:r>
    </w:p>
    <w:p>
      <w:r>
        <w:rPr>
          <w:b w:val="0"/>
          <w:i w:val="0"/>
          <w:sz w:val="22"/>
        </w:rPr>
        <w:br/>
        <w:t>SCENARIO - Global Services Provider</w:t>
        <w:br/>
        <w:br/>
        <w:t>Global Services Provider is a multinational company specializing in business process</w:t>
        <w:br/>
        <w:t>outsourcing (BPO) for financial services companies. The group provides various back-office</w:t>
        <w:br/>
        <w:t>and customer service functions.</w:t>
        <w:br/>
        <w:br/>
        <w:t>GROUP STRUCTURE:</w:t>
        <w:br/>
        <w:br/>
        <w:t>1. Global Services Holdings (Singapore) - Parent company and IP owner</w:t>
        <w:br/>
        <w:t>2. Global Services Operations (India) - Primary service delivery</w:t>
        <w:br/>
        <w:t>3. Global Services Europe (Ireland) - EU service center</w:t>
        <w:br/>
        <w:t>4. Global Services Americas (USA) - Americas customer service center</w:t>
        <w:br/>
        <w:t>5. Global Services Quality (UK) - Quality assurance and compliance</w:t>
        <w:br/>
        <w:br/>
        <w:t>COMPANY DETAILS:</w:t>
        <w:br/>
        <w:br/>
        <w:t>Global Services Holdings (Singapore):</w:t>
        <w:br/>
        <w:t>- Owns all service delivery methodologies, processes, and proprietary tools</w:t>
        <w:br/>
        <w:t>- Owns client relationships framework</w:t>
        <w:br/>
        <w:t>- Group coordination</w:t>
        <w:br/>
        <w:t>- Employees: 20 executives</w:t>
        <w:br/>
        <w:t>- Tax rate: 5% (concessional rate)</w:t>
        <w:br/>
        <w:br/>
        <w:t>Global Services Operations (India):</w:t>
        <w:br/>
        <w:t>- Provides majority of service delivery</w:t>
        <w:br/>
        <w:t>- 24/7 operations on customer processes</w:t>
        <w:br/>
        <w:t>- Handles volume processing, data entry, claims processing</w:t>
        <w:br/>
        <w:t>- Employees: 2,000</w:t>
        <w:br/>
        <w:t>- Annual revenue (from charging to other entities): INR 2,500 million</w:t>
        <w:br/>
        <w:t>- Annual costs: INR 2,200 million (labor intensive)</w:t>
        <w:br/>
        <w:t>- Net profit: INR 300 million</w:t>
        <w:br/>
        <w:t>- Tax rate: 30%</w:t>
        <w:br/>
        <w:t>- Wages: Average INR 300,000 per employee per annum</w:t>
        <w:br/>
        <w:t>- Operating margin: 12%</w:t>
        <w:br/>
        <w:br/>
        <w:t>Global Services Europe (Ireland):</w:t>
        <w:br/>
        <w:t>- Manages European client relationships</w:t>
        <w:br/>
        <w:t>- Conducts client-facing interactions</w:t>
        <w:br/>
        <w:t>- Local quality assurance (EU regulation focus)</w:t>
        <w:br/>
        <w:t>- Employees: 250</w:t>
        <w:br/>
        <w:t>- Annual revenue from clients: EUR 80 million</w:t>
        <w:br/>
        <w:t>- Annual costs paid to India operations: EUR 32 million</w:t>
        <w:br/>
        <w:t>- Annual local operating costs: EUR 35 million</w:t>
        <w:br/>
        <w:t>- Annual net profit: EUR 13 million</w:t>
        <w:br/>
        <w:t>- Tax rate: 12.5%</w:t>
        <w:br/>
        <w:t>- Margin on client revenue: 16%</w:t>
        <w:br/>
        <w:br/>
        <w:t>Global Services Americas (USA):</w:t>
        <w:br/>
        <w:t>- Manages Americas client relationships</w:t>
        <w:br/>
        <w:t>- Customer service and escalation handling</w:t>
        <w:br/>
        <w:t>- Regulatory compliance for US clients</w:t>
        <w:br/>
        <w:t>- Employees: 300</w:t>
        <w:br/>
        <w:t>- Annual revenue from clients: USD 100 million</w:t>
        <w:br/>
        <w:t>- Annual costs paid to India operations: USD 35 million</w:t>
        <w:br/>
        <w:t>- Annual local operating costs: USD 45 million</w:t>
        <w:br/>
        <w:t>- Annual net profit: USD 20 million</w:t>
        <w:br/>
        <w:t>- Tax rate: 21%</w:t>
        <w:br/>
        <w:t>- Margin on client revenue: 20%</w:t>
        <w:br/>
        <w:br/>
        <w:t>Global Services Quality (UK):</w:t>
        <w:br/>
        <w:t>- Conducts quality audits and reviews</w:t>
        <w:br/>
        <w:t>- Develops compliance protocols</w:t>
        <w:br/>
        <w:t>- Tests and validates processes</w:t>
        <w:br/>
        <w:t>- Employees: 100</w:t>
        <w:br/>
        <w:t>- Annual revenue (internal service charges): GBP 8 million</w:t>
        <w:br/>
        <w:t>- Annual costs: GBP 6 million</w:t>
        <w:br/>
        <w:t>- Net profit: GBP 2 million</w:t>
        <w:br/>
        <w:t>- Tax rate: 25%</w:t>
        <w:br/>
        <w:br/>
        <w:t>SERVICE DELIVERY MODEL:</w:t>
        <w:br/>
        <w:br/>
        <w:t>Client enters contract with Global Services Europe or Americas entities for BPO services.</w:t>
        <w:br/>
        <w:t>Revenue flows as:</w:t>
        <w:br/>
        <w:t>1. Client pays Global Services Europe/Americas</w:t>
        <w:br/>
        <w:t>2. Global Services Europe/Americas pay Global Services Operations (India) for service delivery</w:t>
        <w:br/>
        <w:t>3. Global Services Operations manages daily operations</w:t>
        <w:br/>
        <w:t>4. Global Services Quality conducts quality assurance</w:t>
        <w:br/>
        <w:t>5. Profit retained by client-facing entities (Europe and Americas)</w:t>
        <w:br/>
        <w:br/>
        <w:t>REQUIRED:</w:t>
        <w:br/>
        <w:br/>
        <w:t>(a) Perform a functional analysis for:</w:t>
        <w:br/>
        <w:t xml:space="preserve">    (i)   Global Services Operations (India)</w:t>
        <w:br/>
        <w:t xml:space="preserve">    (ii)  Global Services Europe (Ireland)</w:t>
        <w:br/>
        <w:t xml:space="preserve">    (iii) Global Services Americas (USA)</w:t>
        <w:br/>
        <w:br/>
        <w:t xml:space="preserve">    Identify functions, assets, and risks for each. Does each entity earn an appropriate</w:t>
        <w:br/>
        <w:t xml:space="preserve">    profit for its functions?</w:t>
        <w:br/>
        <w:t xml:space="preserve">    (10 marks)</w:t>
        <w:br/>
        <w:br/>
        <w:t>(b) Evaluate the transfer pricing arrangement whereby Global Services India is paid on a</w:t>
        <w:br/>
        <w:t xml:space="preserve">    cost-based model while Europe and Americas retain significant margins:</w:t>
        <w:br/>
        <w:t xml:space="preserve">    (i)   What transfer pricing method is being used?</w:t>
        <w:br/>
        <w:t xml:space="preserve">    (ii)  Is it appropriate for this type of service?</w:t>
        <w:br/>
        <w:t xml:space="preserve">    (iii) Are the profit margins consistent with arm's length pricing?</w:t>
        <w:br/>
        <w:t xml:space="preserve">    (10 marks)</w:t>
        <w:br/>
        <w:br/>
        <w:t>(c) What comparables or benchmarking data would you require to support these transfer</w:t>
        <w:br/>
        <w:t xml:space="preserve">    pricing positions? Discuss the challenges in finding relevant comparables for BPO</w:t>
        <w:br/>
        <w:t xml:space="preserve">    services.</w:t>
        <w:br/>
        <w:t xml:space="preserve">    (5 marks)</w:t>
        <w:br/>
      </w:r>
    </w:p>
    <w:p>
      <w:pPr>
        <w:pStyle w:val="Heading2"/>
      </w:pPr>
      <w:r>
        <w:t>QUESTION 2 (25 marks)</w:t>
      </w:r>
    </w:p>
    <w:p>
      <w:r>
        <w:rPr>
          <w:b w:val="0"/>
          <w:i w:val="0"/>
          <w:sz w:val="22"/>
        </w:rPr>
        <w:br/>
        <w:t>Continuing with Global Services Provider:</w:t>
        <w:br/>
        <w:br/>
        <w:t>(a) The Indian tax authority has challenged the transfer pricing, arguing that Global</w:t>
        <w:br/>
        <w:t xml:space="preserve">    Services Operations should receive a higher allocation of profits given its role in</w:t>
        <w:br/>
        <w:t xml:space="preserve">    service delivery. Prepare a complete response defending the group's current position or</w:t>
        <w:br/>
        <w:t xml:space="preserve">    recommending changes.</w:t>
        <w:br/>
        <w:t xml:space="preserve">    (12 marks)</w:t>
        <w:br/>
        <w:br/>
        <w:t>(b) Global Services Europe is considering expanding its role by taking over some quality</w:t>
        <w:br/>
        <w:t xml:space="preserve">    assurance functions currently handled by UK. Discuss the transfer pricing implications:</w:t>
        <w:br/>
        <w:t xml:space="preserve">    (i)   Impact on the cost paid to India operations</w:t>
        <w:br/>
        <w:t xml:space="preserve">    (ii)  Impact on margins of each entity</w:t>
        <w:br/>
        <w:t xml:space="preserve">    (iii) Defensibility of the revised structure</w:t>
        <w:br/>
        <w:t xml:space="preserve">    (8 marks)</w:t>
        <w:br/>
        <w:br/>
        <w:t>(c) Recommend a revised transfer pricing structure that you believe would be more robust to</w:t>
        <w:br/>
        <w:t xml:space="preserve">    challenge. Consider using a profit split method and justify your recommendation.</w:t>
        <w:br/>
        <w:t xml:space="preserve">    (5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B: CHOOSE ONE SCENARIO QUESTION (20 marks)</w:t>
      </w:r>
    </w:p>
    <w:p>
      <w:r>
        <w:rPr>
          <w:b w:val="0"/>
          <w:i/>
          <w:sz w:val="22"/>
        </w:rPr>
        <w:t>Answer ONE question from the two offered.</w:t>
      </w:r>
    </w:p>
    <w:p/>
    <w:p>
      <w:pPr>
        <w:pStyle w:val="Heading2"/>
      </w:pPr>
      <w:r>
        <w:t>QUESTION 3 (20 marks)</w:t>
      </w:r>
    </w:p>
    <w:p>
      <w:r>
        <w:rPr>
          <w:b w:val="0"/>
          <w:i w:val="0"/>
          <w:sz w:val="22"/>
        </w:rPr>
        <w:br/>
        <w:t>Your client is a multinational group that is undertaking a significant business restructuring.</w:t>
        <w:br/>
        <w:t>The group is considering relocating manufacturing operations from a developed country (Current</w:t>
        <w:br/>
        <w:t>Location) to a developing country (New Location) to reduce costs. The current manufacturer</w:t>
        <w:br/>
        <w:t>achieves a net profit margin of 15% on manufacturing activities. The new location can</w:t>
        <w:br/>
        <w:t>manufacture the same product at 35% lower cost.</w:t>
        <w:br/>
        <w:br/>
        <w:t>(a) Discuss the transfer pricing issues arising from this relocation, specifically:</w:t>
        <w:br/>
        <w:t xml:space="preserve">    (i)   Exit charge implications for the current manufacturer</w:t>
        <w:br/>
        <w:t xml:space="preserve">    (ii)  Transfer pricing methodology for the new manufacturer</w:t>
        <w:br/>
        <w:t xml:space="preserve">    (iii) Working capital and inventory adjustment implications</w:t>
        <w:br/>
        <w:t xml:space="preserve">    (iv)  The impact of the cost reduction on future transfer prices</w:t>
        <w:br/>
        <w:t xml:space="preserve">    (8 marks)</w:t>
        <w:br/>
        <w:br/>
        <w:t>(b) Recommend a defensible approach to pricing this restructuring that balances commercial</w:t>
        <w:br/>
        <w:t xml:space="preserve">    rationale with transfer pricing compliance. Consider any APAs or advance notice to tax</w:t>
        <w:br/>
        <w:t xml:space="preserve">    authorities that might be appropriate.</w:t>
        <w:br/>
        <w:t xml:space="preserve">    (12 marks)</w:t>
        <w:br/>
      </w:r>
    </w:p>
    <w:p/>
    <w:p>
      <w:pPr>
        <w:pStyle w:val="Heading2"/>
      </w:pPr>
      <w:r>
        <w:t>QUESTION 4 (20 marks)</w:t>
      </w:r>
    </w:p>
    <w:p>
      <w:r>
        <w:rPr>
          <w:b w:val="0"/>
          <w:i w:val="0"/>
          <w:sz w:val="22"/>
        </w:rPr>
        <w:br/>
        <w:t>Your client operates an international service delivery model where a service provider based</w:t>
        <w:br/>
        <w:t>in a low-tax jurisdiction provides technical services to operating entities in higher-tax</w:t>
        <w:br/>
        <w:t>jurisdictions. The service provider is charging on a cost-plus basis, which results in the</w:t>
        <w:br/>
        <w:t>service provider earning a minimal margin while the operating entities earn substantial</w:t>
        <w:br/>
        <w:t>profits. A tax authority in one of the higher-tax jurisdictions has challenged whether the</w:t>
        <w:br/>
        <w:t>service provider should be earning a higher margin and whether the service provider might</w:t>
        <w:br/>
        <w:t>constitute a Permanent Establishment.</w:t>
        <w:br/>
        <w:br/>
        <w:t>(a) Analyze the transfer pricing issue:</w:t>
        <w:br/>
        <w:t xml:space="preserve">    (i)   What is the current transfer pricing methodology?</w:t>
        <w:br/>
        <w:t xml:space="preserve">    (ii)  Is the cost-plus basis appropriate for these services?</w:t>
        <w:br/>
        <w:t xml:space="preserve">    (iii) What alternative transfer pricing methodologies might be considered?</w:t>
        <w:br/>
        <w:t xml:space="preserve">    (iv)  What would be an arm's length profit margin for the service provider?</w:t>
        <w:br/>
        <w:t xml:space="preserve">    (8 marks)</w:t>
        <w:br/>
        <w:br/>
        <w:t>(b) Evaluate the PE risk and recommend a structure that minimizes PE exposure while</w:t>
        <w:br/>
        <w:t xml:space="preserve">    maintaining transfer pricing defensibility:</w:t>
        <w:br/>
        <w:t xml:space="preserve">    (i)   What functions and assets of the service provider increase PE risk?</w:t>
        <w:br/>
        <w:t xml:space="preserve">    (ii)  How could the structure be modified to reduce PE exposure?</w:t>
        <w:br/>
        <w:t xml:space="preserve">    (iii) What documentation should be prepared?</w:t>
        <w:br/>
        <w:t xml:space="preserve">    (12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C: CHOOSE TWO SHORT QUESTIONS (15 marks each)</w:t>
      </w:r>
    </w:p>
    <w:p>
      <w:r>
        <w:rPr>
          <w:b w:val="0"/>
          <w:i/>
          <w:sz w:val="22"/>
        </w:rPr>
        <w:t>Answer TWO questions from the five offered. Each question is worth 15 marks.</w:t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p>
      <w:pPr>
        <w:pStyle w:val="Heading2"/>
      </w:pPr>
      <w:r>
        <w:t>QUESTION 5</w:t>
      </w:r>
    </w:p>
    <w:p>
      <w:r>
        <w:rPr>
          <w:b w:val="0"/>
          <w:i w:val="0"/>
          <w:sz w:val="22"/>
        </w:rPr>
        <w:br/>
        <w:t>INTRAGROUP SERVICES AND SERVICE HUBS</w:t>
        <w:br/>
        <w:br/>
        <w:t>Discuss the key transfer pricing issues for intragroup services, including:</w:t>
        <w:br/>
        <w:t>(a) How to distinguish between:</w:t>
        <w:br/>
        <w:t xml:space="preserve">    (i)   Genuine intragroup services subject to transfer pricing</w:t>
        <w:br/>
        <w:t xml:space="preserve">    (ii)  Shareholder activities (not subject to charge)</w:t>
        <w:br/>
        <w:t xml:space="preserve">    (iii) Duplicative services (not subject to charge)</w:t>
        <w:br/>
        <w:t xml:space="preserve">    (8 marks)</w:t>
        <w:br/>
        <w:br/>
        <w:t>(b) The transfer pricing methodology appropriate for:</w:t>
        <w:br/>
        <w:t xml:space="preserve">    (i)   Administrative and back-office services</w:t>
        <w:br/>
        <w:t xml:space="preserve">    (ii)  Technical and professional services</w:t>
        <w:br/>
        <w:t xml:space="preserve">    (iii) Management and coordination services</w:t>
        <w:br/>
        <w:t xml:space="preserve">    (7 marks)</w:t>
        <w:br/>
      </w:r>
    </w:p>
    <w:p/>
    <w:p>
      <w:pPr>
        <w:pStyle w:val="Heading2"/>
      </w:pPr>
      <w:r>
        <w:t>QUESTION 6</w:t>
      </w:r>
    </w:p>
    <w:p>
      <w:r>
        <w:rPr>
          <w:b w:val="0"/>
          <w:i w:val="0"/>
          <w:sz w:val="22"/>
        </w:rPr>
        <w:br/>
        <w:t>INTELLECTUAL PROPERTY AND DEMPE FRAMEWORK</w:t>
        <w:br/>
        <w:br/>
        <w:t>Explain the DEMPE framework (Development, Enhancement, Maintenance, Protection, Exploitation)</w:t>
        <w:br/>
        <w:t>and its application to transfer pricing, addressing:</w:t>
        <w:br/>
        <w:t>(a) How BEPS Actions 8-10 have changed transfer pricing analysis for intellectual property</w:t>
        <w:br/>
        <w:t xml:space="preserve">    (8 marks)</w:t>
        <w:br/>
        <w:br/>
        <w:t>(b) How DEMPE analysis should influence:</w:t>
        <w:br/>
        <w:t xml:space="preserve">    (i)   The allocation of R&amp;D costs among group entities</w:t>
        <w:br/>
        <w:t xml:space="preserve">    (ii)  The transfer pricing methodology for IP licensing</w:t>
        <w:br/>
        <w:t xml:space="preserve">    (iii) The profit allocation between IP owners and users</w:t>
        <w:br/>
        <w:t xml:space="preserve">    (7 marks)</w:t>
        <w:br/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/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/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