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Subsidiaries and deductible expenses</w:t>
      </w:r>
    </w:p>
    <w:p>
      <w:pPr>
        <w:pStyle w:val="Heading1"/>
      </w:pPr>
      <w:r>
        <w:t>48. Subsidiaries and Deductible Expenses</w:t>
      </w:r>
    </w:p>
    <w:p>
      <w:pPr>
        <w:pStyle w:val="Heading2"/>
      </w:pPr>
      <w:r>
        <w:t>Introduction</w:t>
      </w:r>
    </w:p>
    <w:p>
      <w:r>
        <w:t xml:space="preserve">Multinational oil and gas groups frequently allocate </w:t>
      </w:r>
      <w:r>
        <w:rPr>
          <w:b/>
        </w:rPr>
        <w:t>head office expenses</w:t>
      </w:r>
      <w:r>
        <w:t xml:space="preserve"> to foreign subsidiaries for centralized services such as </w:t>
      </w:r>
      <w:r>
        <w:rPr>
          <w:b/>
        </w:rPr>
        <w:t>management</w:t>
      </w:r>
      <w:r>
        <w:t xml:space="preserve">, </w:t>
      </w:r>
      <w:r>
        <w:rPr>
          <w:b/>
        </w:rPr>
        <w:t>technical support</w:t>
      </w:r>
      <w:r>
        <w:t xml:space="preserve">, </w:t>
      </w:r>
      <w:r>
        <w:rPr>
          <w:b/>
        </w:rPr>
        <w:t>procurement</w:t>
      </w:r>
      <w:r>
        <w:t xml:space="preserve">, </w:t>
      </w:r>
      <w:r>
        <w:rPr>
          <w:b/>
        </w:rPr>
        <w:t>treasury</w:t>
      </w:r>
      <w:r>
        <w:t xml:space="preserve">, and </w:t>
      </w:r>
      <w:r>
        <w:rPr>
          <w:b/>
        </w:rPr>
        <w:t>shared administrative functions</w:t>
      </w:r>
      <w:r>
        <w:t xml:space="preserve">. These </w:t>
      </w:r>
      <w:r>
        <w:rPr>
          <w:b/>
        </w:rPr>
        <w:t>management fees</w:t>
      </w:r>
      <w:r>
        <w:t xml:space="preserve"> and </w:t>
      </w:r>
      <w:r>
        <w:rPr>
          <w:b/>
        </w:rPr>
        <w:t>service charges</w:t>
      </w:r>
      <w:r>
        <w:t xml:space="preserve"> are deductible by subsidiaries, subject to strict requirements:</w:t>
      </w:r>
    </w:p>
    <w:p>
      <w:pPr>
        <w:pStyle w:val="ListNumber"/>
      </w:pPr>
      <w:r>
        <w:rPr>
          <w:b/>
        </w:rPr>
        <w:t>Transfer pricing compliance</w:t>
      </w:r>
      <w:r>
        <w:t xml:space="preserve">: Charges must be </w:t>
      </w:r>
      <w:r>
        <w:rPr>
          <w:b/>
        </w:rPr>
        <w:t>arm's length</w:t>
      </w:r>
      <w:r>
        <w:t xml:space="preserve"> under OECD Guidelines and Internal Revenue Code (IRC) Section 482</w:t>
      </w:r>
    </w:p>
    <w:p>
      <w:pPr>
        <w:pStyle w:val="ListNumber"/>
      </w:pPr>
      <w:r>
        <w:rPr>
          <w:b/>
        </w:rPr>
        <w:t>Genuine services</w:t>
      </w:r>
      <w:r>
        <w:t xml:space="preserve">: Services must be </w:t>
      </w:r>
      <w:r>
        <w:rPr>
          <w:b/>
        </w:rPr>
        <w:t>actually rendered</w:t>
      </w:r>
      <w:r>
        <w:t xml:space="preserve"> and provide economic benefit</w:t>
      </w:r>
    </w:p>
    <w:p>
      <w:pPr>
        <w:pStyle w:val="ListNumber"/>
      </w:pPr>
      <w:r>
        <w:rPr>
          <w:b/>
        </w:rPr>
        <w:t>Documentation</w:t>
      </w:r>
      <w:r>
        <w:t xml:space="preserve">: Contemporaneous records must demonstrate </w:t>
      </w:r>
      <w:r>
        <w:rPr>
          <w:b/>
        </w:rPr>
        <w:t>value</w:t>
      </w:r>
      <w:r>
        <w:t xml:space="preserve"> and </w:t>
      </w:r>
      <w:r>
        <w:rPr>
          <w:b/>
        </w:rPr>
        <w:t>reasonableness</w:t>
      </w:r>
    </w:p>
    <w:p>
      <w:pPr>
        <w:pStyle w:val="ListNumber"/>
      </w:pPr>
      <w:r>
        <w:rPr>
          <w:b/>
        </w:rPr>
        <w:t>Withholding tax</w:t>
      </w:r>
      <w:r>
        <w:t xml:space="preserve">: Cross-border payments may be subject to </w:t>
      </w:r>
      <w:r>
        <w:rPr>
          <w:b/>
        </w:rPr>
        <w:t>WHT</w:t>
      </w:r>
      <w:r>
        <w:t xml:space="preserve"> (often 5-15% under treaties)</w:t>
      </w:r>
    </w:p>
    <w:p>
      <w:r>
        <w:t xml:space="preserve">Tax authorities intensely scrutinize related-party expense allocations, particularly when subsidiaries are in </w:t>
      </w:r>
      <w:r>
        <w:rPr>
          <w:b/>
        </w:rPr>
        <w:t>high-tax jurisdictions</w:t>
      </w:r>
      <w:r>
        <w:t xml:space="preserve"> and parent companies are in </w:t>
      </w:r>
      <w:r>
        <w:rPr>
          <w:b/>
        </w:rPr>
        <w:t>low-tax jurisdictions</w:t>
      </w:r>
      <w:r>
        <w:t>. Post-</w:t>
      </w:r>
      <w:r>
        <w:rPr>
          <w:b/>
        </w:rPr>
        <w:t>Base Erosion and Profit Shifting (BEPS)</w:t>
      </w:r>
      <w:r>
        <w:t xml:space="preserve">, the focus is on </w:t>
      </w:r>
      <w:r>
        <w:rPr>
          <w:b/>
        </w:rPr>
        <w:t>substance over form</w:t>
      </w:r>
      <w:r>
        <w:t xml:space="preserve">: whether charges reflect genuine value creation or constitute </w:t>
      </w:r>
      <w:r>
        <w:rPr>
          <w:b/>
        </w:rPr>
        <w:t>base erosion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Categories of Deductible Expenses</w:t>
      </w:r>
    </w:p>
    <w:p>
      <w:pPr>
        <w:pStyle w:val="Heading3"/>
      </w:pPr>
      <w:r>
        <w:t>1.1 Management Fees</w:t>
      </w:r>
    </w:p>
    <w:p>
      <w:r>
        <w:rPr>
          <w:b/>
        </w:rPr>
        <w:t>Definition</w:t>
      </w:r>
      <w:r>
        <w:t xml:space="preserve">: Charges for general </w:t>
      </w:r>
      <w:r>
        <w:rPr>
          <w:b/>
        </w:rPr>
        <w:t>management, strategic oversight, and administrative support</w:t>
      </w:r>
      <w:r>
        <w:t xml:space="preserve"> provided by parent company or regional headquarters to subsidiaries.</w:t>
      </w:r>
    </w:p>
    <w:p>
      <w:r>
        <w:rPr>
          <w:b/>
        </w:rPr>
        <w:t>Common Components</w:t>
      </w:r>
      <w:r>
        <w:t>:</w:t>
      </w:r>
    </w:p>
    <w:p>
      <w:pPr>
        <w:pStyle w:val="ListBullet"/>
      </w:pPr>
      <w:r>
        <w:t>Executive management time allocated to subsidiary oversight</w:t>
      </w:r>
    </w:p>
    <w:p>
      <w:pPr>
        <w:pStyle w:val="ListBullet"/>
      </w:pPr>
      <w:r>
        <w:t>Corporate governance and compliance support</w:t>
      </w:r>
    </w:p>
    <w:p>
      <w:pPr>
        <w:pStyle w:val="ListBullet"/>
      </w:pPr>
      <w:r>
        <w:t>Strategic planning and business development</w:t>
      </w:r>
    </w:p>
    <w:p>
      <w:pPr>
        <w:pStyle w:val="ListBullet"/>
      </w:pPr>
      <w:r>
        <w:t>Financial reporting and consolidation</w:t>
      </w:r>
    </w:p>
    <w:p>
      <w:pPr>
        <w:pStyle w:val="ListBullet"/>
      </w:pPr>
      <w:r>
        <w:t>Legal and regulatory affairs</w:t>
      </w:r>
    </w:p>
    <w:p>
      <w:r>
        <w:rPr>
          <w:b/>
        </w:rPr>
        <w:t>Transfer Pricing Challenge</w:t>
      </w:r>
      <w:r>
        <w:t xml:space="preserve">: Management fees are often </w:t>
      </w:r>
      <w:r>
        <w:rPr>
          <w:b/>
        </w:rPr>
        <w:t>difficult to benchmark</w:t>
      </w:r>
      <w:r>
        <w:t xml:space="preserve"> due to lack of comparable third-party transactions.</w:t>
      </w:r>
    </w:p>
    <w:p>
      <w:pPr>
        <w:pStyle w:val="Heading3"/>
      </w:pPr>
      <w:r>
        <w:t>1.2 Technical Services</w:t>
      </w:r>
    </w:p>
    <w:p>
      <w:r>
        <w:rPr>
          <w:b/>
        </w:rPr>
        <w:t>Definition</w:t>
      </w:r>
      <w:r>
        <w:t xml:space="preserve">: Specialized </w:t>
      </w:r>
      <w:r>
        <w:rPr>
          <w:b/>
        </w:rPr>
        <w:t>engineering, geological, or operational expertise</w:t>
      </w:r>
      <w:r>
        <w:t xml:space="preserve"> provided by parent or group service company.</w:t>
      </w:r>
    </w:p>
    <w:p>
      <w:r>
        <w:rPr>
          <w:b/>
        </w:rPr>
        <w:t>Oil &amp; Gas Examples</w:t>
      </w:r>
      <w:r>
        <w:t>:</w:t>
      </w:r>
    </w:p>
    <w:p>
      <w:pPr>
        <w:pStyle w:val="ListBullet"/>
      </w:pPr>
      <w:r>
        <w:t>Reservoir engineering and simulation</w:t>
      </w:r>
    </w:p>
    <w:p>
      <w:pPr>
        <w:pStyle w:val="ListBullet"/>
      </w:pPr>
      <w:r>
        <w:t>Drilling optimization and well design</w:t>
      </w:r>
    </w:p>
    <w:p>
      <w:pPr>
        <w:pStyle w:val="ListBullet"/>
      </w:pPr>
      <w:r>
        <w:t>Production facilities engineering</w:t>
      </w:r>
    </w:p>
    <w:p>
      <w:pPr>
        <w:pStyle w:val="ListBullet"/>
      </w:pPr>
      <w:r>
        <w:rPr>
          <w:b/>
        </w:rPr>
        <w:t>Health, Safety, and Environmental (HSE)</w:t>
      </w:r>
      <w:r>
        <w:t xml:space="preserve"> compliance</w:t>
      </w:r>
    </w:p>
    <w:p>
      <w:pPr>
        <w:pStyle w:val="ListBullet"/>
      </w:pPr>
      <w:r>
        <w:t>Project management for major capex</w:t>
      </w:r>
    </w:p>
    <w:p>
      <w:r>
        <w:rPr>
          <w:b/>
        </w:rPr>
        <w:t>Pricing Methods</w:t>
      </w:r>
      <w:r>
        <w:t xml:space="preserve">: Typically </w:t>
      </w:r>
      <w:r>
        <w:rPr>
          <w:b/>
        </w:rPr>
        <w:t>Cost Plus</w:t>
      </w:r>
      <w:r>
        <w:t xml:space="preserve"> (total costs + arm's length markup) or </w:t>
      </w:r>
      <w:r>
        <w:rPr>
          <w:b/>
        </w:rPr>
        <w:t>Comparable Uncontrolled Price</w:t>
      </w:r>
      <w:r>
        <w:t xml:space="preserve"> (if external benchmarks available).</w:t>
      </w:r>
    </w:p>
    <w:p>
      <w:pPr>
        <w:pStyle w:val="Heading3"/>
      </w:pPr>
      <w:r>
        <w:t>1.3 Shared Services</w:t>
      </w:r>
    </w:p>
    <w:p>
      <w:r>
        <w:rPr>
          <w:b/>
        </w:rPr>
        <w:t>Definition</w:t>
      </w:r>
      <w:r>
        <w:t xml:space="preserve">: </w:t>
      </w:r>
      <w:r>
        <w:rPr>
          <w:b/>
        </w:rPr>
        <w:t>Centralized administrative functions</w:t>
      </w:r>
      <w:r>
        <w:t xml:space="preserve"> performed by a dedicated service company and allocated to group entities.</w:t>
      </w:r>
    </w:p>
    <w:p>
      <w:r>
        <w:rPr>
          <w:b/>
        </w:rPr>
        <w:t>Common Functions</w:t>
      </w:r>
      <w:r>
        <w:t>:</w:t>
      </w:r>
    </w:p>
    <w:p>
      <w:pPr>
        <w:pStyle w:val="ListBullet"/>
      </w:pPr>
      <w:r>
        <w:t>Human resources (payroll, recruitment, training)</w:t>
      </w:r>
    </w:p>
    <w:p>
      <w:pPr>
        <w:pStyle w:val="ListBullet"/>
      </w:pPr>
      <w:r>
        <w:t>IT infrastructure and software licenses</w:t>
      </w:r>
    </w:p>
    <w:p>
      <w:pPr>
        <w:pStyle w:val="ListBullet"/>
      </w:pPr>
      <w:r>
        <w:t>Accounting and tax compliance</w:t>
      </w:r>
    </w:p>
    <w:p>
      <w:pPr>
        <w:pStyle w:val="ListBullet"/>
      </w:pPr>
      <w:r>
        <w:t>Procurement and supply chain management</w:t>
      </w:r>
    </w:p>
    <w:p>
      <w:pPr>
        <w:pStyle w:val="ListBullet"/>
      </w:pPr>
      <w:r>
        <w:t>Insurance and risk management</w:t>
      </w:r>
    </w:p>
    <w:p>
      <w:r>
        <w:rPr>
          <w:b/>
        </w:rPr>
        <w:t>Allocation Keys</w:t>
      </w:r>
      <w:r>
        <w:t xml:space="preserve">: Costs allocated based on </w:t>
      </w:r>
      <w:r>
        <w:rPr>
          <w:b/>
        </w:rPr>
        <w:t>usage metrics</w:t>
      </w:r>
      <w:r>
        <w:t xml:space="preserve"> (headcount, revenue, assets, transaction volume).</w:t>
      </w:r>
    </w:p>
    <w:p>
      <w:pPr>
        <w:pStyle w:val="Heading3"/>
      </w:pPr>
      <w:r>
        <w:t>1.4 Corporate Overhead</w:t>
      </w:r>
    </w:p>
    <w:p>
      <w:r>
        <w:rPr>
          <w:b/>
        </w:rPr>
        <w:t>Definition</w:t>
      </w:r>
      <w:r>
        <w:t xml:space="preserve">: General head office costs that </w:t>
      </w:r>
      <w:r>
        <w:rPr>
          <w:b/>
        </w:rPr>
        <w:t>benefit the group</w:t>
      </w:r>
      <w:r>
        <w:t xml:space="preserve"> as a whole but do not constitute specific services to subsidiaries.</w:t>
      </w:r>
    </w:p>
    <w:p>
      <w:r>
        <w:rPr>
          <w:b/>
        </w:rPr>
        <w:t>Examples</w:t>
      </w:r>
      <w:r>
        <w:t>:</w:t>
      </w:r>
    </w:p>
    <w:p>
      <w:pPr>
        <w:pStyle w:val="ListBullet"/>
      </w:pPr>
      <w:r>
        <w:t>Board of directors compensation</w:t>
      </w:r>
    </w:p>
    <w:p>
      <w:pPr>
        <w:pStyle w:val="ListBullet"/>
      </w:pPr>
      <w:r>
        <w:t>Investor relations</w:t>
      </w:r>
    </w:p>
    <w:p>
      <w:pPr>
        <w:pStyle w:val="ListBullet"/>
      </w:pPr>
      <w:r>
        <w:t>Corporate communications</w:t>
      </w:r>
    </w:p>
    <w:p>
      <w:pPr>
        <w:pStyle w:val="ListBullet"/>
      </w:pPr>
      <w:r>
        <w:t>Executive office costs</w:t>
      </w:r>
    </w:p>
    <w:p>
      <w:pPr>
        <w:pStyle w:val="ListBullet"/>
      </w:pPr>
      <w:r>
        <w:t>General legal and audit fees (for parent company statutory accounts)</w:t>
      </w:r>
    </w:p>
    <w:p>
      <w:r>
        <w:rPr>
          <w:b/>
        </w:rPr>
        <w:t>Deductibility Issue</w:t>
      </w:r>
      <w:r>
        <w:t xml:space="preserve">: Tax authorities may </w:t>
      </w:r>
      <w:r>
        <w:rPr>
          <w:b/>
        </w:rPr>
        <w:t>deny deductions</w:t>
      </w:r>
      <w:r>
        <w:t xml:space="preserve"> for corporate overhead that provides </w:t>
      </w:r>
      <w:r>
        <w:rPr>
          <w:b/>
        </w:rPr>
        <w:t>no direct benefit</w:t>
      </w:r>
      <w:r>
        <w:t xml:space="preserve"> to subsidiaries. OECD Guidelines distinguish between:</w:t>
      </w:r>
    </w:p>
    <w:p>
      <w:pPr>
        <w:pStyle w:val="ListBullet"/>
      </w:pPr>
      <w:r>
        <w:rPr>
          <w:b/>
        </w:rPr>
        <w:t>Shareholder activities</w:t>
      </w:r>
      <w:r>
        <w:t>: NOT deductible (e.g., parent company listing costs, dividend policy decisions)</w:t>
      </w:r>
    </w:p>
    <w:p>
      <w:pPr>
        <w:pStyle w:val="ListBullet"/>
      </w:pPr>
      <w:r>
        <w:rPr>
          <w:b/>
        </w:rPr>
        <w:t>Group-wide stewardship</w:t>
      </w:r>
      <w:r>
        <w:t>: MAY be allocable if demonstrable benefit to subsidiaries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Transfer Pricing Requirements</w:t>
      </w:r>
    </w:p>
    <w:p>
      <w:pPr>
        <w:pStyle w:val="Heading3"/>
      </w:pPr>
      <w:r>
        <w:t>2.1 OECD Guidelines - Chapter VII (Intra-Group Services)</w:t>
      </w:r>
    </w:p>
    <w:p>
      <w:r>
        <w:rPr>
          <w:b/>
        </w:rPr>
        <w:t>Benefit Test</w:t>
      </w:r>
      <w:r>
        <w:t>: Service charges are arm's length only if:</w:t>
      </w:r>
    </w:p>
    <w:p>
      <w:pPr>
        <w:pStyle w:val="ListNumber"/>
      </w:pPr>
      <w:r>
        <w:rPr>
          <w:b/>
        </w:rPr>
        <w:t>Economic/commercial value</w:t>
      </w:r>
      <w:r>
        <w:t>: Service provides value that would cause an independent enterprise to pay or perform in-house</w:t>
      </w:r>
    </w:p>
    <w:p>
      <w:pPr>
        <w:pStyle w:val="ListNumber"/>
      </w:pPr>
      <w:r>
        <w:rPr>
          <w:b/>
        </w:rPr>
        <w:t>Actual provision</w:t>
      </w:r>
      <w:r>
        <w:t>: Service is actually performed (not merely a charge for being part of a group)</w:t>
      </w:r>
    </w:p>
    <w:p>
      <w:r>
        <w:rPr>
          <w:b/>
        </w:rPr>
        <w:t>Example - Shareholder vs. Stewardship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Allocable?</w:t>
            </w:r>
          </w:p>
        </w:tc>
      </w:tr>
      <w:tr>
        <w:tc>
          <w:tcPr>
            <w:tcW w:type="dxa" w:w="2880"/>
          </w:tcPr>
          <w:p>
            <w:r/>
            <w:r>
              <w:t>Parent company listing on stock exchange</w:t>
            </w:r>
          </w:p>
        </w:tc>
        <w:tc>
          <w:tcPr>
            <w:tcW w:type="dxa" w:w="2880"/>
          </w:tcPr>
          <w:p>
            <w:r/>
            <w:r>
              <w:t>Shareholder activity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Group-wide insurance program negotiation</w:t>
            </w:r>
          </w:p>
        </w:tc>
        <w:tc>
          <w:tcPr>
            <w:tcW w:type="dxa" w:w="2880"/>
          </w:tcPr>
          <w:p>
            <w:r/>
            <w:r>
              <w:t>Stewardship/service</w:t>
            </w:r>
          </w:p>
        </w:tc>
        <w:tc>
          <w:tcPr>
            <w:tcW w:type="dxa" w:w="2880"/>
          </w:tcPr>
          <w:p>
            <w:r/>
            <w:r>
              <w:t>YES (if demonstrable cost savings)</w:t>
            </w:r>
          </w:p>
        </w:tc>
      </w:tr>
      <w:tr>
        <w:tc>
          <w:tcPr>
            <w:tcW w:type="dxa" w:w="2880"/>
          </w:tcPr>
          <w:p>
            <w:r/>
            <w:r>
              <w:t>Parent board of directors fees</w:t>
            </w:r>
          </w:p>
        </w:tc>
        <w:tc>
          <w:tcPr>
            <w:tcW w:type="dxa" w:w="2880"/>
          </w:tcPr>
          <w:p>
            <w:r/>
            <w:r>
              <w:t>Shareholder activity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Group tax strategy development</w:t>
            </w:r>
          </w:p>
        </w:tc>
        <w:tc>
          <w:tcPr>
            <w:tcW w:type="dxa" w:w="2880"/>
          </w:tcPr>
          <w:p>
            <w:r/>
            <w:r>
              <w:t>Stewardship</w:t>
            </w:r>
          </w:p>
        </w:tc>
        <w:tc>
          <w:tcPr>
            <w:tcW w:type="dxa" w:w="2880"/>
          </w:tcPr>
          <w:p>
            <w:r/>
            <w:r>
              <w:t>MAYBE (if benefits subsidiaries)</w:t>
            </w:r>
          </w:p>
        </w:tc>
      </w:tr>
      <w:tr>
        <w:tc>
          <w:tcPr>
            <w:tcW w:type="dxa" w:w="2880"/>
          </w:tcPr>
          <w:p>
            <w:r/>
            <w:r>
              <w:t>Subsidiary-specific tax compliance</w:t>
            </w:r>
          </w:p>
        </w:tc>
        <w:tc>
          <w:tcPr>
            <w:tcW w:type="dxa" w:w="2880"/>
          </w:tcPr>
          <w:p>
            <w:r/>
            <w:r>
              <w:t>Service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</w:tbl>
    <w:p/>
    <w:p>
      <w:pPr>
        <w:pStyle w:val="Heading3"/>
      </w:pPr>
      <w:r>
        <w:t>2.2 U.S. IRC Section 482 - Services Cost Method (SCM)</w:t>
      </w:r>
    </w:p>
    <w:p>
      <w:r>
        <w:rPr>
          <w:b/>
        </w:rPr>
        <w:t>Safe Harbor</w:t>
      </w:r>
      <w:r>
        <w:t xml:space="preserve">: For </w:t>
      </w:r>
      <w:r>
        <w:rPr>
          <w:b/>
        </w:rPr>
        <w:t>low-margin covered services</w:t>
      </w:r>
      <w:r>
        <w:t xml:space="preserve">, charges may be allocated at </w:t>
      </w:r>
      <w:r>
        <w:rPr>
          <w:b/>
        </w:rPr>
        <w:t>cost with NO MARKUP</w:t>
      </w:r>
      <w:r>
        <w:t>, provided:</w:t>
      </w:r>
    </w:p>
    <w:p>
      <w:r>
        <w:rPr>
          <w:b/>
        </w:rPr>
        <w:t>Eligibility Criteria</w:t>
      </w:r>
      <w:r>
        <w:t xml:space="preserve"> (Revenue Procedure 2007-13):</w:t>
      </w:r>
    </w:p>
    <w:p>
      <w:pPr>
        <w:pStyle w:val="ListNumber"/>
      </w:pPr>
      <w:r>
        <w:rPr>
          <w:b/>
        </w:rPr>
        <w:t>Covered services</w:t>
      </w:r>
      <w:r>
        <w:t>: 101 specified activities (HR, payroll, IT, legal, etc.) OR services with markup ≤ 7%</w:t>
      </w:r>
    </w:p>
    <w:p>
      <w:pPr>
        <w:pStyle w:val="ListNumber"/>
      </w:pPr>
      <w:r>
        <w:rPr>
          <w:b/>
        </w:rPr>
        <w:t>No significant risk</w:t>
      </w:r>
      <w:r>
        <w:t xml:space="preserve">: Services do not contribute to </w:t>
      </w:r>
      <w:r>
        <w:rPr>
          <w:b/>
        </w:rPr>
        <w:t>fundamental competitive advantages</w:t>
      </w:r>
    </w:p>
    <w:p>
      <w:pPr>
        <w:pStyle w:val="ListNumber"/>
      </w:pPr>
      <w:r>
        <w:rPr>
          <w:b/>
        </w:rPr>
        <w:t>No duplication</w:t>
      </w:r>
      <w:r>
        <w:t>: Subsidiary is not duplicating the service</w:t>
      </w:r>
    </w:p>
    <w:p>
      <w:pPr>
        <w:pStyle w:val="ListNumber"/>
      </w:pPr>
      <w:r>
        <w:rPr>
          <w:b/>
        </w:rPr>
        <w:t>Documentation</w:t>
      </w:r>
      <w:r>
        <w:t>: Books and records maintained showing allocation method</w:t>
      </w:r>
    </w:p>
    <w:p>
      <w:r>
        <w:rPr>
          <w:b/>
        </w:rPr>
        <w:t>Benefits</w:t>
      </w:r>
      <w:r>
        <w:t>:</w:t>
      </w:r>
    </w:p>
    <w:p>
      <w:pPr>
        <w:pStyle w:val="ListBullet"/>
      </w:pPr>
      <w:r>
        <w:rPr>
          <w:b/>
        </w:rPr>
        <w:t>No markup required</w:t>
      </w:r>
      <w:r>
        <w:t>: Allocate at total services costs</w:t>
      </w:r>
    </w:p>
    <w:p>
      <w:pPr>
        <w:pStyle w:val="ListBullet"/>
      </w:pPr>
      <w:r>
        <w:rPr>
          <w:b/>
        </w:rPr>
        <w:t>Reduced documentation</w:t>
      </w:r>
      <w:r>
        <w:t>: Simplified transfer pricing analysis</w:t>
      </w:r>
    </w:p>
    <w:p>
      <w:pPr>
        <w:pStyle w:val="ListBullet"/>
      </w:pPr>
      <w:r>
        <w:rPr>
          <w:b/>
        </w:rPr>
        <w:t>Penalty protection</w:t>
      </w:r>
      <w:r>
        <w:t>: Avoids IRC Section 6662 penalties if properly documented</w:t>
      </w:r>
    </w:p>
    <w:p>
      <w:r>
        <w:rPr>
          <w:b/>
        </w:rPr>
        <w:t>Limitations</w:t>
      </w:r>
      <w:r>
        <w:t>:</w:t>
      </w:r>
    </w:p>
    <w:p>
      <w:pPr>
        <w:pStyle w:val="ListBullet"/>
      </w:pPr>
      <w:r>
        <w:t xml:space="preserve">Does NOT apply to: Manufacturing, production, </w:t>
      </w:r>
      <w:r>
        <w:rPr>
          <w:b/>
        </w:rPr>
        <w:t>extraction</w:t>
      </w:r>
      <w:r>
        <w:t>, R&amp;D, distribution, financial transactions</w:t>
      </w:r>
    </w:p>
    <w:p>
      <w:pPr>
        <w:pStyle w:val="ListBullet"/>
      </w:pPr>
      <w:r>
        <w:rPr>
          <w:b/>
        </w:rPr>
        <w:t>Base Erosion and Anti-Abuse Tax (BEAT) considerations</w:t>
      </w:r>
      <w:r>
        <w:t xml:space="preserve">: </w:t>
      </w:r>
      <w:r>
        <w:rPr>
          <w:b/>
        </w:rPr>
        <w:t>Services Cost Method (SCM)</w:t>
      </w:r>
      <w:r>
        <w:t xml:space="preserve"> services may be exempt from BEAT</w:t>
      </w:r>
    </w:p>
    <w:p>
      <w:pPr>
        <w:pStyle w:val="Heading3"/>
      </w:pPr>
      <w:r>
        <w:t>2.3 Cost Plus Method (CPM)</w:t>
      </w:r>
    </w:p>
    <w:p>
      <w:r>
        <w:rPr>
          <w:b/>
        </w:rPr>
        <w:t>For Non-Covered Services</w:t>
      </w:r>
      <w:r>
        <w:t xml:space="preserve">: Technical services, geological support, engineering, etc. The </w:t>
      </w:r>
      <w:r>
        <w:rPr>
          <w:b/>
        </w:rPr>
        <w:t>Cost Plus Method (CPM)</w:t>
      </w:r>
      <w:r>
        <w:t xml:space="preserve"> applies when services do not qualify under SCM.</w:t>
      </w:r>
    </w:p>
    <w:p>
      <w:r>
        <w:rPr>
          <w:b/>
        </w:rPr>
        <w:t>Formula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Arm's Length Charge = Total Costs × (1 + Markup%)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Costs = Direct labor + Direct materials + Allocated indirect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Markup% = Arm's length profit margin for comparable services</w:t>
      </w:r>
    </w:p>
    <w:p/>
    <w:p>
      <w:r>
        <w:rPr>
          <w:b/>
        </w:rPr>
        <w:t>Benchmark Markup Ranges</w:t>
      </w:r>
      <w:r>
        <w:t xml:space="preserve"> (oil &amp; gas services):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Service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Typical Markup Range</w:t>
            </w:r>
          </w:p>
        </w:tc>
      </w:tr>
      <w:tr>
        <w:tc>
          <w:tcPr>
            <w:tcW w:type="dxa" w:w="4320"/>
          </w:tcPr>
          <w:p>
            <w:r/>
            <w:r>
              <w:t>Engineering and design</w:t>
            </w:r>
          </w:p>
        </w:tc>
        <w:tc>
          <w:tcPr>
            <w:tcW w:type="dxa" w:w="4320"/>
          </w:tcPr>
          <w:p>
            <w:r/>
            <w:r>
              <w:t>10-25%</w:t>
            </w:r>
          </w:p>
        </w:tc>
      </w:tr>
      <w:tr>
        <w:tc>
          <w:tcPr>
            <w:tcW w:type="dxa" w:w="4320"/>
          </w:tcPr>
          <w:p>
            <w:r/>
            <w:r>
              <w:t>Geological/geophysical</w:t>
            </w:r>
          </w:p>
        </w:tc>
        <w:tc>
          <w:tcPr>
            <w:tcW w:type="dxa" w:w="4320"/>
          </w:tcPr>
          <w:p>
            <w:r/>
            <w:r>
              <w:t>15-30%</w:t>
            </w:r>
          </w:p>
        </w:tc>
      </w:tr>
      <w:tr>
        <w:tc>
          <w:tcPr>
            <w:tcW w:type="dxa" w:w="4320"/>
          </w:tcPr>
          <w:p>
            <w:r/>
            <w:r>
              <w:t>Drilling optimization</w:t>
            </w:r>
          </w:p>
        </w:tc>
        <w:tc>
          <w:tcPr>
            <w:tcW w:type="dxa" w:w="4320"/>
          </w:tcPr>
          <w:p>
            <w:r/>
            <w:r>
              <w:t>15-25%</w:t>
            </w:r>
          </w:p>
        </w:tc>
      </w:tr>
      <w:tr>
        <w:tc>
          <w:tcPr>
            <w:tcW w:type="dxa" w:w="4320"/>
          </w:tcPr>
          <w:p>
            <w:r/>
            <w:r>
              <w:t>HSE compliance</w:t>
            </w:r>
          </w:p>
        </w:tc>
        <w:tc>
          <w:tcPr>
            <w:tcW w:type="dxa" w:w="4320"/>
          </w:tcPr>
          <w:p>
            <w:r/>
            <w:r>
              <w:t>8-15%</w:t>
            </w:r>
          </w:p>
        </w:tc>
      </w:tr>
      <w:tr>
        <w:tc>
          <w:tcPr>
            <w:tcW w:type="dxa" w:w="4320"/>
          </w:tcPr>
          <w:p>
            <w:r/>
            <w:r>
              <w:t>Procurement</w:t>
            </w:r>
          </w:p>
        </w:tc>
        <w:tc>
          <w:tcPr>
            <w:tcW w:type="dxa" w:w="4320"/>
          </w:tcPr>
          <w:p>
            <w:r/>
            <w:r>
              <w:t>5-12%</w:t>
            </w:r>
          </w:p>
        </w:tc>
      </w:tr>
    </w:tbl>
    <w:p/>
    <w:p>
      <w:r>
        <w:rPr>
          <w:b/>
        </w:rPr>
        <w:t>Comparables</w:t>
      </w:r>
      <w:r>
        <w:t>: Use external service providers (Halliburton, Schlumberger, Wood Group, etc.) as benchmarks for operating margins on similar services.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Documentation Requirements</w:t>
      </w:r>
    </w:p>
    <w:p>
      <w:pPr>
        <w:pStyle w:val="Heading3"/>
      </w:pPr>
      <w:r>
        <w:t>3.1 Contemporaneous Documentation</w:t>
      </w:r>
    </w:p>
    <w:p>
      <w:r>
        <w:rPr>
          <w:b/>
        </w:rPr>
        <w:t>Timing</w:t>
      </w:r>
      <w:r>
        <w:t xml:space="preserve">: Documentation must exist </w:t>
      </w:r>
      <w:r>
        <w:rPr>
          <w:b/>
        </w:rPr>
        <w:t>at the time the tax return is filed</w:t>
      </w:r>
      <w:r>
        <w:t xml:space="preserve"> (not prepared after audit notification).</w:t>
      </w:r>
    </w:p>
    <w:p>
      <w:r>
        <w:rPr>
          <w:b/>
        </w:rPr>
        <w:t>Required Elements</w:t>
      </w:r>
      <w:r>
        <w:t xml:space="preserve"> (Treasury Regulation § 1.6662-6):</w:t>
      </w:r>
    </w:p>
    <w:p>
      <w:pPr>
        <w:pStyle w:val="ListNumber"/>
      </w:pPr>
      <w:r>
        <w:rPr>
          <w:b/>
        </w:rPr>
        <w:t>Description of services</w:t>
      </w:r>
      <w:r>
        <w:t>: Detailed explanation of what services are provided</w:t>
      </w:r>
    </w:p>
    <w:p>
      <w:pPr>
        <w:pStyle w:val="ListNumber"/>
      </w:pPr>
      <w:r>
        <w:rPr>
          <w:b/>
        </w:rPr>
        <w:t>Functional analysis</w:t>
      </w:r>
      <w:r>
        <w:t>: Who performs services, what functions, risks assumed, assets used</w:t>
      </w:r>
    </w:p>
    <w:p>
      <w:pPr>
        <w:pStyle w:val="ListNumber"/>
      </w:pPr>
      <w:r>
        <w:rPr>
          <w:b/>
        </w:rPr>
        <w:t>Allocation methodology</w:t>
      </w:r>
      <w:r>
        <w:t>: How costs are allocated (headcount, revenue, assets, usage)</w:t>
      </w:r>
    </w:p>
    <w:p>
      <w:pPr>
        <w:pStyle w:val="ListNumber"/>
      </w:pPr>
      <w:r>
        <w:rPr>
          <w:b/>
        </w:rPr>
        <w:t>Pricing analysis</w:t>
      </w:r>
      <w:r>
        <w:t xml:space="preserve">: Application of transfer pricing method (SCM, CPM, </w:t>
      </w:r>
      <w:r>
        <w:rPr>
          <w:b/>
        </w:rPr>
        <w:t>Comparable Uncontrolled Price (CUP)</w:t>
      </w:r>
      <w:r>
        <w:t>)</w:t>
      </w:r>
    </w:p>
    <w:p>
      <w:pPr>
        <w:pStyle w:val="ListNumber"/>
      </w:pPr>
      <w:r>
        <w:rPr>
          <w:b/>
        </w:rPr>
        <w:t>Comparables</w:t>
      </w:r>
      <w:r>
        <w:t>: Benchmarking analysis if using CPM or profit-based methods</w:t>
      </w:r>
    </w:p>
    <w:p>
      <w:pPr>
        <w:pStyle w:val="ListNumber"/>
      </w:pPr>
      <w:r>
        <w:rPr>
          <w:b/>
        </w:rPr>
        <w:t>Benefits</w:t>
      </w:r>
      <w:r>
        <w:t>: Explanation of economic value to recipient subsidiary</w:t>
      </w:r>
    </w:p>
    <w:p>
      <w:pPr>
        <w:pStyle w:val="ListNumber"/>
      </w:pPr>
      <w:r>
        <w:rPr>
          <w:b/>
        </w:rPr>
        <w:t>Contracts</w:t>
      </w:r>
      <w:r>
        <w:t>: Written agreements documenting service terms</w:t>
      </w:r>
    </w:p>
    <w:p>
      <w:pPr>
        <w:pStyle w:val="Heading3"/>
      </w:pPr>
      <w:r>
        <w:t>3.2 Service Agreements</w:t>
      </w:r>
    </w:p>
    <w:p>
      <w:r>
        <w:rPr>
          <w:b/>
        </w:rPr>
        <w:t>Best Practice</w:t>
      </w:r>
      <w:r>
        <w:t xml:space="preserve">: Establish </w:t>
      </w:r>
      <w:r>
        <w:rPr>
          <w:b/>
        </w:rPr>
        <w:t>written intercompany service agreements</w:t>
      </w:r>
      <w:r>
        <w:t xml:space="preserve"> covering:</w:t>
      </w:r>
    </w:p>
    <w:p>
      <w:pPr>
        <w:pStyle w:val="ListBullet"/>
      </w:pPr>
      <w:r>
        <w:rPr>
          <w:b/>
        </w:rPr>
        <w:t>Scope of services</w:t>
      </w:r>
      <w:r>
        <w:t>: Detailed description of services to be provided</w:t>
      </w:r>
    </w:p>
    <w:p>
      <w:pPr>
        <w:pStyle w:val="ListBullet"/>
      </w:pPr>
      <w:r>
        <w:rPr>
          <w:b/>
        </w:rPr>
        <w:t>Pricing methodology</w:t>
      </w:r>
      <w:r>
        <w:t>: How charges will be calculated (cost allocation, markup)</w:t>
      </w:r>
    </w:p>
    <w:p>
      <w:pPr>
        <w:pStyle w:val="ListBullet"/>
      </w:pPr>
      <w:r>
        <w:rPr>
          <w:b/>
        </w:rPr>
        <w:t>Billing frequency</w:t>
      </w:r>
      <w:r>
        <w:t>: Monthly, quarterly, annual</w:t>
      </w:r>
    </w:p>
    <w:p>
      <w:pPr>
        <w:pStyle w:val="ListBullet"/>
      </w:pPr>
      <w:r>
        <w:rPr>
          <w:b/>
        </w:rPr>
        <w:t>Payment terms</w:t>
      </w:r>
      <w:r>
        <w:t>: Currency, payment deadline, interest on late payment</w:t>
      </w:r>
    </w:p>
    <w:p>
      <w:pPr>
        <w:pStyle w:val="ListBullet"/>
      </w:pPr>
      <w:r>
        <w:rPr>
          <w:b/>
        </w:rPr>
        <w:t>Contract period</w:t>
      </w:r>
      <w:r>
        <w:t>: Term and renewal/termination provisions</w:t>
      </w:r>
    </w:p>
    <w:p>
      <w:pPr>
        <w:pStyle w:val="ListBullet"/>
      </w:pPr>
      <w:r>
        <w:rPr>
          <w:b/>
        </w:rPr>
        <w:t>Governing law</w:t>
      </w:r>
      <w:r>
        <w:t>: Jurisdiction and dispute resolution</w:t>
      </w:r>
    </w:p>
    <w:p>
      <w:r>
        <w:rPr>
          <w:b/>
        </w:rPr>
        <w:t>Example - Technical Services Agreement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Agreement between GlobalPetro Inc. (U.S. parent) and GlobalPetro Norge AS (Norway subsidiary)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Services: Reservoir engineering, drilling optimization, production facilities design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Pricing: Total direct costs (employee time at internal cost + external consultants)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+ allocated overheads (25% of direct labor) + 15% markup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Billing: Quarterly in arrears, invoiced within 30 days of quarter-end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Payment: 60 days from invoice date, USD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Tax Authority Challenges</w:t>
      </w:r>
    </w:p>
    <w:p>
      <w:pPr>
        <w:pStyle w:val="Heading3"/>
      </w:pPr>
      <w:r>
        <w:t>4.1 Common Disallowance Grounds</w:t>
      </w:r>
    </w:p>
    <w:p>
      <w:r>
        <w:rPr>
          <w:b/>
        </w:rPr>
        <w:t>1. No Economic Benefit</w:t>
      </w:r>
      <w:r>
        <w:t>:</w:t>
      </w:r>
    </w:p>
    <w:p>
      <w:pPr>
        <w:pStyle w:val="ListBullet"/>
      </w:pPr>
      <w:r>
        <w:t>Services do not provide demonstrable value to subsidiary</w:t>
      </w:r>
    </w:p>
    <w:p>
      <w:pPr>
        <w:pStyle w:val="ListBullet"/>
      </w:pPr>
      <w:r>
        <w:t>Subsidiary could not/would not pay for services as independent entity</w:t>
      </w:r>
    </w:p>
    <w:p>
      <w:pPr>
        <w:pStyle w:val="ListBullet"/>
      </w:pPr>
      <w:r>
        <w:t>Duplicate services already available locally</w:t>
      </w:r>
    </w:p>
    <w:p>
      <w:r>
        <w:rPr>
          <w:b/>
        </w:rPr>
        <w:t>2. Excessive Charges</w:t>
      </w:r>
      <w:r>
        <w:t>:</w:t>
      </w:r>
    </w:p>
    <w:p>
      <w:pPr>
        <w:pStyle w:val="ListBullet"/>
      </w:pPr>
      <w:r>
        <w:t>Markup exceeds arm's length range</w:t>
      </w:r>
    </w:p>
    <w:p>
      <w:pPr>
        <w:pStyle w:val="ListBullet"/>
      </w:pPr>
      <w:r>
        <w:t>Allocation methodology inflates subsidiary's cost share</w:t>
      </w:r>
    </w:p>
    <w:p>
      <w:pPr>
        <w:pStyle w:val="ListBullet"/>
      </w:pPr>
      <w:r>
        <w:t>Costs include shareholder activities</w:t>
      </w:r>
    </w:p>
    <w:p>
      <w:r>
        <w:rPr>
          <w:b/>
        </w:rPr>
        <w:t>3. Lack of Substance</w:t>
      </w:r>
      <w:r>
        <w:t>:</w:t>
      </w:r>
    </w:p>
    <w:p>
      <w:pPr>
        <w:pStyle w:val="ListBullet"/>
      </w:pPr>
      <w:r>
        <w:t>No contemporaneous documentation</w:t>
      </w:r>
    </w:p>
    <w:p>
      <w:pPr>
        <w:pStyle w:val="ListBullet"/>
      </w:pPr>
      <w:r>
        <w:t>No contracts or invoices</w:t>
      </w:r>
    </w:p>
    <w:p>
      <w:pPr>
        <w:pStyle w:val="ListBullet"/>
      </w:pPr>
      <w:r>
        <w:t>Services not actually performed (no time records, deliverables)</w:t>
      </w:r>
    </w:p>
    <w:p>
      <w:r>
        <w:rPr>
          <w:b/>
        </w:rPr>
        <w:t>4. Base Erosion</w:t>
      </w:r>
      <w:r>
        <w:t>:</w:t>
      </w:r>
    </w:p>
    <w:p>
      <w:pPr>
        <w:pStyle w:val="ListBullet"/>
      </w:pPr>
      <w:r>
        <w:t>High-tax subsidiary making large payments to low-tax parent</w:t>
      </w:r>
    </w:p>
    <w:p>
      <w:pPr>
        <w:pStyle w:val="ListBullet"/>
      </w:pPr>
      <w:r>
        <w:t>Erosion of local tax base without corresponding economic activity</w:t>
      </w:r>
    </w:p>
    <w:p>
      <w:pPr>
        <w:pStyle w:val="Heading3"/>
      </w:pPr>
      <w:r>
        <w:t>4.2 Penalty Exposure</w:t>
      </w:r>
    </w:p>
    <w:p>
      <w:r>
        <w:rPr>
          <w:b/>
        </w:rPr>
        <w:t>U.S. - IRC Section 6662</w:t>
      </w:r>
      <w:r>
        <w:t xml:space="preserve">: </w:t>
      </w:r>
      <w:r>
        <w:rPr>
          <w:b/>
        </w:rPr>
        <w:t>20-40% penalties</w:t>
      </w:r>
      <w:r>
        <w:t xml:space="preserve"> on transfer pricing adjustments if:</w:t>
      </w:r>
    </w:p>
    <w:p>
      <w:pPr>
        <w:pStyle w:val="ListBullet"/>
      </w:pPr>
      <w:r>
        <w:t>Taxpayer does not have contemporaneous documentation</w:t>
      </w:r>
    </w:p>
    <w:p>
      <w:pPr>
        <w:pStyle w:val="ListBullet"/>
      </w:pPr>
      <w:r>
        <w:t>Charges exceed 200% of arm's length amount (or less than 50%)</w:t>
      </w:r>
    </w:p>
    <w:p>
      <w:r>
        <w:rPr>
          <w:b/>
        </w:rPr>
        <w:t>UK - Transfer Pricing Penalties</w:t>
      </w:r>
      <w:r>
        <w:t xml:space="preserve">: Up to </w:t>
      </w:r>
      <w:r>
        <w:rPr>
          <w:b/>
        </w:rPr>
        <w:t>30% of understated tax</w:t>
      </w:r>
      <w:r>
        <w:t xml:space="preserve"> for careless or deliberate errors.</w:t>
      </w:r>
    </w:p>
    <w:p>
      <w:r>
        <w:rPr>
          <w:b/>
        </w:rPr>
        <w:t>Other Jurisdictions</w:t>
      </w:r>
      <w:r>
        <w:t xml:space="preserve">: Many countries impose </w:t>
      </w:r>
      <w:r>
        <w:rPr>
          <w:b/>
        </w:rPr>
        <w:t>documentation penalties</w:t>
      </w:r>
      <w:r>
        <w:t xml:space="preserve"> (e.g., €25,000 in Germany) for failure to maintain/produce transfer pricing records.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Withholding Tax on Management Fees</w:t>
      </w:r>
    </w:p>
    <w:p>
      <w:pPr>
        <w:pStyle w:val="Heading3"/>
      </w:pPr>
      <w:r>
        <w:t>5.1 Domestic Law Rates</w:t>
      </w:r>
    </w:p>
    <w:p>
      <w:r>
        <w:t xml:space="preserve">Many jurisdictions impose </w:t>
      </w:r>
      <w:r>
        <w:rPr>
          <w:b/>
        </w:rPr>
        <w:t>WHT on management fees</w:t>
      </w:r>
      <w:r>
        <w:t xml:space="preserve"> paid to non-residents: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Domestic WHT 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Treaty Classification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India</w:t>
            </w:r>
          </w:p>
        </w:tc>
        <w:tc>
          <w:tcPr>
            <w:tcW w:type="dxa" w:w="2880"/>
          </w:tcPr>
          <w:p>
            <w:r/>
            <w:r>
              <w:t>20% (increased from 10% in 2023)</w:t>
            </w:r>
          </w:p>
        </w:tc>
        <w:tc>
          <w:tcPr>
            <w:tcW w:type="dxa" w:w="2880"/>
          </w:tcPr>
          <w:p>
            <w:r/>
            <w:r>
              <w:t>Article 12 (Fees for Technical Services)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Brazil</w:t>
            </w:r>
          </w:p>
        </w:tc>
        <w:tc>
          <w:tcPr>
            <w:tcW w:type="dxa" w:w="2880"/>
          </w:tcPr>
          <w:p>
            <w:r/>
            <w:r>
              <w:t>15-25%</w:t>
            </w:r>
          </w:p>
        </w:tc>
        <w:tc>
          <w:tcPr>
            <w:tcW w:type="dxa" w:w="2880"/>
          </w:tcPr>
          <w:p>
            <w:r/>
            <w:r>
              <w:t>Article 7 (Business Profits) if treaty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Angola</w:t>
            </w:r>
          </w:p>
        </w:tc>
        <w:tc>
          <w:tcPr>
            <w:tcW w:type="dxa" w:w="2880"/>
          </w:tcPr>
          <w:p>
            <w:r/>
            <w:r>
              <w:t>15% (increased from 6.5%)</w:t>
            </w:r>
          </w:p>
        </w:tc>
        <w:tc>
          <w:tcPr>
            <w:tcW w:type="dxa" w:w="2880"/>
          </w:tcPr>
          <w:p>
            <w:r/>
            <w:r>
              <w:t>Article 12 or Article 7 (depends on treaty)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Nigeria</w:t>
            </w:r>
          </w:p>
        </w:tc>
        <w:tc>
          <w:tcPr>
            <w:tcW w:type="dxa" w:w="2880"/>
          </w:tcPr>
          <w:p>
            <w:r/>
            <w:r>
              <w:t>10% (non-residents)</w:t>
            </w:r>
          </w:p>
        </w:tc>
        <w:tc>
          <w:tcPr>
            <w:tcW w:type="dxa" w:w="2880"/>
          </w:tcPr>
          <w:p>
            <w:r/>
            <w:r>
              <w:t>Article 12 (Fees for Technical Services)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China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Article 7 (Business Profits)</w:t>
            </w:r>
          </w:p>
        </w:tc>
      </w:tr>
    </w:tbl>
    <w:p/>
    <w:p>
      <w:pPr>
        <w:pStyle w:val="Heading3"/>
      </w:pPr>
      <w:r>
        <w:t>5.2 Treaty Relief</w:t>
      </w:r>
    </w:p>
    <w:p>
      <w:r>
        <w:rPr>
          <w:b/>
        </w:rPr>
        <w:t>Article 7 (Business Profits)</w:t>
      </w:r>
      <w:r>
        <w:t xml:space="preserve">: If management fees classified as </w:t>
      </w:r>
      <w:r>
        <w:rPr>
          <w:b/>
        </w:rPr>
        <w:t>business profits</w:t>
      </w:r>
      <w:r>
        <w:t xml:space="preserve"> rather than royalties/</w:t>
      </w:r>
      <w:r>
        <w:rPr>
          <w:b/>
        </w:rPr>
        <w:t>Fees for Technical Services (FTS)</w:t>
      </w:r>
      <w:r>
        <w:t>:</w:t>
      </w:r>
    </w:p>
    <w:p>
      <w:pPr>
        <w:pStyle w:val="ListBullet"/>
      </w:pPr>
      <w:r>
        <w:rPr>
          <w:b/>
        </w:rPr>
        <w:t>No WHT</w:t>
      </w:r>
      <w:r>
        <w:t xml:space="preserve"> if service provider has no </w:t>
      </w:r>
      <w:r>
        <w:rPr>
          <w:b/>
        </w:rPr>
        <w:t>Permanent Establishment (PE)</w:t>
      </w:r>
      <w:r>
        <w:t xml:space="preserve"> in source country</w:t>
      </w:r>
    </w:p>
    <w:p>
      <w:pPr>
        <w:pStyle w:val="ListBullet"/>
      </w:pPr>
      <w:r>
        <w:t>Most favorable for service providers</w:t>
      </w:r>
    </w:p>
    <w:p>
      <w:r>
        <w:rPr>
          <w:b/>
        </w:rPr>
        <w:t>Article 12 (Royalties)</w:t>
      </w:r>
      <w:r>
        <w:t xml:space="preserve"> or </w:t>
      </w:r>
      <w:r>
        <w:rPr>
          <w:b/>
        </w:rPr>
        <w:t>Fees for Technical Services (FTS)</w:t>
      </w:r>
      <w:r>
        <w:t xml:space="preserve"> (UN Model Article 12):</w:t>
      </w:r>
    </w:p>
    <w:p>
      <w:pPr>
        <w:pStyle w:val="ListBullet"/>
      </w:pPr>
      <w:r>
        <w:rPr>
          <w:b/>
        </w:rPr>
        <w:t>Reduced WHT rates</w:t>
      </w:r>
      <w:r>
        <w:t xml:space="preserve"> (typically 5-15% under treaties)</w:t>
      </w:r>
    </w:p>
    <w:p>
      <w:pPr>
        <w:pStyle w:val="ListBullet"/>
      </w:pPr>
      <w:r>
        <w:t>Source country retains taxing rights even without PE</w:t>
      </w:r>
    </w:p>
    <w:p>
      <w:r>
        <w:rPr>
          <w:b/>
        </w:rPr>
        <w:t>Example - Treaty Shopping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could provide services directly to Indian subsidiary: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U.S.-India Treaty: Management fees = Article 12 (FTS), 15-20% WHT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Alternatively, establish Netherlands service company: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Netherlands-India Treaty: Management fees = Article 7 (Business Profits), 0% WHT if no PE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savings: 15-20% WHT eliminated (but requires substance in Netherlands)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Management Fee Deductibility Challenge</w:t>
      </w:r>
    </w:p>
    <w:p>
      <w:pPr>
        <w:pStyle w:val="Heading3"/>
      </w:pPr>
      <w:r>
        <w:t>Facts</w:t>
      </w:r>
    </w:p>
    <w:p>
      <w:r>
        <w:rPr>
          <w:b/>
        </w:rPr>
        <w:t>PetroGlobal Inc.</w:t>
      </w:r>
      <w:r>
        <w:t xml:space="preserve"> (U.S. parent) provides management and technical services to its wholly-owned subsidiary </w:t>
      </w:r>
      <w:r>
        <w:rPr>
          <w:b/>
        </w:rPr>
        <w:t>PetroGlobal Angola Lda.</w:t>
      </w:r>
      <w:r>
        <w:t>, which operates offshore oil fields under a production sharing contract (PSC) with the Angolan government.</w:t>
      </w:r>
    </w:p>
    <w:p>
      <w:r>
        <w:rPr>
          <w:b/>
        </w:rPr>
        <w:t>2024 Service Charges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Service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Annual Charge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Allocation Basis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management</w:t>
            </w:r>
          </w:p>
        </w:tc>
        <w:tc>
          <w:tcPr>
            <w:tcW w:type="dxa" w:w="2880"/>
          </w:tcPr>
          <w:p>
            <w:r/>
            <w:r>
              <w:t>$5,000,000</w:t>
            </w:r>
          </w:p>
        </w:tc>
        <w:tc>
          <w:tcPr>
            <w:tcW w:type="dxa" w:w="2880"/>
          </w:tcPr>
          <w:p>
            <w:r/>
            <w:r>
              <w:t>Revenue share (Angola = 10% of group revenue)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Technical services</w:t>
            </w:r>
            <w:r>
              <w:t xml:space="preserve"> (reservoir engineering, drilling support)</w:t>
            </w:r>
          </w:p>
        </w:tc>
        <w:tc>
          <w:tcPr>
            <w:tcW w:type="dxa" w:w="2880"/>
          </w:tcPr>
          <w:p>
            <w:r/>
            <w:r>
              <w:t>$8,000,000</w:t>
            </w:r>
          </w:p>
        </w:tc>
        <w:tc>
          <w:tcPr>
            <w:tcW w:type="dxa" w:w="2880"/>
          </w:tcPr>
          <w:p>
            <w:r/>
            <w:r>
              <w:t>Direct time tracking + 20% markup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Shared IT services</w:t>
            </w:r>
          </w:p>
        </w:tc>
        <w:tc>
          <w:tcPr>
            <w:tcW w:type="dxa" w:w="2880"/>
          </w:tcPr>
          <w:p>
            <w:r/>
            <w:r>
              <w:t>$2,000,000</w:t>
            </w:r>
          </w:p>
        </w:tc>
        <w:tc>
          <w:tcPr>
            <w:tcW w:type="dxa" w:w="2880"/>
          </w:tcPr>
          <w:p>
            <w:r/>
            <w:r>
              <w:t>Headcount (Angola = 15% of group headcount)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Head office overhead</w:t>
            </w:r>
            <w:r>
              <w:t xml:space="preserve"> (CEO, CFO, board, investor relations)</w:t>
            </w:r>
          </w:p>
        </w:tc>
        <w:tc>
          <w:tcPr>
            <w:tcW w:type="dxa" w:w="2880"/>
          </w:tcPr>
          <w:p>
            <w:r/>
            <w:r>
              <w:t>$3,000,000</w:t>
            </w:r>
          </w:p>
        </w:tc>
        <w:tc>
          <w:tcPr>
            <w:tcW w:type="dxa" w:w="2880"/>
          </w:tcPr>
          <w:p>
            <w:r/>
            <w:r>
              <w:t>Revenue share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$18,000,000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Angola Subsidiary Financials</w:t>
      </w:r>
      <w:r>
        <w:t>:</w:t>
      </w:r>
    </w:p>
    <w:p>
      <w:pPr>
        <w:pStyle w:val="ListBullet"/>
      </w:pPr>
      <w:r>
        <w:t>Revenue: $200M</w:t>
      </w:r>
    </w:p>
    <w:p>
      <w:pPr>
        <w:pStyle w:val="ListBullet"/>
      </w:pPr>
      <w:r>
        <w:t>Operating income (before service charges): $80M</w:t>
      </w:r>
    </w:p>
    <w:p>
      <w:pPr>
        <w:pStyle w:val="ListBullet"/>
      </w:pPr>
      <w:r>
        <w:t>Service charges: $18M</w:t>
      </w:r>
    </w:p>
    <w:p>
      <w:pPr>
        <w:pStyle w:val="ListBullet"/>
      </w:pPr>
      <w:r>
        <w:t>Taxable income: $62M</w:t>
      </w:r>
    </w:p>
    <w:p>
      <w:pPr>
        <w:pStyle w:val="ListBullet"/>
      </w:pPr>
      <w:r>
        <w:t>Angola tax rate: 50% (petroleum income tax)</w:t>
      </w:r>
    </w:p>
    <w:p>
      <w:r>
        <w:rPr>
          <w:b/>
        </w:rPr>
        <w:t>Angola Tax Authority Audit Position</w:t>
      </w:r>
      <w:r>
        <w:t xml:space="preserve"> (2025):</w:t>
      </w:r>
    </w:p>
    <w:p>
      <w:r>
        <w:t xml:space="preserve">The </w:t>
      </w:r>
      <w:r>
        <w:rPr>
          <w:b/>
        </w:rPr>
        <w:t>Autoridade Geral Tributária (AGT)</w:t>
      </w:r>
      <w:r>
        <w:t xml:space="preserve"> (Angola's tax authority) challenges </w:t>
      </w:r>
      <w:r>
        <w:rPr>
          <w:b/>
        </w:rPr>
        <w:t>all $18M in service charges</w:t>
      </w:r>
      <w:r>
        <w:t>, asserting:</w:t>
      </w:r>
    </w:p>
    <w:p>
      <w:pPr>
        <w:pStyle w:val="ListNumber"/>
      </w:pPr>
      <w:r>
        <w:rPr>
          <w:b/>
        </w:rPr>
        <w:t>No contemporaneous documentation</w:t>
      </w:r>
      <w:r>
        <w:t xml:space="preserve"> provided within 30 days of request</w:t>
      </w:r>
    </w:p>
    <w:p>
      <w:pPr>
        <w:pStyle w:val="ListNumber"/>
      </w:pPr>
      <w:r>
        <w:rPr>
          <w:b/>
        </w:rPr>
        <w:t>Excessive markup</w:t>
      </w:r>
      <w:r>
        <w:t xml:space="preserve"> on technical services (20% exceeds market rates)</w:t>
      </w:r>
    </w:p>
    <w:p>
      <w:pPr>
        <w:pStyle w:val="ListNumber"/>
      </w:pPr>
      <w:r>
        <w:rPr>
          <w:b/>
        </w:rPr>
        <w:t>Corporate overhead</w:t>
      </w:r>
      <w:r>
        <w:t xml:space="preserve"> charges are </w:t>
      </w:r>
      <w:r>
        <w:rPr>
          <w:b/>
        </w:rPr>
        <w:t>shareholder expenses</w:t>
      </w:r>
      <w:r>
        <w:t xml:space="preserve"> with no benefit to Angola subsidiary</w:t>
      </w:r>
    </w:p>
    <w:p>
      <w:pPr>
        <w:pStyle w:val="ListNumber"/>
      </w:pPr>
      <w:r>
        <w:rPr>
          <w:b/>
        </w:rPr>
        <w:t>No written service agreements</w:t>
      </w:r>
      <w:r>
        <w:t xml:space="preserve"> exist</w:t>
      </w:r>
    </w:p>
    <w:p>
      <w:r>
        <w:t xml:space="preserve">AGT proposes to </w:t>
      </w:r>
      <w:r>
        <w:rPr>
          <w:b/>
        </w:rPr>
        <w:t>disallow $18M deduction</w:t>
      </w:r>
      <w:r>
        <w:t>, resulting 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Revised taxable income: $62M + $18M =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Angola tax: $18M × 50% = $9M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Penalties: $9M × 30% = $2.7M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(2 years at 8%): $1.44M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assessment: $13.14M</w:t>
      </w:r>
    </w:p>
    <w:p/>
    <w:p>
      <w:r>
        <w:rPr>
          <w:b/>
        </w:rPr>
        <w:t>Parent Company Response</w:t>
      </w:r>
      <w:r>
        <w:t>: PetroGlobal Inc. engages transfer pricing advisors to defend the deductions.</w:t>
      </w:r>
    </w:p>
    <w:p>
      <w:pPr>
        <w:pStyle w:val="Heading3"/>
      </w:pPr>
      <w:r>
        <w:t>Required</w:t>
      </w:r>
    </w:p>
    <w:p>
      <w:pPr>
        <w:pStyle w:val="ListNumber"/>
      </w:pPr>
      <w:r>
        <w:rPr>
          <w:b/>
        </w:rPr>
        <w:t>Assess deductibility</w:t>
      </w:r>
      <w:r>
        <w:t xml:space="preserve"> of each service category under OECD Guidelines and Angola tax law</w:t>
      </w:r>
    </w:p>
    <w:p>
      <w:pPr>
        <w:pStyle w:val="ListNumber"/>
      </w:pPr>
      <w:r>
        <w:rPr>
          <w:b/>
        </w:rPr>
        <w:t>Calculate defensible charges</w:t>
      </w:r>
      <w:r>
        <w:t xml:space="preserve"> based on arm's length principles</w:t>
      </w:r>
    </w:p>
    <w:p>
      <w:pPr>
        <w:pStyle w:val="ListNumber"/>
      </w:pPr>
      <w:r>
        <w:rPr>
          <w:b/>
        </w:rPr>
        <w:t>Recommend documentation</w:t>
      </w:r>
      <w:r>
        <w:t xml:space="preserve"> and restructuring to mitigate future risk</w:t>
      </w:r>
    </w:p>
    <w:p>
      <w:pPr>
        <w:pStyle w:val="Heading3"/>
      </w:pPr>
      <w:r>
        <w:t>Analysis</w:t>
      </w:r>
    </w:p>
    <w:p>
      <w:r>
        <w:rPr>
          <w:b/>
        </w:rPr>
        <w:t>Step 1: Assess Each Service Category</w:t>
      </w:r>
    </w:p>
    <w:p>
      <w:r>
        <w:rPr>
          <w:b/>
        </w:rPr>
        <w:t>Corporate Management ($5M)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General oversight, strategic planning, financial reporting consolidation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10% of group revenue → Angola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Benefit Test: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Does service provide economic value? MAYBE (strategic planning has value, but general oversight may be shareholder activity)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Would independent entity pay for this? UNLIKELY to pay $5M for general oversight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AGT Challenge: Valid concern that general management is shareholder expense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Amount: Reduce to services with direct benefit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Strategic planning for Angola operations: $1M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Financial reporting support specific to PSC accounting: $500K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HSE and compliance oversight: $500K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charge: $2M (vs. $5M charged)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DISALLOW $3M</w:t>
      </w:r>
    </w:p>
    <w:p/>
    <w:p>
      <w:r>
        <w:rPr>
          <w:b/>
        </w:rPr>
        <w:t>Technical Services ($8M)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Reservoir engineering, drilling optimization, production facilities design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Direct time tracking + 20% markup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Benefit Test: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Does service provide economic value? YES (specialized technical expertise)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Would independent entity pay for this? YES (Angola subsidiary would hire external consultants if not provided by parent)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Comparables: External service providers (Halliburton, Schlumberger, Wood Group)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Typical markup on cost-plus contracts: 10-18% for engineering services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- 20% markup is SLIGHTLY HIGH but within reasonable range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AGT Challenge: Documentation insufficient, but services clearly provided and beneficial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Amount: Reduce markup to 15% (midpoint of benchmark range)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Original: Direct costs $6.67M × 1.20 = $8M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Revised: Direct costs $6.67M × 1.15 = $7.67M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charge: $7.67M (vs. $8M charged)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DISALLOW $330K</w:t>
      </w:r>
    </w:p>
    <w:p/>
    <w:p>
      <w:r>
        <w:rPr>
          <w:b/>
        </w:rPr>
        <w:t>Shared IT Services ($2M)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Centralized IT infrastructure, software licenses, helpdesk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15% of group headcount (Angola has 150 of 1,000 employees)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Benefit Test: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Does service provide economic value? YES (IT infrastructure necessary for operations)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Would independent entity pay for this? YES (alternative is duplicating IT infrastructure locally)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IRC Section 482 **Services Cost Method (SCM)**: Likely qualifies as "covered service" (IT support, software licensing)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Can be allocated at COST with NO MARKUP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Angola headcount allocation (15%) is reasonable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AGT Challenge: Documentation required showing allocation methodology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Amount: $2M is reasonable if properly documented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Services Cost Method: Total IT costs $13.33M × 15% = $2M (no markup)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ALLOW $2M (if documentation provided)</w:t>
      </w:r>
    </w:p>
    <w:p/>
    <w:p>
      <w:r>
        <w:rPr>
          <w:b/>
        </w:rPr>
        <w:t>Head Office Overhead ($3M)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CEO, CFO, board compensation, investor relations, corporate communications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10% of group revenue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Benefit Test: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Does service provide economic value? NO (shareholder activities)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Would independent entity pay for this? NO (these are costs of being a public company, not services to subsidiary)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Guidelines: Shareholder activities are NOT deductible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Board of directors oversight of parent company: Shareholder activity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Investor relations for parent company shares: Shareholder activity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CEO/CFO time on group consolidation: Shareholder activity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AGT Challenge: Valid - these are not services to Angola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Amount: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DISALLOW $3M</w:t>
      </w:r>
    </w:p>
    <w:p/>
    <w:p>
      <w:r>
        <w:rPr>
          <w:b/>
        </w:rPr>
        <w:t>Step 2: Calculate Defensible Charges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Summary of Defensible Charges: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management: $2M (reduced from $5M)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Technical services: $7.67M (reduced from $8M)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Shared IT services: $2M (allowed as charged)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overhead: $0 (disallowed from $3M)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defensible charges: $11.67M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charged: $18M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adjustments: $6.33M</w:t>
      </w:r>
    </w:p>
    <w:p/>
    <w:p>
      <w:r>
        <w:rPr>
          <w:b/>
        </w:rPr>
        <w:t>Revised Angola Tax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income: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Defensible service charges: $11.67M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$68.33M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tax at 50%: $34.17M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return: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$62M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tax at 50%: $31M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tax due: $34.17M - $31M = $3.17M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(vs. AGT's proposed $9M if all services disallowed)</w:t>
      </w:r>
    </w:p>
    <w:p/>
    <w:p>
      <w:r>
        <w:rPr>
          <w:b/>
        </w:rPr>
        <w:t>Step 3: Documentation and Restructuring Recommendations</w:t>
      </w:r>
    </w:p>
    <w:p>
      <w:r>
        <w:rPr>
          <w:b/>
        </w:rPr>
        <w:t>Immediate Actions (Documentation)</w:t>
      </w:r>
      <w:r>
        <w:t>:</w:t>
      </w:r>
    </w:p>
    <w:p>
      <w:pPr>
        <w:pStyle w:val="ListNumber"/>
      </w:pPr>
      <w:r>
        <w:rPr>
          <w:b/>
        </w:rPr>
        <w:t>Prepare contemporaneous transfer pricing (TP) documentation</w:t>
      </w:r>
      <w:r>
        <w:t>:</w:t>
      </w:r>
    </w:p>
    <w:p>
      <w:pPr>
        <w:pStyle w:val="ListBullet"/>
        <w:ind w:left="360"/>
      </w:pPr>
      <w:r>
        <w:t>Functional analysis for each service category</w:t>
      </w:r>
    </w:p>
    <w:p>
      <w:pPr>
        <w:pStyle w:val="ListBullet"/>
        <w:ind w:left="360"/>
      </w:pPr>
      <w:r>
        <w:t>Time records for technical services (employee hours, projects)</w:t>
      </w:r>
    </w:p>
    <w:p>
      <w:pPr>
        <w:pStyle w:val="ListBullet"/>
        <w:ind w:left="360"/>
      </w:pPr>
      <w:r>
        <w:t>IT cost allocation model (show how 15% headcount ratio derived)</w:t>
      </w:r>
    </w:p>
    <w:p>
      <w:pPr>
        <w:pStyle w:val="ListBullet"/>
        <w:ind w:left="360"/>
      </w:pPr>
      <w:r>
        <w:t>Comparables analysis for technical services markup (benchmark at 10-18%)</w:t>
      </w:r>
    </w:p>
    <w:p>
      <w:pPr>
        <w:pStyle w:val="ListNumber"/>
      </w:pPr>
      <w:r>
        <w:rPr>
          <w:b/>
        </w:rPr>
        <w:t>Execute written service agreements</w:t>
      </w:r>
      <w:r>
        <w:t>:</w:t>
      </w:r>
    </w:p>
    <w:p>
      <w:pPr>
        <w:pStyle w:val="ListBullet"/>
        <w:ind w:left="360"/>
      </w:pPr>
      <w:r>
        <w:t>Separate agreements for technical services vs. shared services</w:t>
      </w:r>
    </w:p>
    <w:p>
      <w:pPr>
        <w:pStyle w:val="ListBullet"/>
        <w:ind w:left="360"/>
      </w:pPr>
      <w:r>
        <w:t>Clearly define scope, deliverables, pricing methodology</w:t>
      </w:r>
    </w:p>
    <w:p>
      <w:pPr>
        <w:pStyle w:val="ListBullet"/>
        <w:ind w:left="360"/>
      </w:pPr>
      <w:r>
        <w:t>Billing and payment terms</w:t>
      </w:r>
    </w:p>
    <w:p>
      <w:pPr>
        <w:pStyle w:val="ListNumber"/>
      </w:pPr>
      <w:r>
        <w:rPr>
          <w:b/>
        </w:rPr>
        <w:t>Eliminate shareholder expenses</w:t>
      </w:r>
      <w:r>
        <w:t>:</w:t>
      </w:r>
    </w:p>
    <w:p>
      <w:pPr>
        <w:pStyle w:val="ListBullet"/>
        <w:ind w:left="360"/>
      </w:pPr>
      <w:r>
        <w:t>Cease charging corporate overhead (CEO/CFO/board costs)</w:t>
      </w:r>
    </w:p>
    <w:p>
      <w:pPr>
        <w:pStyle w:val="ListBullet"/>
        <w:ind w:left="360"/>
      </w:pPr>
      <w:r>
        <w:t>Cease charging general management fees without specific benefit</w:t>
      </w:r>
    </w:p>
    <w:p>
      <w:pPr>
        <w:pStyle w:val="ListNumber"/>
      </w:pPr>
      <w:r>
        <w:rPr>
          <w:b/>
        </w:rPr>
        <w:t>Reduce technical services markup</w:t>
      </w:r>
      <w:r>
        <w:t>:</w:t>
      </w:r>
    </w:p>
    <w:p>
      <w:pPr>
        <w:pStyle w:val="ListBullet"/>
        <w:ind w:left="360"/>
      </w:pPr>
      <w:r>
        <w:t>Adjust from 20% to 15% (midpoint of benchmark range)</w:t>
      </w:r>
    </w:p>
    <w:p>
      <w:pPr>
        <w:pStyle w:val="ListBullet"/>
        <w:ind w:left="360"/>
      </w:pPr>
      <w:r>
        <w:t>Document comparable analysis supporting 15% markup</w:t>
      </w:r>
    </w:p>
    <w:p>
      <w:r>
        <w:rPr>
          <w:b/>
        </w:rPr>
        <w:t>Long-Term Restructuring</w:t>
      </w:r>
      <w:r>
        <w:t>:</w:t>
      </w:r>
    </w:p>
    <w:p>
      <w:r>
        <w:rPr>
          <w:b/>
        </w:rPr>
        <w:t>Option 1: Establish Regional Service Company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Create "PetroGlobal Africa Services Ltd." (South Africa or Mauritius)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Hire technical personnel (10-15 **Full-Time Equivalents (FTEs)**: reservoir engineers, drilling engineers)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Provide services to Angola and other African subsidiaries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Charge cost plus 12-15% markup (defensible with substance)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Benefits: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Substance in service provider (real employees, local expertise)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Reduced WHT risk (African treaties often more favorable than U.S. treaties)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Credibility with tax authorities (genuine African technical capability)</w:t>
      </w:r>
    </w:p>
    <w:p/>
    <w:p>
      <w:r>
        <w:rPr>
          <w:b/>
        </w:rPr>
        <w:t>Option 2: Apply Services Cost Method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 covered services (IT, HR, accounting), document SCM election: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Prepare Rev. Proc. 2007-13 documentation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Allocate at COST (no markup)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Reduces total charges but also reduces audit risk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Benefits: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Safe harbor from penalties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Simplified documentation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• Lower WHT (lower base amount)</w:t>
      </w:r>
    </w:p>
    <w:p/>
    <w:p>
      <w:r>
        <w:rPr>
          <w:b/>
        </w:rPr>
        <w:t>Cost-Benefit Analysis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Current Disputed Amount: $6.33M in disallowed charges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tax exposure: $3.17M + penalties $950K + interest $500K = $4.62M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Documentation Costs (one-time):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Transfer pricing study: $150K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Service agreements: $50K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Systems for time tracking and allocation: $100K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$300K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Compliance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TP documentation updates: $75K/year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Audit defense reserve: $50K/year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Restructuring Costs (Regional Service Company):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Entity formation: $50K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Annual operating costs (substance): $1.5M/year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But creates defensible structure for all African operations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Recommendation: Implement documentation improvements ($300K one-time + $125K/year ongoing)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 NOT proceed with regional service company unless expanding African operations justify $1.5M annual cost</w:t>
      </w:r>
    </w:p>
    <w:p/>
    <w:p>
      <w:r>
        <w:rPr>
          <w:b/>
        </w:rPr>
        <w:t>Settlement Negotiation</w:t>
      </w:r>
      <w:r>
        <w:t>:</w:t>
      </w:r>
    </w:p>
    <w:p>
      <w:r>
        <w:rPr>
          <w:b/>
        </w:rPr>
        <w:t>Proposed Settlement with AGT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Accept partial disallowance: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Corporate management: Reduce from $5M to $2M (concede $3M)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Technical services: Reduce from $8M to $7.67M (concede $330K)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Head office overhead: Disallow entirely (concede $3M)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Shared IT: Defend fully at $2M (with documentation)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concession: $6.33M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tax: $3.17M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Request penalty waiver: Demonstrate good faith (reasonable cause defense)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Offer to pay interest: $500K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proposed settlement: $3.67M (vs. $13.14M AGT assessment)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Savings: $9.47M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Conclusion</w:t>
      </w:r>
    </w:p>
    <w:p>
      <w:r>
        <w:t xml:space="preserve">Deductibility of management fees and service charges between parent companies and subsidiaries requires rigorous </w:t>
      </w:r>
      <w:r>
        <w:rPr>
          <w:b/>
        </w:rPr>
        <w:t>transfer pricing compliance</w:t>
      </w:r>
      <w:r>
        <w:t xml:space="preserve">, </w:t>
      </w:r>
      <w:r>
        <w:rPr>
          <w:b/>
        </w:rPr>
        <w:t>contemporaneous documentation</w:t>
      </w:r>
      <w:r>
        <w:t xml:space="preserve">, and </w:t>
      </w:r>
      <w:r>
        <w:rPr>
          <w:b/>
        </w:rPr>
        <w:t>demonstration of genuine economic benefit</w:t>
      </w:r>
      <w:r>
        <w:t xml:space="preserve">. Tax authorities in high-tax jurisdictions (particularly petroleum-producing countries) intensely scrutinize these charges as potential </w:t>
      </w:r>
      <w:r>
        <w:rPr>
          <w:b/>
        </w:rPr>
        <w:t>base erosion</w:t>
      </w:r>
      <w:r>
        <w:t>.</w:t>
      </w:r>
    </w:p>
    <w:p>
      <w:r>
        <w:rPr>
          <w:b/>
        </w:rPr>
        <w:t>Key principles</w:t>
      </w:r>
      <w:r>
        <w:t>:</w:t>
      </w:r>
    </w:p>
    <w:p>
      <w:pPr>
        <w:pStyle w:val="ListNumber"/>
      </w:pPr>
      <w:r>
        <w:rPr>
          <w:b/>
        </w:rPr>
        <w:t>OECD Benefit Test</w:t>
      </w:r>
      <w:r>
        <w:t>: Services must provide economic value that independent entity would pay for</w:t>
      </w:r>
    </w:p>
    <w:p>
      <w:pPr>
        <w:pStyle w:val="ListNumber"/>
      </w:pPr>
      <w:r>
        <w:rPr>
          <w:b/>
        </w:rPr>
        <w:t>Shareholder vs. Stewardship</w:t>
      </w:r>
      <w:r>
        <w:t>: Distinguish between shareholder activities (NOT deductible) and genuine services</w:t>
      </w:r>
    </w:p>
    <w:p>
      <w:pPr>
        <w:pStyle w:val="ListNumber"/>
      </w:pPr>
      <w:r>
        <w:rPr>
          <w:b/>
        </w:rPr>
        <w:t>Documentation</w:t>
      </w:r>
      <w:r>
        <w:t>: Contemporaneous records (service agreements, time tracking, allocation methodologies, comparables)</w:t>
      </w:r>
    </w:p>
    <w:p>
      <w:pPr>
        <w:pStyle w:val="ListNumber"/>
      </w:pPr>
      <w:r>
        <w:rPr>
          <w:b/>
        </w:rPr>
        <w:t>Pricing Methods</w:t>
      </w:r>
      <w:r>
        <w:t>: SCM for low-margin covered services, CPM for technical services, benchmarking required</w:t>
      </w:r>
    </w:p>
    <w:p>
      <w:pPr>
        <w:pStyle w:val="ListNumber"/>
      </w:pPr>
      <w:r>
        <w:rPr>
          <w:b/>
        </w:rPr>
        <w:t>Withholding Tax</w:t>
      </w:r>
      <w:r>
        <w:t>: Consider treaty classification (Article 7 vs. Article 12) and impact on net group cost</w:t>
      </w:r>
    </w:p>
    <w:p>
      <w:r>
        <w:t xml:space="preserve">Understanding these principles requires ability to </w:t>
      </w:r>
      <w:r>
        <w:rPr>
          <w:b/>
        </w:rPr>
        <w:t>classify service charges</w:t>
      </w:r>
      <w:r>
        <w:t xml:space="preserve">, </w:t>
      </w:r>
      <w:r>
        <w:rPr>
          <w:b/>
        </w:rPr>
        <w:t>assess deductibility</w:t>
      </w:r>
      <w:r>
        <w:t xml:space="preserve">, </w:t>
      </w:r>
      <w:r>
        <w:rPr>
          <w:b/>
        </w:rPr>
        <w:t>calculate arm's length prices</w:t>
      </w:r>
      <w:r>
        <w:t xml:space="preserve">, and </w:t>
      </w:r>
      <w:r>
        <w:rPr>
          <w:b/>
        </w:rPr>
        <w:t>recommend documentation/restructuring</w:t>
      </w:r>
      <w:r>
        <w:t xml:space="preserve"> with cost-benefit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