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1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Global Tech Solutions Group</w:t>
        <w:br/>
        <w:br/>
        <w:t>Global Tech Solutions is an international group specializing in software development and cloud computing solutions.</w:t>
        <w:br/>
        <w:t>The group was established in 2020 and has the following structure:</w:t>
        <w:br/>
        <w:br/>
        <w:t>1. GTS Parent (United States) - Parent company and IP owner</w:t>
        <w:br/>
        <w:t>2. GTS Europe (Ireland) - European service hub</w:t>
        <w:br/>
        <w:t>3. GTS APAC (Singapore) - Asia-Pacific operations</w:t>
        <w:br/>
        <w:t>4. GTS India (India) - Development center</w:t>
        <w:br/>
        <w:t>5. GTS Brazil (Brazil) - Software development and support</w:t>
        <w:br/>
        <w:br/>
        <w:t>KEY FACTS:</w:t>
        <w:br/>
        <w:br/>
        <w:t>GTS Parent:</w:t>
        <w:br/>
        <w:t>- Holds all intellectual property rights (patents, software, databases, brand)</w:t>
        <w:br/>
        <w:t>- Provides strategic planning and group coordination</w:t>
        <w:br/>
        <w:t>- Employs 20 executives and IT specialists</w:t>
        <w:br/>
        <w:t>- Assets: USD 50 million (primarily IP)</w:t>
        <w:br/>
        <w:br/>
        <w:t>GTS Europe (Ireland):</w:t>
        <w:br/>
        <w:t>- Operates as the European service hub</w:t>
        <w:br/>
        <w:t>- Provides consulting services, implementation services, and customer support</w:t>
        <w:br/>
        <w:t>- Manages sales to European clients</w:t>
        <w:br/>
        <w:t>- Employs 150 employees (consultants, developers, support staff)</w:t>
        <w:br/>
        <w:t>- Annual revenue: EUR 60 million</w:t>
        <w:br/>
        <w:t>- Pays 12.5% corporate tax rate</w:t>
        <w:br/>
        <w:br/>
        <w:t>GTS APAC (Singapore):</w:t>
        <w:br/>
        <w:t>- Regional headquarters for Asia-Pacific</w:t>
        <w:br/>
        <w:t>- Limited development activities</w:t>
        <w:br/>
        <w:t>- Primarily coordination, project management, and customer relationship management</w:t>
        <w:br/>
        <w:t>- Employs 30 employees</w:t>
        <w:br/>
        <w:t>- Annual revenue: SGD 40 million</w:t>
        <w:br/>
        <w:t>- Tax rate: 17%</w:t>
        <w:br/>
        <w:br/>
        <w:t>GTS India (Development Center):</w:t>
        <w:br/>
        <w:t>- Provides software development and technical support services</w:t>
        <w:br/>
        <w:t>- Employs 300 developers and technical staff</w:t>
        <w:br/>
        <w:t>- Receives assignments from GTS Parent and GTS Europe</w:t>
        <w:br/>
        <w:t>- Provides pre-developed code modules, custom solutions, and IT support</w:t>
        <w:br/>
        <w:t>- Cost of operations: INR 250 million per annum</w:t>
        <w:br/>
        <w:t>- Tax rate: 30%</w:t>
        <w:br/>
        <w:br/>
        <w:t>GTS Brazil (Support Center):</w:t>
        <w:br/>
        <w:t>- Recent establishment (2023) for redundancy and risk management</w:t>
        <w:br/>
        <w:t>- Provides software maintenance and customer support</w:t>
        <w:br/>
        <w:t>- Employs 50 support staff</w:t>
        <w:br/>
        <w:t>- Annual costs: BRL 15 million</w:t>
        <w:br/>
        <w:t>- Tax rate: 34%</w:t>
        <w:br/>
        <w:br/>
        <w:t>TRANSACTIONS AND FINANCIAL DATA:</w:t>
        <w:br/>
        <w:br/>
        <w:t>A. Intragroup Transactions:</w:t>
        <w:br/>
        <w:t xml:space="preserve">   1. GTS Parent licenses software and IP to GTS Europe and GTS APAC for:</w:t>
        <w:br/>
        <w:t xml:space="preserve">      - GTS Europe: Annual royalty USD 8 million</w:t>
        <w:br/>
        <w:t xml:space="preserve">      - GTS APAC: Annual royalty USD 2 million</w:t>
        <w:br/>
        <w:br/>
        <w:t xml:space="preserve">   2. GTS India provides development services to:</w:t>
        <w:br/>
        <w:t xml:space="preserve">      - GTS Parent: USD 5 million per annum (cost-reimbursement basis)</w:t>
        <w:br/>
        <w:t xml:space="preserve">      - GTS Europe: USD 15 million per annum (cost-reimbursement basis)</w:t>
        <w:br/>
        <w:br/>
        <w:t xml:space="preserve">   3. GTS Europe charges:</w:t>
        <w:br/>
        <w:t xml:space="preserve">      - Implementation and consulting services to clients: average charge rate EUR 200/hour</w:t>
        <w:br/>
        <w:t xml:space="preserve">      - Service cost recharge to GTS India: EUR 2 million per annum for project management</w:t>
        <w:br/>
        <w:t xml:space="preserve">      - Internal allocation of corporate costs</w:t>
        <w:br/>
        <w:br/>
        <w:t xml:space="preserve">   4. GTS Brazil provides support services:</w:t>
        <w:br/>
        <w:t xml:space="preserve">      - To GTS Europe: BRL 3 million per annum</w:t>
        <w:br/>
        <w:t xml:space="preserve">      - To GTS Parent: BRL 2 million per annum</w:t>
        <w:br/>
        <w:br/>
        <w:t>B. Group Financials (Audited):</w:t>
        <w:br/>
        <w:t xml:space="preserve">   - GTS Parent: Net profit USD 25 million on revenue USD 40 million (62.5% margin)</w:t>
        <w:br/>
        <w:t xml:space="preserve">   - GTS Europe: Net profit EUR 3 million on revenue EUR 60 million (5% margin)</w:t>
        <w:br/>
        <w:t xml:space="preserve">   - GTS APAC: Net profit SGD 1 million on revenue SGD 40 million (2.5% margin)</w:t>
        <w:br/>
        <w:t xml:space="preserve">   - GTS India: Net loss INR 20 million on revenue INR 250 million (cost reimbursement)</w:t>
        <w:br/>
        <w:t xml:space="preserve">   - GTS Brazil: Loss BRL 2 million on costs BRL 15 million</w:t>
        <w:br/>
        <w:br/>
        <w:t>ADDITIONAL INFORMATION:</w:t>
        <w:br/>
        <w:t>- Market data shows comparable software companies charge 15-25% royalty rates for standard IP licenses</w:t>
        <w:br/>
        <w:t>- Development centers in India typically charge cost-plus 10-15% for routine development</w:t>
        <w:br/>
        <w:t>- European IT consultants typically achieve net margins of 10-15%</w:t>
        <w:br/>
        <w:t>- No transfer pricing documentation or APAs are in place</w:t>
        <w:br/>
        <w:t>- The group has not been subject to any transfer pricing audits</w:t>
        <w:br/>
        <w:t>- All entities operate at arm's length as independent entities would</w:t>
        <w:br/>
        <w:br/>
        <w:t>REQUIRED:</w:t>
        <w:br/>
        <w:br/>
        <w:t>(a) Identify and describe all controlled transactions within the Global Tech Solutions group.</w:t>
        <w:br/>
        <w:t xml:space="preserve">    What additional information would you require to properly characterize these transactions?</w:t>
        <w:br/>
        <w:t xml:space="preserve">    (8 marks)</w:t>
        <w:br/>
        <w:br/>
        <w:t>(b) Perform a detailed functional analysis for each entity, identifying:</w:t>
        <w:br/>
        <w:t xml:space="preserve">    - Functions performed</w:t>
        <w:br/>
        <w:t xml:space="preserve">    - Assets employed</w:t>
        <w:br/>
        <w:t xml:space="preserve">    - Risks assumed</w:t>
        <w:br/>
        <w:t xml:space="preserve">    - Business justification for each operation</w:t>
        <w:br/>
        <w:t xml:space="preserve">    (10 marks)</w:t>
        <w:br/>
        <w:br/>
        <w:t>(c) For the IP licensing arrangements, evaluate whether the current royalty rates are</w:t>
        <w:br/>
        <w:t xml:space="preserve">    arm's length under the OECD Transfer Pricing Guidelines. What transfer pricing method</w:t>
        <w:br/>
        <w:t xml:space="preserve">    would be most appropriate and why?</w:t>
        <w:br/>
        <w:t xml:space="preserve">    (7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With reference to the Global Tech Solutions scenario above, answer the following:</w:t>
        <w:br/>
        <w:br/>
        <w:t>(a) Characterize each entity (GTS Europe, GTS APAC, GTS India, and GTS Brazil) according to</w:t>
        <w:br/>
        <w:t xml:space="preserve">    OECD transfer pricing classifications. Do you believe the current profit allocation is</w:t>
        <w:br/>
        <w:t xml:space="preserve">    consistent with the arm's length principle? Explain your analysis.</w:t>
        <w:br/>
        <w:t xml:space="preserve">    (10 marks)</w:t>
        <w:br/>
        <w:br/>
        <w:t>(b) The operating margins achieved by each entity vary significantly. Discuss whether these</w:t>
        <w:br/>
        <w:t xml:space="preserve">    differences can be justified by differences in functions, assets, and risks. Are there</w:t>
        <w:br/>
        <w:t xml:space="preserve">    any transfer pricing concerns from a tax authority perspective?</w:t>
        <w:br/>
        <w:t xml:space="preserve">    (8 marks)</w:t>
        <w:br/>
        <w:br/>
        <w:t>(c) Identify specific transfer pricing risks in this structure. What advice would you</w:t>
        <w:br/>
        <w:t xml:space="preserve">    provide to the group regarding documentation and compliance?</w:t>
        <w:br/>
        <w:t xml:space="preserve">    (7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is a multinational group that is undertaking a significant business restructuring.</w:t>
        <w:br/>
        <w:t>The group is considering relocating manufacturing operations from a developed country (Current</w:t>
        <w:br/>
        <w:t>Location) to a developing country (New Location) to reduce costs. The current manufacturer</w:t>
        <w:br/>
        <w:t>achieves a net profit margin of 15% on manufacturing activities. The new location can</w:t>
        <w:br/>
        <w:t>manufacture the same product at 35% lower cost.</w:t>
        <w:br/>
        <w:br/>
        <w:t>(a) Discuss the transfer pricing issues arising from this relocation, specifically:</w:t>
        <w:br/>
        <w:t xml:space="preserve">    (i)   Exit charge implications for the current manufacturer</w:t>
        <w:br/>
        <w:t xml:space="preserve">    (ii)  Transfer pricing methodology for the new manufacturer</w:t>
        <w:br/>
        <w:t xml:space="preserve">    (iii) Working capital and inventory adjustment implications</w:t>
        <w:br/>
        <w:t xml:space="preserve">    (iv)  The impact of the cost reduction on future transfer prices</w:t>
        <w:br/>
        <w:t xml:space="preserve">    (8 marks)</w:t>
        <w:br/>
        <w:br/>
        <w:t>(b) Recommend a defensible approach to pricing this restructuring that balances commercial</w:t>
        <w:br/>
        <w:t xml:space="preserve">    rationale with transfer pricing compliance. Consider any APAs or advance notice to tax</w:t>
        <w:br/>
        <w:t xml:space="preserve">    authorities that might be appropriate.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operates an international service delivery model where a service provider based</w:t>
        <w:br/>
        <w:t>in a low-tax jurisdiction provides technical services to operating entities in higher-tax</w:t>
        <w:br/>
        <w:t>jurisdictions. The service provider is charging on a cost-plus basis, which results in the</w:t>
        <w:br/>
        <w:t>service provider earning a minimal margin while the operating entities earn substantial</w:t>
        <w:br/>
        <w:t>profits. A tax authority in one of the higher-tax jurisdictions has challenged whether the</w:t>
        <w:br/>
        <w:t>service provider should be earning a higher margin and whether the service provider might</w:t>
        <w:br/>
        <w:t>constitute a Permanent Establishment.</w:t>
        <w:br/>
        <w:br/>
        <w:t>(a) Analyze the transfer pricing issue:</w:t>
        <w:br/>
        <w:t xml:space="preserve">    (i)   What is the current transfer pricing methodology?</w:t>
        <w:br/>
        <w:t xml:space="preserve">    (ii)  Is the cost-plus basis appropriate for these services?</w:t>
        <w:br/>
        <w:t xml:space="preserve">    (iii) What alternative transfer pricing methodologies might be considered?</w:t>
        <w:br/>
        <w:t xml:space="preserve">    (iv)  What would be an arm's length profit margin for the service provider?</w:t>
        <w:br/>
        <w:t xml:space="preserve">    (8 marks)</w:t>
        <w:br/>
        <w:br/>
        <w:t>(b) Evaluate the PE risk and recommend a structure that minimizes PE exposure while</w:t>
        <w:br/>
        <w:t xml:space="preserve">    maintaining transfer pricing defensibility:</w:t>
        <w:br/>
        <w:t xml:space="preserve">    (i)   What functions and assets of the service provider increase PE risk?</w:t>
        <w:br/>
        <w:t xml:space="preserve">    (ii)  How could the structure be modified to reduce PE exposure?</w:t>
        <w:br/>
        <w:t xml:space="preserve">    (iii) What documentation should be prepared?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