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MOCK EXAMINATION</w:t>
      </w:r>
    </w:p>
    <w:p>
      <w:pPr>
        <w:pStyle w:val="Heading2"/>
      </w:pPr>
      <w:r>
        <w:t>ADIT Module 3.03 – Transfer Pricing Option</w:t>
      </w:r>
    </w:p>
    <w:p>
      <w:pPr>
        <w:pStyle w:val="Heading2"/>
      </w:pPr>
      <w:r>
        <w:t>Mock Exam 2</w:t>
      </w:r>
    </w:p>
    <w:p>
      <w:r>
        <w:rPr>
          <w:b w:val="0"/>
          <w:i w:val="0"/>
          <w:sz w:val="22"/>
        </w:rPr>
        <w:t>Time Allowed: 3 hours 15 minutes</w:t>
      </w:r>
    </w:p>
    <w:p>
      <w:r>
        <w:rPr>
          <w:b w:val="0"/>
          <w:i w:val="0"/>
          <w:sz w:val="22"/>
        </w:rPr>
        <w:t>Total Marks: 100 marks</w:t>
      </w:r>
    </w:p>
    <w:p>
      <w:r>
        <w:rPr>
          <w:b w:val="0"/>
          <w:i w:val="0"/>
          <w:sz w:val="22"/>
        </w:rPr>
        <w:t>Date: November 2025</w:t>
      </w:r>
    </w:p>
    <w:p/>
    <w:p>
      <w:r>
        <w:rPr>
          <w:b w:val="0"/>
          <w:i w:val="0"/>
          <w:sz w:val="22"/>
        </w:rPr>
        <w:t>INSTRUCTIONS TO CANDIDATES:</w:t>
      </w:r>
    </w:p>
    <w:p>
      <w:r>
        <w:rPr>
          <w:b w:val="0"/>
          <w:i w:val="0"/>
          <w:sz w:val="22"/>
        </w:rPr>
        <w:t>• Answer FIVE questions in total</w:t>
      </w:r>
    </w:p>
    <w:p>
      <w:r>
        <w:rPr>
          <w:b w:val="0"/>
          <w:i w:val="0"/>
          <w:sz w:val="22"/>
        </w:rPr>
        <w:t>• PART A: Answer BOTH questions (2 × 25 marks = 50 marks)</w:t>
      </w:r>
    </w:p>
    <w:p>
      <w:r>
        <w:rPr>
          <w:b w:val="0"/>
          <w:i w:val="0"/>
          <w:sz w:val="22"/>
        </w:rPr>
        <w:t>• PART B: Answer ONE question from the two offered (20 marks)</w:t>
      </w:r>
    </w:p>
    <w:p>
      <w:r>
        <w:rPr>
          <w:b w:val="0"/>
          <w:i w:val="0"/>
          <w:sz w:val="22"/>
        </w:rPr>
        <w:t>• PART C: Answer TWO questions from the five offered (2 × 15 marks = 30 marks)</w:t>
      </w:r>
    </w:p>
    <w:p/>
    <w:p>
      <w:r>
        <w:rPr>
          <w:b w:val="0"/>
          <w:i w:val="0"/>
          <w:sz w:val="22"/>
        </w:rPr>
        <w:t>Write your answers clearly and legibly. Marks will be awarded for:</w:t>
      </w:r>
    </w:p>
    <w:p>
      <w:r>
        <w:rPr>
          <w:b w:val="0"/>
          <w:i w:val="0"/>
          <w:sz w:val="22"/>
        </w:rPr>
        <w:t>• Correct identification and analysis of issues</w:t>
      </w:r>
    </w:p>
    <w:p>
      <w:r>
        <w:rPr>
          <w:b w:val="0"/>
          <w:i w:val="0"/>
          <w:sz w:val="22"/>
        </w:rPr>
        <w:t>• Application of OECD Transfer Pricing Guidelines</w:t>
      </w:r>
    </w:p>
    <w:p>
      <w:r>
        <w:rPr>
          <w:b w:val="0"/>
          <w:i w:val="0"/>
          <w:sz w:val="22"/>
        </w:rPr>
        <w:t>• Supporting calculations and references</w:t>
      </w:r>
    </w:p>
    <w:p>
      <w:r>
        <w:rPr>
          <w:b w:val="0"/>
          <w:i w:val="0"/>
          <w:sz w:val="22"/>
        </w:rPr>
        <w:t>• Clear presentation and structure</w:t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A: COMPULSORY CASE STUDY QUESTIONS</w:t>
      </w:r>
    </w:p>
    <w:p>
      <w:r>
        <w:rPr>
          <w:b w:val="0"/>
          <w:i/>
          <w:sz w:val="22"/>
        </w:rPr>
        <w:t>Answer BOTH questions. Each question is worth 25 marks.</w:t>
      </w:r>
    </w:p>
    <w:p/>
    <w:p>
      <w:pPr>
        <w:pStyle w:val="Heading2"/>
      </w:pPr>
      <w:r>
        <w:t>QUESTION 1 (25 marks)</w:t>
      </w:r>
    </w:p>
    <w:p>
      <w:r>
        <w:rPr>
          <w:b w:val="0"/>
          <w:i w:val="0"/>
          <w:sz w:val="22"/>
        </w:rPr>
        <w:br/>
        <w:t>SCENARIO - Luxe Fashion Group</w:t>
        <w:br/>
        <w:br/>
        <w:t>Luxe Fashion Group is a multinational luxury apparel company with operations across multiple</w:t>
        <w:br/>
        <w:t>jurisdictions. The group manufactures and sells high-end fashion products globally.</w:t>
        <w:br/>
        <w:br/>
        <w:t>GROUP STRUCTURE:</w:t>
        <w:br/>
        <w:br/>
        <w:t>1. Luxe Holdings (Luxembourg) - Parent company, brand owner, IP holder</w:t>
        <w:br/>
        <w:t>2. Luxe Manufacturing (Vietnam) - Contract manufacturer</w:t>
        <w:br/>
        <w:t>3. Luxe Distribution Europe (Germany) - European distribution hub</w:t>
        <w:br/>
        <w:t>4. Luxe Distribution Asia (Hong Kong) - Asian distribution center</w:t>
        <w:br/>
        <w:t>5. Luxe Retail (UK) - Retail operations and UK subsidiary</w:t>
        <w:br/>
        <w:br/>
        <w:t>COMPANY PROFILES:</w:t>
        <w:br/>
        <w:br/>
        <w:t>Luxe Holdings (Luxembourg):</w:t>
        <w:br/>
        <w:t>- Ultimate parent company</w:t>
        <w:br/>
        <w:t>- Owns the "Luxe" brand and all associated trademarks</w:t>
        <w:br/>
        <w:t>- Owns product designs and patterns</w:t>
        <w:br/>
        <w:t>- Provides marketing strategies and brand management</w:t>
        <w:br/>
        <w:t>- Minimal direct involvement in production or distribution</w:t>
        <w:br/>
        <w:t>- Employees: 8 (executives and brand managers)</w:t>
        <w:br/>
        <w:t>- Assets: Brand value (estimated USD 200 million), designs</w:t>
        <w:br/>
        <w:t>- Tax rate: 0.29% (Luxembourg tax incentive)</w:t>
        <w:br/>
        <w:br/>
        <w:t>Luxe Manufacturing (Vietnam):</w:t>
        <w:br/>
        <w:t>- Contract manufacturer of luxury apparel</w:t>
        <w:br/>
        <w:t>- Receives designs and specifications from Luxe Holdings</w:t>
        <w:br/>
        <w:t>- Sources raw materials and components</w:t>
        <w:br/>
        <w:t>- Manufactures products to specified standards</w:t>
        <w:br/>
        <w:t>- No intellectual property ownership</w:t>
        <w:br/>
        <w:t>- Limited marketing involvement</w:t>
        <w:br/>
        <w:t>- Employees: 500</w:t>
        <w:br/>
        <w:t>- Annual production capacity: 1 million units</w:t>
        <w:br/>
        <w:t>- Current utilization: 80%</w:t>
        <w:br/>
        <w:t>- Cost of goods manufactured (COGS): USD 50 per unit</w:t>
        <w:br/>
        <w:t>- Operating costs: USD 15 million per annum</w:t>
        <w:br/>
        <w:t>- Products sold to distribution centers at cost-plus 15% pricing</w:t>
        <w:br/>
        <w:br/>
        <w:t>Luxe Distribution Europe (Germany):</w:t>
        <w:br/>
        <w:t>- Receives finished goods from manufacturing</w:t>
        <w:br/>
        <w:t>- Warehouses and distributes to retail partners across Europe</w:t>
        <w:br/>
        <w:t>- Conducts marketing campaigns (local adaptation)</w:t>
        <w:br/>
        <w:t>- Handles customer relationships and warranty claims</w:t>
        <w:br/>
        <w:t>- Employees: 150</w:t>
        <w:br/>
        <w:t>- Assets: Warehouse facility (value USD 10 million), brand awareness developed locally</w:t>
        <w:br/>
        <w:t>- Annual purchases from manufacturer: 400,000 units</w:t>
        <w:br/>
        <w:t>- Purchasing cost: USD 57.50 per unit (cost-plus 15%)</w:t>
        <w:br/>
        <w:t>- Selling price to retailers: USD 150 per unit</w:t>
        <w:br/>
        <w:t>- Operating expenses: EUR 8 million per annum</w:t>
        <w:br/>
        <w:br/>
        <w:t>Luxe Distribution Asia (Hong Kong):</w:t>
        <w:br/>
        <w:t>- Similar role to Europe distribution entity</w:t>
        <w:br/>
        <w:t>- Distributes to retailers across Asia-Pacific</w:t>
        <w:br/>
        <w:t>- Less established market presence compared to Europe</w:t>
        <w:br/>
        <w:t>- Employees: 50</w:t>
        <w:br/>
        <w:t>- Annual purchases: 200,000 units</w:t>
        <w:br/>
        <w:t>- Purchasing cost: USD 57.50 per unit</w:t>
        <w:br/>
        <w:t>- Average selling price: USD 140 per unit</w:t>
        <w:br/>
        <w:t>- Operating expenses: HKD 20 million per annum</w:t>
        <w:br/>
        <w:br/>
        <w:t>Luxe Retail (UK):</w:t>
        <w:br/>
        <w:t>- Operates flagship retail stores in major UK cities</w:t>
        <w:br/>
        <w:t>- Direct consumer sales</w:t>
        <w:br/>
        <w:t>- Brand experience and customer relationship management</w:t>
        <w:br/>
        <w:t>- Employees: 120</w:t>
        <w:br/>
        <w:t>- Annual unit sales: 100,000 units</w:t>
        <w:br/>
        <w:t>- Purchasing cost from Distribution Europe: USD 80 per unit</w:t>
        <w:br/>
        <w:t>- Average retail price: USD 250 per unit</w:t>
        <w:br/>
        <w:t>- Operating expenses: GBP 5 million per annum</w:t>
        <w:br/>
        <w:t>- Store lease and utilities: GBP 3 million per annum</w:t>
        <w:br/>
        <w:br/>
        <w:t>ADDITIONAL CONSIDERATIONS:</w:t>
        <w:br/>
        <w:t>- Manufacturing labor costs in Vietnam are significantly lower than in developed countries</w:t>
        <w:br/>
        <w:t>- The "Luxe" brand has strong recognition in European and Asian markets</w:t>
        <w:br/>
        <w:t>- Retail customer base is primarily high-net-worth individuals</w:t>
        <w:br/>
        <w:t>- Product quality and brand positioning are critical to pricing power</w:t>
        <w:br/>
        <w:t>- No comparables for exact brand or product type available</w:t>
        <w:br/>
        <w:t>- Recent market analysis shows luxury apparel companies achieve 40-60% retail margins</w:t>
        <w:br/>
        <w:br/>
        <w:t>REQUIRED:</w:t>
        <w:br/>
        <w:br/>
        <w:t>(a) Delineate all controlled transactions in the Luxe Fashion Group structure. For each</w:t>
        <w:br/>
        <w:t xml:space="preserve">    transaction, identify the nature, parties, and economic context.</w:t>
        <w:br/>
        <w:t xml:space="preserve">    (8 marks)</w:t>
        <w:br/>
        <w:br/>
        <w:t>(b) Evaluate the current transfer pricing arrangements (cost-plus 15% for manufacturing).</w:t>
        <w:br/>
        <w:t xml:space="preserve">    Is this methodology appropriate? What alternative methodologies might be considered</w:t>
        <w:br/>
        <w:t xml:space="preserve">    and why?</w:t>
        <w:br/>
        <w:t xml:space="preserve">    (9 marks)</w:t>
        <w:br/>
        <w:br/>
        <w:t>(c) What comparability data would you require to support the transfer pricing positions?</w:t>
        <w:br/>
        <w:t xml:space="preserve">    Discuss the challenges in finding relevant comparables for this group.</w:t>
        <w:br/>
        <w:t xml:space="preserve">    (8 marks)</w:t>
        <w:br/>
      </w:r>
    </w:p>
    <w:p>
      <w:pPr>
        <w:pStyle w:val="Heading2"/>
      </w:pPr>
      <w:r>
        <w:t>QUESTION 2 (25 marks)</w:t>
      </w:r>
    </w:p>
    <w:p>
      <w:r>
        <w:rPr>
          <w:b w:val="0"/>
          <w:i w:val="0"/>
          <w:sz w:val="22"/>
        </w:rPr>
        <w:br/>
        <w:t>Continuing with the Luxe Fashion Group scenario:</w:t>
        <w:br/>
        <w:br/>
        <w:t>(a) Characterize each entity in the value chain. Identify which entity should logically</w:t>
        <w:br/>
        <w:t xml:space="preserve">    earn the residual profit and why, based on OECD transfer pricing principles.</w:t>
        <w:br/>
        <w:t xml:space="preserve">    (10 marks)</w:t>
        <w:br/>
        <w:br/>
        <w:t>(b) The retail operations achieve significantly higher profit margins than distribution</w:t>
        <w:br/>
        <w:t xml:space="preserve">    centers. Analyze whether this is consistent with the arm's length principle. Are there</w:t>
        <w:br/>
        <w:t xml:space="preserve">    transfer pricing concerns?</w:t>
        <w:br/>
        <w:t xml:space="preserve">    (8 marks)</w:t>
        <w:br/>
        <w:br/>
        <w:t>(c) Recommend an alternative transfer pricing structure for the group that you believe would</w:t>
        <w:br/>
        <w:t xml:space="preserve">    be more defensible. Justify your recommendation with reference to OECD Guidelines.</w:t>
        <w:br/>
        <w:t xml:space="preserve">    (7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B: CHOOSE ONE SCENARIO QUESTION (20 marks)</w:t>
      </w:r>
    </w:p>
    <w:p>
      <w:r>
        <w:rPr>
          <w:b w:val="0"/>
          <w:i/>
          <w:sz w:val="22"/>
        </w:rPr>
        <w:t>Answer ONE question from the two offered.</w:t>
      </w:r>
    </w:p>
    <w:p/>
    <w:p>
      <w:pPr>
        <w:pStyle w:val="Heading2"/>
      </w:pPr>
      <w:r>
        <w:t>QUESTION 3 (20 marks)</w:t>
      </w:r>
    </w:p>
    <w:p>
      <w:r>
        <w:rPr>
          <w:b w:val="0"/>
          <w:i w:val="0"/>
          <w:sz w:val="22"/>
        </w:rPr>
        <w:br/>
        <w:t>Your client operates a substantial business in a foreign country where it has stationed</w:t>
        <w:br/>
        <w:t>personnel to manage operations and support local sales. The foreign tax authority has indicated</w:t>
        <w:br/>
        <w:t>it believes your client has established a Permanent Establishment (PE) under Article 5 of the</w:t>
        <w:br/>
        <w:t>relevant tax treaty and is pursuing a transfer pricing audit on the basis that profits should</w:t>
        <w:br/>
        <w:t>be attributed to the PE.</w:t>
        <w:br/>
        <w:br/>
        <w:t>(a) Analyze the PE issue comprehensively:</w:t>
        <w:br/>
        <w:t xml:space="preserve">    (i)   What is the applicable test under Article 5?</w:t>
        <w:br/>
        <w:t xml:space="preserve">    (ii)  What factors would support the existence of a PE?</w:t>
        <w:br/>
        <w:t xml:space="preserve">    (iii) What factors would militate against PE status?</w:t>
        <w:br/>
        <w:t xml:space="preserve">    (iv)  How would you structure the operations to minimize PE risk?</w:t>
        <w:br/>
        <w:t xml:space="preserve">    (8 marks)</w:t>
        <w:br/>
        <w:br/>
        <w:t>(b) If a PE is determined to exist, analyze the transfer pricing implications:</w:t>
        <w:br/>
        <w:t xml:space="preserve">    (i)   How should profits be attributed using the Authorized OECD Approach?</w:t>
        <w:br/>
        <w:t xml:space="preserve">    (ii)  What functions and assets would you attribute to the PE?</w:t>
        <w:br/>
        <w:t xml:space="preserve">    (iii) What profit margin would be appropriate?</w:t>
        <w:br/>
        <w:t xml:space="preserve">    (12 marks)</w:t>
        <w:br/>
      </w:r>
    </w:p>
    <w:p/>
    <w:p>
      <w:pPr>
        <w:pStyle w:val="Heading2"/>
      </w:pPr>
      <w:r>
        <w:t>QUESTION 4 (20 marks)</w:t>
      </w:r>
    </w:p>
    <w:p>
      <w:r>
        <w:rPr>
          <w:b w:val="0"/>
          <w:i w:val="0"/>
          <w:sz w:val="22"/>
        </w:rPr>
        <w:br/>
        <w:t>Your client is a multinational group that is considering a business restructuring involving</w:t>
        <w:br/>
        <w:t>the transfer of intellectual property (IP) from one jurisdiction to another. The current owner</w:t>
        <w:br/>
        <w:t>of the IP is in a high-tax jurisdiction, and the client is considering transferring the IP to</w:t>
        <w:br/>
        <w:t>a lower-tax jurisdiction to generate IP licensing revenues there. The IP transfer will occur</w:t>
        <w:br/>
        <w:t>at a time when the technology is being enhanced and new patents are being developed.</w:t>
        <w:br/>
        <w:br/>
        <w:t>(a) Discuss the transfer pricing issues arising from this IP transfer:</w:t>
        <w:br/>
        <w:t xml:space="preserve">    (i)   How should the transfer price be determined?</w:t>
        <w:br/>
        <w:t xml:space="preserve">    (ii)  What BEPS Action 8-10 principles apply to this situation?</w:t>
        <w:br/>
        <w:t xml:space="preserve">    (iii) What role does the DEMPE framework play in analyzing this transfer?</w:t>
        <w:br/>
        <w:t xml:space="preserve">    (iv)  How should the allocation of ongoing R&amp;D costs be handled?</w:t>
        <w:br/>
        <w:t xml:space="preserve">    (8 marks)</w:t>
        <w:br/>
        <w:br/>
        <w:t>(b) Recommend a transfer pricing position for the IP transfer and the subsequent licensing</w:t>
        <w:br/>
        <w:t xml:space="preserve">    arrangements that would be robust to challenge, considering both the transfer price and</w:t>
        <w:br/>
        <w:t xml:space="preserve">    the ongoing royalty rates:</w:t>
        <w:br/>
        <w:t xml:space="preserve">    (i)   What valuation method would you use?</w:t>
        <w:br/>
        <w:t xml:space="preserve">    (ii)  What would be an appropriate royalty rate for subsequent licenses?</w:t>
        <w:br/>
        <w:t xml:space="preserve">    (iii) What documentation is essential?</w:t>
        <w:br/>
        <w:t xml:space="preserve">    (12 marks)</w:t>
        <w:br/>
      </w:r>
    </w:p>
    <w:p>
      <w:r>
        <w:br w:type="page"/>
      </w:r>
    </w:p>
    <w:p>
      <w:pPr>
        <w:pStyle w:val="Heading1"/>
      </w:pPr>
      <w:r>
        <w:rPr>
          <w:b/>
          <w:color w:val="003366"/>
          <w:sz w:val="28"/>
        </w:rPr>
        <w:t>PART C: CHOOSE TWO SHORT QUESTIONS (15 marks each)</w:t>
      </w:r>
    </w:p>
    <w:p>
      <w:r>
        <w:rPr>
          <w:b w:val="0"/>
          <w:i/>
          <w:sz w:val="22"/>
        </w:rPr>
        <w:t>Answer TWO questions from the five offered. Each question is worth 15 marks.</w:t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p>
      <w:pPr>
        <w:pStyle w:val="Heading2"/>
      </w:pPr>
      <w:r>
        <w:t>QUESTION 5</w:t>
      </w:r>
    </w:p>
    <w:p>
      <w:r>
        <w:rPr>
          <w:b w:val="0"/>
          <w:i w:val="0"/>
          <w:sz w:val="22"/>
        </w:rPr>
        <w:br/>
        <w:t>INTRAGROUP SERVICES AND SERVICE HUBS</w:t>
        <w:br/>
        <w:br/>
        <w:t>Discuss the key transfer pricing issues for intragroup services, including:</w:t>
        <w:br/>
        <w:t>(a) How to distinguish between:</w:t>
        <w:br/>
        <w:t xml:space="preserve">    (i)   Genuine intragroup services subject to transfer pricing</w:t>
        <w:br/>
        <w:t xml:space="preserve">    (ii)  Shareholder activities (not subject to charge)</w:t>
        <w:br/>
        <w:t xml:space="preserve">    (iii) Duplicative services (not subject to charge)</w:t>
        <w:br/>
        <w:t xml:space="preserve">    (8 marks)</w:t>
        <w:br/>
        <w:br/>
        <w:t>(b) The transfer pricing methodology appropriate for:</w:t>
        <w:br/>
        <w:t xml:space="preserve">    (i)   Administrative and back-office services</w:t>
        <w:br/>
        <w:t xml:space="preserve">    (ii)  Technical and professional services</w:t>
        <w:br/>
        <w:t xml:space="preserve">    (iii) Management and coordination services</w:t>
        <w:br/>
        <w:t xml:space="preserve">    (7 marks)</w:t>
        <w:br/>
      </w:r>
    </w:p>
    <w:p/>
    <w:p>
      <w:pPr>
        <w:pStyle w:val="Heading2"/>
      </w:pPr>
      <w:r>
        <w:t>QUESTION 6</w:t>
      </w:r>
    </w:p>
    <w:p>
      <w:r>
        <w:rPr>
          <w:b w:val="0"/>
          <w:i w:val="0"/>
          <w:sz w:val="22"/>
        </w:rPr>
        <w:br/>
        <w:t>INTELLECTUAL PROPERTY AND DEMPE FRAMEWORK</w:t>
        <w:br/>
        <w:br/>
        <w:t>Explain the DEMPE framework (Development, Enhancement, Maintenance, Protection, Exploitation)</w:t>
        <w:br/>
        <w:t>and its application to transfer pricing, addressing:</w:t>
        <w:br/>
        <w:t>(a) How BEPS Actions 8-10 have changed transfer pricing analysis for intellectual property</w:t>
        <w:br/>
        <w:t xml:space="preserve">    (8 marks)</w:t>
        <w:br/>
        <w:br/>
        <w:t>(b) How DEMPE analysis should influence:</w:t>
        <w:br/>
        <w:t xml:space="preserve">    (i)   The allocation of R&amp;D costs among group entities</w:t>
        <w:br/>
        <w:t xml:space="preserve">    (ii)  The transfer pricing methodology for IP licensing</w:t>
        <w:br/>
        <w:t xml:space="preserve">    (iii) The profit allocation between IP owners and users</w:t>
        <w:br/>
        <w:t xml:space="preserve">    (7 marks)</w:t>
        <w:br/>
      </w:r>
    </w:p>
    <w:p/>
    <w:p>
      <w:pPr>
        <w:pStyle w:val="Heading2"/>
      </w:pPr>
      <w:r>
        <w:t>QUESTION 7</w:t>
      </w:r>
    </w:p>
    <w:p>
      <w:r>
        <w:rPr>
          <w:b w:val="0"/>
          <w:i w:val="0"/>
          <w:sz w:val="22"/>
        </w:rPr>
        <w:br/>
        <w:t>ADVANCE PRICING AGREEMENTS</w:t>
        <w:br/>
        <w:br/>
        <w:t>Discuss Advance Pricing Agreements (APAs), including:</w:t>
        <w:br/>
        <w:t>(a) When it is appropriate for a multinational group to seek an APA:</w:t>
        <w:br/>
        <w:t xml:space="preserve">    (i)   Advantages of APAs</w:t>
        <w:br/>
        <w:t xml:space="preserve">    (ii)  Disadvantages of APAs</w:t>
        <w:br/>
        <w:t xml:space="preserve">    (iii) Bilateral vs. unilateral APAs</w:t>
        <w:br/>
        <w:t xml:space="preserve">    (8 marks)</w:t>
        <w:br/>
        <w:br/>
        <w:t>(b) The key issues that should be addressed in an APA covering:</w:t>
        <w:br/>
        <w:t xml:space="preserve">    (i)   Intercompany transactions to be covered</w:t>
        <w:br/>
        <w:t xml:space="preserve">    (ii)  Transfer pricing methodology and supporting documentation</w:t>
        <w:br/>
        <w:t xml:space="preserve">    (iii) The term of the APA and adjustment mechanisms</w:t>
        <w:br/>
        <w:t xml:space="preserve">    (7 marks)</w:t>
        <w:br/>
      </w:r>
    </w:p>
    <w:p/>
    <w:p>
      <w:pPr>
        <w:pStyle w:val="Heading2"/>
      </w:pPr>
      <w:r>
        <w:t>QUESTION 8</w:t>
      </w:r>
    </w:p>
    <w:p>
      <w:r>
        <w:rPr>
          <w:b w:val="0"/>
          <w:i w:val="0"/>
          <w:sz w:val="22"/>
        </w:rPr>
        <w:br/>
        <w:t>TRANSFER PRICING DOCUMENTATION AND COMPLIANCE</w:t>
        <w:br/>
        <w:br/>
        <w:t>Discuss transfer pricing documentation requirements under BEPS Action 13, including:</w:t>
        <w:br/>
        <w:t>(a) The three-tiered approach to transfer pricing documentation:</w:t>
        <w:br/>
        <w:t xml:space="preserve">    (i)   Master File requirements</w:t>
        <w:br/>
        <w:t xml:space="preserve">    (ii)  Local File requirements</w:t>
        <w:br/>
        <w:t xml:space="preserve">    (iii) Country-by-Country Reporting requirements</w:t>
        <w:br/>
        <w:t xml:space="preserve">    (8 marks)</w:t>
        <w:br/>
        <w:br/>
        <w:t>(b) Best practices for preparation of transfer pricing documentation, including:</w:t>
        <w:br/>
        <w:t xml:space="preserve">    (i)   Benchmarking and comparables analysis</w:t>
        <w:br/>
        <w:t xml:space="preserve">    (ii)  Functional analysis and FAR analysis</w:t>
        <w:br/>
        <w:t xml:space="preserve">    (iii) Supporting contemporaneous documentation</w:t>
        <w:br/>
        <w:t xml:space="preserve">    (7 marks)</w:t>
        <w:br/>
      </w:r>
    </w:p>
    <w:p/>
    <w:p>
      <w:pPr>
        <w:pStyle w:val="Heading2"/>
      </w:pPr>
      <w:r>
        <w:t>QUESTION 9</w:t>
      </w:r>
    </w:p>
    <w:p>
      <w:r>
        <w:rPr>
          <w:b w:val="0"/>
          <w:i w:val="0"/>
          <w:sz w:val="22"/>
        </w:rPr>
        <w:br/>
        <w:t>TRANSFER PRICING AND TAX TREATIES</w:t>
        <w:br/>
        <w:br/>
        <w:t>Discuss the interaction between transfer pricing and tax treaties, addressing:</w:t>
        <w:br/>
        <w:t>(a) Key articles in the OECD Model Tax Convention relevant to transfer pricing:</w:t>
        <w:br/>
        <w:t xml:space="preserve">    (i)   Associated Enterprises (Article 9)</w:t>
        <w:br/>
        <w:t xml:space="preserve">    (ii)  Non-Discrimination (Article 24)</w:t>
        <w:br/>
        <w:t xml:space="preserve">    (iii) Mutual Agreement Procedure (Article 25)</w:t>
        <w:br/>
        <w:t xml:space="preserve">    (8 marks)</w:t>
        <w:br/>
        <w:br/>
        <w:t>(b) How a tax treaty can:</w:t>
        <w:br/>
        <w:t xml:space="preserve">    (i)   Provide protection against double taxation</w:t>
        <w:br/>
        <w:t xml:space="preserve">    (ii)  Facilitate Mutual Agreement Procedures</w:t>
        <w:br/>
        <w:t xml:space="preserve">    (iii) Influence transfer pricing methodology selection</w:t>
        <w:br/>
        <w:t xml:space="preserve">    (7 marks)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