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EXAMINATION</w:t>
      </w:r>
    </w:p>
    <w:p>
      <w:pPr>
        <w:pStyle w:val="Heading2"/>
      </w:pPr>
      <w:r>
        <w:t>ADIT Module 3.03 – Transfer Pricing Option</w:t>
      </w:r>
    </w:p>
    <w:p>
      <w:pPr>
        <w:pStyle w:val="Heading2"/>
      </w:pPr>
      <w:r>
        <w:t>Mock Exam 3</w:t>
      </w:r>
    </w:p>
    <w:p>
      <w:r>
        <w:rPr>
          <w:b w:val="0"/>
          <w:i w:val="0"/>
          <w:sz w:val="22"/>
        </w:rPr>
        <w:t>Time Allowed: 3 hours 15 minutes</w:t>
      </w:r>
    </w:p>
    <w:p>
      <w:r>
        <w:rPr>
          <w:b w:val="0"/>
          <w:i w:val="0"/>
          <w:sz w:val="22"/>
        </w:rPr>
        <w:t>Total Marks: 100 marks</w:t>
      </w:r>
    </w:p>
    <w:p>
      <w:r>
        <w:rPr>
          <w:b w:val="0"/>
          <w:i w:val="0"/>
          <w:sz w:val="22"/>
        </w:rPr>
        <w:t>Date: November 2025</w:t>
      </w:r>
    </w:p>
    <w:p/>
    <w:p>
      <w:r>
        <w:rPr>
          <w:b w:val="0"/>
          <w:i w:val="0"/>
          <w:sz w:val="22"/>
        </w:rPr>
        <w:t>INSTRUCTIONS TO CANDIDATES:</w:t>
      </w:r>
    </w:p>
    <w:p>
      <w:r>
        <w:rPr>
          <w:b w:val="0"/>
          <w:i w:val="0"/>
          <w:sz w:val="22"/>
        </w:rPr>
        <w:t>• Answer FIVE questions in total</w:t>
      </w:r>
    </w:p>
    <w:p>
      <w:r>
        <w:rPr>
          <w:b w:val="0"/>
          <w:i w:val="0"/>
          <w:sz w:val="22"/>
        </w:rPr>
        <w:t>• PART A: Answer BOTH questions (2 × 25 marks = 50 marks)</w:t>
      </w:r>
    </w:p>
    <w:p>
      <w:r>
        <w:rPr>
          <w:b w:val="0"/>
          <w:i w:val="0"/>
          <w:sz w:val="22"/>
        </w:rPr>
        <w:t>• PART B: Answer ONE question from the two offered (20 marks)</w:t>
      </w:r>
    </w:p>
    <w:p>
      <w:r>
        <w:rPr>
          <w:b w:val="0"/>
          <w:i w:val="0"/>
          <w:sz w:val="22"/>
        </w:rPr>
        <w:t>• PART C: Answer TWO questions from the five offered (2 × 15 marks = 30 marks)</w:t>
      </w:r>
    </w:p>
    <w:p/>
    <w:p>
      <w:r>
        <w:rPr>
          <w:b w:val="0"/>
          <w:i w:val="0"/>
          <w:sz w:val="22"/>
        </w:rPr>
        <w:t>Write your answers clearly and legibly. Marks will be awarded for:</w:t>
      </w:r>
    </w:p>
    <w:p>
      <w:r>
        <w:rPr>
          <w:b w:val="0"/>
          <w:i w:val="0"/>
          <w:sz w:val="22"/>
        </w:rPr>
        <w:t>• Correct identification and analysis of issues</w:t>
      </w:r>
    </w:p>
    <w:p>
      <w:r>
        <w:rPr>
          <w:b w:val="0"/>
          <w:i w:val="0"/>
          <w:sz w:val="22"/>
        </w:rPr>
        <w:t>• Application of OECD Transfer Pricing Guidelines</w:t>
      </w:r>
    </w:p>
    <w:p>
      <w:r>
        <w:rPr>
          <w:b w:val="0"/>
          <w:i w:val="0"/>
          <w:sz w:val="22"/>
        </w:rPr>
        <w:t>• Supporting calculations and references</w:t>
      </w:r>
    </w:p>
    <w:p>
      <w:r>
        <w:rPr>
          <w:b w:val="0"/>
          <w:i w:val="0"/>
          <w:sz w:val="22"/>
        </w:rPr>
        <w:t>• Clear presentation and structure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A: COMPULSORY CASE STUDY QUESTIONS</w:t>
      </w:r>
    </w:p>
    <w:p>
      <w:r>
        <w:rPr>
          <w:b w:val="0"/>
          <w:i/>
          <w:sz w:val="22"/>
        </w:rPr>
        <w:t>Answer BOTH questions. Each question is worth 25 marks.</w:t>
      </w:r>
    </w:p>
    <w:p/>
    <w:p>
      <w:pPr>
        <w:pStyle w:val="Heading2"/>
      </w:pPr>
      <w:r>
        <w:t>QUESTION 1 (25 marks)</w:t>
      </w:r>
    </w:p>
    <w:p>
      <w:r>
        <w:rPr>
          <w:b w:val="0"/>
          <w:i w:val="0"/>
          <w:sz w:val="22"/>
        </w:rPr>
        <w:br/>
        <w:t>SCENARIO - Global Finance Holdings</w:t>
        <w:br/>
        <w:br/>
        <w:t>Global Finance Holdings is a multinational holding company with significant financing</w:t>
        <w:br/>
        <w:t>operations among group companies. The group structure involves cross-border loans and</w:t>
        <w:br/>
        <w:t>intercompany guarantees.</w:t>
        <w:br/>
        <w:br/>
        <w:t>GROUP STRUCTURE:</w:t>
        <w:br/>
        <w:br/>
        <w:t>1. Global Finance Holding (Netherlands) - Ultimate parent, credit rating A-</w:t>
        <w:br/>
        <w:t>2. Operating Company A (France) - Operating subsidiary</w:t>
        <w:br/>
        <w:t>3. Operating Company B (Brazil) - Operating subsidiary</w:t>
        <w:br/>
        <w:t>4. Finance Company (Luxembourg) - Finance subsidiary</w:t>
        <w:br/>
        <w:t>5. Start-Up Company (Poland) - Recently established entity</w:t>
        <w:br/>
        <w:br/>
        <w:t>FINANCIAL DETAILS:</w:t>
        <w:br/>
        <w:br/>
        <w:t>Global Finance Holding (Netherlands):</w:t>
        <w:br/>
        <w:t>- Investment holding company</w:t>
        <w:br/>
        <w:t>- Lends to group companies</w:t>
        <w:br/>
        <w:t>- Credit rating: A- (investment grade)</w:t>
        <w:br/>
        <w:t>- Annual borrowing rate available: 2.5%</w:t>
        <w:br/>
        <w:t>- Cash resources: EUR 500 million</w:t>
        <w:br/>
        <w:t>- Outstanding loans to subsidiaries: EUR 300 million</w:t>
        <w:br/>
        <w:br/>
        <w:t>Finance Company (Luxembourg):</w:t>
        <w:br/>
        <w:t>- Central financing vehicle</w:t>
        <w:br/>
        <w:t>- Raises funds on capital markets</w:t>
        <w:br/>
        <w:t>- On-lends to group operating companies</w:t>
        <w:br/>
        <w:t>- Cost of debt: 2% (treasury bills rate)</w:t>
        <w:br/>
        <w:t>- Borrowing from parent: 2.5%</w:t>
        <w:br/>
        <w:t>- On-lending rates to Operating Company A: 4%</w:t>
        <w:br/>
        <w:t>- On-lending rates to Operating Company B: 5.5%</w:t>
        <w:br/>
        <w:br/>
        <w:t>Operating Company A (France):</w:t>
        <w:br/>
        <w:t>- Manufacturing operations</w:t>
        <w:br/>
        <w:t>- Loan from Finance Company: EUR 100 million at 4%</w:t>
        <w:br/>
        <w:t>- Loan balance: EUR 100 million</w:t>
        <w:br/>
        <w:t>- EBIT: EUR 20 million</w:t>
        <w:br/>
        <w:t>- Tax rate: 25%</w:t>
        <w:br/>
        <w:t>- Debt capacity: EUR 150 million</w:t>
        <w:br/>
        <w:t>- Credit rating: BB+ (sub-investment grade)</w:t>
        <w:br/>
        <w:br/>
        <w:t>Operating Company B (Brazil):</w:t>
        <w:br/>
        <w:t>- Mining operations</w:t>
        <w:br/>
        <w:t>- Loan from Finance Company: EUR 80 million at 5.5%</w:t>
        <w:br/>
        <w:t>- Loan balance: EUR 80 million</w:t>
        <w:br/>
        <w:t>- EBIT: EUR 25 million</w:t>
        <w:br/>
        <w:t>- Tax rate: 34%</w:t>
        <w:br/>
        <w:t>- Debt capacity: EUR 100 million</w:t>
        <w:br/>
        <w:t>- Credit rating: BB (sub-investment grade)</w:t>
        <w:br/>
        <w:t>- Volatile earnings (commodity dependent)</w:t>
        <w:br/>
        <w:br/>
        <w:t>Start-Up Company (Poland):</w:t>
        <w:br/>
        <w:t>- E-commerce venture established 2023</w:t>
        <w:br/>
        <w:t>- Loan from Global Finance Holding: EUR 50 million at 3%</w:t>
        <w:br/>
        <w:t>- Loan balance: EUR 50 million</w:t>
        <w:br/>
        <w:t>- Annual losses: EUR 5 million</w:t>
        <w:br/>
        <w:t>- Tax rate: 19%</w:t>
        <w:br/>
        <w:t>- No independent debt capacity</w:t>
        <w:br/>
        <w:t>- Credit rating: Not rated (no history)</w:t>
        <w:br/>
        <w:br/>
        <w:t>BACKGROUND INFORMATION:</w:t>
        <w:br/>
        <w:t>- A-rated companies can borrow at 2.5% in current market conditions</w:t>
        <w:br/>
        <w:t>- BB+ rated companies typically pay 4-5% interest</w:t>
        <w:br/>
        <w:t>- BB rated companies typically pay 5-6% interest</w:t>
        <w:br/>
        <w:t>- Start-up companies with no history cannot access independent financing</w:t>
        <w:br/>
        <w:t>- Market analysis shows an average spread of 200-300 basis points over parent rate for</w:t>
        <w:br/>
        <w:t xml:space="preserve">  sub-investment grade subsidiaries</w:t>
        <w:br/>
        <w:t>- No documentation exists for these financing arrangements</w:t>
        <w:br/>
        <w:t>- No APAs are in place</w:t>
        <w:br/>
        <w:br/>
        <w:t>REQUIRED:</w:t>
        <w:br/>
        <w:br/>
        <w:t>(a) For each intragroup loan, evaluate whether the interest rate charged is arm's length:</w:t>
        <w:br/>
        <w:t xml:space="preserve">    (i)   Global Finance Holding to Finance Company (2.5%)</w:t>
        <w:br/>
        <w:t xml:space="preserve">    (ii)  Finance Company to Operating Company A (4%)</w:t>
        <w:br/>
        <w:t xml:space="preserve">    (iii) Finance Company to Operating Company B (5.5%)</w:t>
        <w:br/>
        <w:t xml:space="preserve">    (iv)  Global Finance Holding to Start-Up Company (3%)</w:t>
        <w:br/>
        <w:br/>
        <w:t xml:space="preserve">    Explain your analysis for each rate with reference to the OECD Transfer Pricing</w:t>
        <w:br/>
        <w:t xml:space="preserve">    Guidelines Section X (Financial Transactions).</w:t>
        <w:br/>
        <w:t xml:space="preserve">    (12 marks)</w:t>
        <w:br/>
        <w:br/>
        <w:t>(b) Discuss any transfer pricing risks or concerns regarding:</w:t>
        <w:br/>
        <w:t xml:space="preserve">    - The implicit guarantees provided by the parent company</w:t>
        <w:br/>
        <w:t xml:space="preserve">    - The relationship between the interest rate and the borrowing subsidiary's creditworthiness</w:t>
        <w:br/>
        <w:t xml:space="preserve">    - Tax optimization potential of the financing structure</w:t>
        <w:br/>
        <w:t xml:space="preserve">    (8 marks)</w:t>
        <w:br/>
        <w:br/>
        <w:t>(c) What additional information or documentation would you recommend the group prepare</w:t>
        <w:br/>
        <w:t xml:space="preserve">    to support these financing arrangements?</w:t>
        <w:br/>
        <w:t xml:space="preserve">    (5 marks)</w:t>
        <w:br/>
      </w:r>
    </w:p>
    <w:p>
      <w:pPr>
        <w:pStyle w:val="Heading2"/>
      </w:pPr>
      <w:r>
        <w:t>QUESTION 2 (25 marks)</w:t>
      </w:r>
    </w:p>
    <w:p>
      <w:r>
        <w:rPr>
          <w:b w:val="0"/>
          <w:i w:val="0"/>
          <w:sz w:val="22"/>
        </w:rPr>
        <w:br/>
        <w:t>Continuing with the Global Finance Holdings scenario:</w:t>
        <w:br/>
        <w:br/>
        <w:t>(a) The Start-Up Company in Poland is unable to access independent market financing.</w:t>
        <w:br/>
        <w:t xml:space="preserve">    Analyze the transfer pricing implications and discuss how the group should structure</w:t>
        <w:br/>
        <w:t xml:space="preserve">    the financing to be defensible.</w:t>
        <w:br/>
        <w:t xml:space="preserve">    (10 marks)</w:t>
        <w:br/>
        <w:br/>
        <w:t>(b) Brazil is considering increasing its leverage to take advantage of the lower tax rate</w:t>
        <w:br/>
        <w:t xml:space="preserve">    (34%) compared to France (25%). The Finance Company has proposed increasing the loan</w:t>
        <w:br/>
        <w:t xml:space="preserve">    balance to EUR 150 million at 6% interest. Evaluate the transfer pricing and tax</w:t>
        <w:br/>
        <w:t xml:space="preserve">    issues associated with this proposal.</w:t>
        <w:br/>
        <w:t xml:space="preserve">    (8 marks)</w:t>
        <w:br/>
        <w:br/>
        <w:t>(c) Recommend a sustainable financing structure that balances commercial rationale with</w:t>
        <w:br/>
        <w:t xml:space="preserve">    transfer pricing compliance across all group entities.</w:t>
        <w:br/>
        <w:t xml:space="preserve">    (7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B: CHOOSE ONE SCENARIO QUESTION (20 marks)</w:t>
      </w:r>
    </w:p>
    <w:p>
      <w:r>
        <w:rPr>
          <w:b w:val="0"/>
          <w:i/>
          <w:sz w:val="22"/>
        </w:rPr>
        <w:t>Answer ONE question from the two offered.</w:t>
      </w:r>
    </w:p>
    <w:p/>
    <w:p>
      <w:pPr>
        <w:pStyle w:val="Heading2"/>
      </w:pPr>
      <w:r>
        <w:t>QUESTION 3 (20 marks)</w:t>
      </w:r>
    </w:p>
    <w:p>
      <w:r>
        <w:rPr>
          <w:b w:val="0"/>
          <w:i w:val="0"/>
          <w:sz w:val="22"/>
        </w:rPr>
        <w:br/>
        <w:t>Your client is a multinational group that is undertaking a significant business restructuring.</w:t>
        <w:br/>
        <w:t>The group is considering relocating manufacturing operations from a developed country (Current</w:t>
        <w:br/>
        <w:t>Location) to a developing country (New Location) to reduce costs. The current manufacturer</w:t>
        <w:br/>
        <w:t>achieves a net profit margin of 15% on manufacturing activities. The new location can</w:t>
        <w:br/>
        <w:t>manufacture the same product at 35% lower cost.</w:t>
        <w:br/>
        <w:br/>
        <w:t>(a) Discuss the transfer pricing issues arising from this relocation, specifically:</w:t>
        <w:br/>
        <w:t xml:space="preserve">    (i)   Exit charge implications for the current manufacturer</w:t>
        <w:br/>
        <w:t xml:space="preserve">    (ii)  Transfer pricing methodology for the new manufacturer</w:t>
        <w:br/>
        <w:t xml:space="preserve">    (iii) Working capital and inventory adjustment implications</w:t>
        <w:br/>
        <w:t xml:space="preserve">    (iv)  The impact of the cost reduction on future transfer prices</w:t>
        <w:br/>
        <w:t xml:space="preserve">    (8 marks)</w:t>
        <w:br/>
        <w:br/>
        <w:t>(b) Recommend a defensible approach to pricing this restructuring that balances commercial</w:t>
        <w:br/>
        <w:t xml:space="preserve">    rationale with transfer pricing compliance. Consider any APAs or advance notice to tax</w:t>
        <w:br/>
        <w:t xml:space="preserve">    authorities that might be appropriate.</w:t>
        <w:br/>
        <w:t xml:space="preserve">    (12 marks)</w:t>
        <w:br/>
      </w:r>
    </w:p>
    <w:p/>
    <w:p>
      <w:pPr>
        <w:pStyle w:val="Heading2"/>
      </w:pPr>
      <w:r>
        <w:t>QUESTION 4 (20 marks)</w:t>
      </w:r>
    </w:p>
    <w:p>
      <w:r>
        <w:rPr>
          <w:b w:val="0"/>
          <w:i w:val="0"/>
          <w:sz w:val="22"/>
        </w:rPr>
        <w:br/>
        <w:t>Your client operates an international service delivery model where a service provider based</w:t>
        <w:br/>
        <w:t>in a low-tax jurisdiction provides technical services to operating entities in higher-tax</w:t>
        <w:br/>
        <w:t>jurisdictions. The service provider is charging on a cost-plus basis, which results in the</w:t>
        <w:br/>
        <w:t>service provider earning a minimal margin while the operating entities earn substantial</w:t>
        <w:br/>
        <w:t>profits. A tax authority in one of the higher-tax jurisdictions has challenged whether the</w:t>
        <w:br/>
        <w:t>service provider should be earning a higher margin and whether the service provider might</w:t>
        <w:br/>
        <w:t>constitute a Permanent Establishment.</w:t>
        <w:br/>
        <w:br/>
        <w:t>(a) Analyze the transfer pricing issue:</w:t>
        <w:br/>
        <w:t xml:space="preserve">    (i)   What is the current transfer pricing methodology?</w:t>
        <w:br/>
        <w:t xml:space="preserve">    (ii)  Is the cost-plus basis appropriate for these services?</w:t>
        <w:br/>
        <w:t xml:space="preserve">    (iii) What alternative transfer pricing methodologies might be considered?</w:t>
        <w:br/>
        <w:t xml:space="preserve">    (iv)  What would be an arm's length profit margin for the service provider?</w:t>
        <w:br/>
        <w:t xml:space="preserve">    (8 marks)</w:t>
        <w:br/>
        <w:br/>
        <w:t>(b) Evaluate the PE risk and recommend a structure that minimizes PE exposure while</w:t>
        <w:br/>
        <w:t xml:space="preserve">    maintaining transfer pricing defensibility:</w:t>
        <w:br/>
        <w:t xml:space="preserve">    (i)   What functions and assets of the service provider increase PE risk?</w:t>
        <w:br/>
        <w:t xml:space="preserve">    (ii)  How could the structure be modified to reduce PE exposure?</w:t>
        <w:br/>
        <w:t xml:space="preserve">    (iii) What documentation should be prepared?</w:t>
        <w:br/>
        <w:t xml:space="preserve">    (12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C: CHOOSE TWO SHORT QUESTIONS (15 marks each)</w:t>
      </w:r>
    </w:p>
    <w:p>
      <w:r>
        <w:rPr>
          <w:b w:val="0"/>
          <w:i/>
          <w:sz w:val="22"/>
        </w:rPr>
        <w:t>Answer TWO questions from the five offered. Each question is worth 15 marks.</w:t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p>
      <w:pPr>
        <w:pStyle w:val="Heading2"/>
      </w:pPr>
      <w:r>
        <w:t>QUESTION 5</w:t>
      </w:r>
    </w:p>
    <w:p>
      <w:r>
        <w:rPr>
          <w:b w:val="0"/>
          <w:i w:val="0"/>
          <w:sz w:val="22"/>
        </w:rPr>
        <w:br/>
        <w:t>INTRAGROUP SERVICES AND SERVICE HUBS</w:t>
        <w:br/>
        <w:br/>
        <w:t>Discuss the key transfer pricing issues for intragroup services, including:</w:t>
        <w:br/>
        <w:t>(a) How to distinguish between:</w:t>
        <w:br/>
        <w:t xml:space="preserve">    (i)   Genuine intragroup services subject to transfer pricing</w:t>
        <w:br/>
        <w:t xml:space="preserve">    (ii)  Shareholder activities (not subject to charge)</w:t>
        <w:br/>
        <w:t xml:space="preserve">    (iii) Duplicative services (not subject to charge)</w:t>
        <w:br/>
        <w:t xml:space="preserve">    (8 marks)</w:t>
        <w:br/>
        <w:br/>
        <w:t>(b) The transfer pricing methodology appropriate for:</w:t>
        <w:br/>
        <w:t xml:space="preserve">    (i)   Administrative and back-office services</w:t>
        <w:br/>
        <w:t xml:space="preserve">    (ii)  Technical and professional services</w:t>
        <w:br/>
        <w:t xml:space="preserve">    (iii) Management and coordination services</w:t>
        <w:br/>
        <w:t xml:space="preserve">    (7 marks)</w:t>
        <w:br/>
      </w:r>
    </w:p>
    <w:p/>
    <w:p>
      <w:pPr>
        <w:pStyle w:val="Heading2"/>
      </w:pPr>
      <w:r>
        <w:t>QUESTION 6</w:t>
      </w:r>
    </w:p>
    <w:p>
      <w:r>
        <w:rPr>
          <w:b w:val="0"/>
          <w:i w:val="0"/>
          <w:sz w:val="22"/>
        </w:rPr>
        <w:br/>
        <w:t>INTELLECTUAL PROPERTY AND DEMPE FRAMEWORK</w:t>
        <w:br/>
        <w:br/>
        <w:t>Explain the DEMPE framework (Development, Enhancement, Maintenance, Protection, Exploitation)</w:t>
        <w:br/>
        <w:t>and its application to transfer pricing, addressing:</w:t>
        <w:br/>
        <w:t>(a) How BEPS Actions 8-10 have changed transfer pricing analysis for intellectual property</w:t>
        <w:br/>
        <w:t xml:space="preserve">    (8 marks)</w:t>
        <w:br/>
        <w:br/>
        <w:t>(b) How DEMPE analysis should influence:</w:t>
        <w:br/>
        <w:t xml:space="preserve">    (i)   The allocation of R&amp;D costs among group entities</w:t>
        <w:br/>
        <w:t xml:space="preserve">    (ii)  The transfer pricing methodology for IP licensing</w:t>
        <w:br/>
        <w:t xml:space="preserve">    (iii) The profit allocation between IP owners and users</w:t>
        <w:br/>
        <w:t xml:space="preserve">    (7 marks)</w:t>
        <w:br/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/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/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