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EXAMINATION</w:t>
      </w:r>
    </w:p>
    <w:p>
      <w:pPr>
        <w:pStyle w:val="Heading2"/>
      </w:pPr>
      <w:r>
        <w:t>ADIT Module 3.03 – Transfer Pricing Option</w:t>
      </w:r>
    </w:p>
    <w:p>
      <w:pPr>
        <w:pStyle w:val="Heading2"/>
      </w:pPr>
      <w:r>
        <w:t>Mock Exam 4</w:t>
      </w:r>
    </w:p>
    <w:p>
      <w:r>
        <w:rPr>
          <w:b w:val="0"/>
          <w:i w:val="0"/>
          <w:sz w:val="22"/>
        </w:rPr>
        <w:t>Time Allowed: 3 hours 15 minutes</w:t>
      </w:r>
    </w:p>
    <w:p>
      <w:r>
        <w:rPr>
          <w:b w:val="0"/>
          <w:i w:val="0"/>
          <w:sz w:val="22"/>
        </w:rPr>
        <w:t>Total Marks: 100 marks</w:t>
      </w:r>
    </w:p>
    <w:p>
      <w:r>
        <w:rPr>
          <w:b w:val="0"/>
          <w:i w:val="0"/>
          <w:sz w:val="22"/>
        </w:rPr>
        <w:t>Date: November 2025</w:t>
      </w:r>
    </w:p>
    <w:p/>
    <w:p>
      <w:r>
        <w:rPr>
          <w:b w:val="0"/>
          <w:i w:val="0"/>
          <w:sz w:val="22"/>
        </w:rPr>
        <w:t>INSTRUCTIONS TO CANDIDATES:</w:t>
      </w:r>
    </w:p>
    <w:p>
      <w:r>
        <w:rPr>
          <w:b w:val="0"/>
          <w:i w:val="0"/>
          <w:sz w:val="22"/>
        </w:rPr>
        <w:t>• Answer FIVE questions in total</w:t>
      </w:r>
    </w:p>
    <w:p>
      <w:r>
        <w:rPr>
          <w:b w:val="0"/>
          <w:i w:val="0"/>
          <w:sz w:val="22"/>
        </w:rPr>
        <w:t>• PART A: Answer BOTH questions (2 × 25 marks = 50 marks)</w:t>
      </w:r>
    </w:p>
    <w:p>
      <w:r>
        <w:rPr>
          <w:b w:val="0"/>
          <w:i w:val="0"/>
          <w:sz w:val="22"/>
        </w:rPr>
        <w:t>• PART B: Answer ONE question from the two offered (20 marks)</w:t>
      </w:r>
    </w:p>
    <w:p>
      <w:r>
        <w:rPr>
          <w:b w:val="0"/>
          <w:i w:val="0"/>
          <w:sz w:val="22"/>
        </w:rPr>
        <w:t>• PART C: Answer TWO questions from the five offered (2 × 15 marks = 30 marks)</w:t>
      </w:r>
    </w:p>
    <w:p/>
    <w:p>
      <w:r>
        <w:rPr>
          <w:b w:val="0"/>
          <w:i w:val="0"/>
          <w:sz w:val="22"/>
        </w:rPr>
        <w:t>Write your answers clearly and legibly. Marks will be awarded for:</w:t>
      </w:r>
    </w:p>
    <w:p>
      <w:r>
        <w:rPr>
          <w:b w:val="0"/>
          <w:i w:val="0"/>
          <w:sz w:val="22"/>
        </w:rPr>
        <w:t>• Correct identification and analysis of issues</w:t>
      </w:r>
    </w:p>
    <w:p>
      <w:r>
        <w:rPr>
          <w:b w:val="0"/>
          <w:i w:val="0"/>
          <w:sz w:val="22"/>
        </w:rPr>
        <w:t>• Application of OECD Transfer Pricing Guidelines</w:t>
      </w:r>
    </w:p>
    <w:p>
      <w:r>
        <w:rPr>
          <w:b w:val="0"/>
          <w:i w:val="0"/>
          <w:sz w:val="22"/>
        </w:rPr>
        <w:t>• Supporting calculations and references</w:t>
      </w:r>
    </w:p>
    <w:p>
      <w:r>
        <w:rPr>
          <w:b w:val="0"/>
          <w:i w:val="0"/>
          <w:sz w:val="22"/>
        </w:rPr>
        <w:t>• Clear presentation and structure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A: COMPULSORY CASE STUDY QUESTIONS</w:t>
      </w:r>
    </w:p>
    <w:p>
      <w:r>
        <w:rPr>
          <w:b w:val="0"/>
          <w:i/>
          <w:sz w:val="22"/>
        </w:rPr>
        <w:t>Answer BOTH questions. Each question is worth 25 marks.</w:t>
      </w:r>
    </w:p>
    <w:p/>
    <w:p>
      <w:pPr>
        <w:pStyle w:val="Heading2"/>
      </w:pPr>
      <w:r>
        <w:t>QUESTION 1 (25 marks)</w:t>
      </w:r>
    </w:p>
    <w:p>
      <w:r>
        <w:rPr>
          <w:b w:val="0"/>
          <w:i w:val="0"/>
          <w:sz w:val="22"/>
        </w:rPr>
        <w:br/>
        <w:t>SCENARIO - Digital Services Group</w:t>
        <w:br/>
        <w:br/>
        <w:t>Digital Services Group provides cloud computing, data analytics, and IT consulting services</w:t>
        <w:br/>
        <w:t>globally. The group operates through a complex structure with operations in multiple</w:t>
        <w:br/>
        <w:t>jurisdictions.</w:t>
        <w:br/>
        <w:br/>
        <w:t>GROUP STRUCTURE:</w:t>
        <w:br/>
        <w:br/>
        <w:t>1. Digital Holdings (Switzerland) - Parent company</w:t>
        <w:br/>
        <w:t>2. Digital Development (Ireland) - Software development and product development</w:t>
        <w:br/>
        <w:t>3. Digital Services (US) - Service delivery and implementation center</w:t>
        <w:br/>
        <w:t>4. Digital EMEA (UK) - Customer service hub for Europe, Middle East, Africa</w:t>
        <w:br/>
        <w:t>5. Digital Operations (India) - IT operations and service delivery</w:t>
        <w:br/>
        <w:br/>
        <w:t>KEY OPERATIONS:</w:t>
        <w:br/>
        <w:br/>
        <w:t>Digital Holdings (Switzerland):</w:t>
        <w:br/>
        <w:t>- Ultimate parent company</w:t>
        <w:br/>
        <w:t>- Strategic planning and group direction</w:t>
        <w:br/>
        <w:t>- IP ownership and licensing</w:t>
        <w:br/>
        <w:t>- Treasury function</w:t>
        <w:br/>
        <w:t>- Employees: 15 executives</w:t>
        <w:br/>
        <w:t>- Tax rate: 13.2%</w:t>
        <w:br/>
        <w:t>- Owns key technologies and cloud infrastructure patents</w:t>
        <w:br/>
        <w:br/>
        <w:t>Digital Development (Ireland):</w:t>
        <w:br/>
        <w:t>- Develops and maintains cloud platform software</w:t>
        <w:br/>
        <w:t>- Creates data analytics tools</w:t>
        <w:br/>
        <w:t>- Conducts R&amp;D activities</w:t>
        <w:br/>
        <w:t>- Employs 200 developers and data scientists</w:t>
        <w:br/>
        <w:t>- Annual development costs: EUR 30 million</w:t>
        <w:br/>
        <w:t>- Licenses platform to group companies</w:t>
        <w:br/>
        <w:t>- Annual platform license fee to services companies: EUR 10 million</w:t>
        <w:br/>
        <w:t>- Tax rate: 12.5%</w:t>
        <w:br/>
        <w:br/>
        <w:t>Digital Services (US):</w:t>
        <w:br/>
        <w:t>- Implements cloud solutions for US corporate clients</w:t>
        <w:br/>
        <w:t>- Provides consulting and system integration services</w:t>
        <w:br/>
        <w:t>- Direct sales to end customers in US market</w:t>
        <w:br/>
        <w:t>- Employees: 300 consultants and implementation staff</w:t>
        <w:br/>
        <w:t>- Annual service revenue: USD 200 million</w:t>
        <w:br/>
        <w:t>- On-shores work from external providers</w:t>
        <w:br/>
        <w:t>- Tax rate: 21%</w:t>
        <w:br/>
        <w:br/>
        <w:t>Digital EMEA (UK):</w:t>
        <w:br/>
        <w:t>- Service delivery and customer support for EMEA region</w:t>
        <w:br/>
        <w:t>- Handles implementation and managed services</w:t>
        <w:br/>
        <w:t>- Employees: 150</w:t>
        <w:br/>
        <w:t>- Annual service revenue: GBP 60 million</w:t>
        <w:br/>
        <w:t>- Pays platform license fee: GBP 6 million</w:t>
        <w:br/>
        <w:t>- Tax rate: 25%</w:t>
        <w:br/>
        <w:br/>
        <w:t>Digital Operations (India):</w:t>
        <w:br/>
        <w:t>- Provides offshore IT operations and technical support</w:t>
        <w:br/>
        <w:t>- Delivers platform implementation and maintenance</w:t>
        <w:br/>
        <w:t>- Employs 400 IT specialists</w:t>
        <w:br/>
        <w:t>- Annual revenue: INR 500 million</w:t>
        <w:br/>
        <w:t>- Cost-reimbursement basis from other group entities</w:t>
        <w:br/>
        <w:t>- Annual costs: INR 450 million</w:t>
        <w:br/>
        <w:t>- Tax rate: 30%</w:t>
        <w:br/>
        <w:br/>
        <w:t>TRANSACTIONS:</w:t>
        <w:br/>
        <w:t>- Digital Development charges 10% of service revenues as platform license fees</w:t>
        <w:br/>
        <w:t>- Digital Operations provides services on cost-plus 10% basis</w:t>
        <w:br/>
        <w:t>- All entities use services from Digital Operations</w:t>
        <w:br/>
        <w:br/>
        <w:t>REQUIRED:</w:t>
        <w:br/>
        <w:br/>
        <w:t>(a) Identify and describe all controlled transactions. For the platform licensing</w:t>
        <w:br/>
        <w:t xml:space="preserve">    arrangement, evaluate the appropriateness of the 10% royalty rate.</w:t>
        <w:br/>
        <w:t xml:space="preserve">    (10 marks)</w:t>
        <w:br/>
        <w:br/>
        <w:t>(b) Perform a detailed functional analysis for Digital Services (US) and Digital EMEA (UK),</w:t>
        <w:br/>
        <w:t xml:space="preserve">    identifying key differences and similarities in their operations and risk profiles.</w:t>
        <w:br/>
        <w:t xml:space="preserve">    (8 marks)</w:t>
        <w:br/>
        <w:br/>
        <w:t>(c) What transfer pricing method would you recommend for the platform licensing arrangement?</w:t>
        <w:br/>
        <w:t xml:space="preserve">    What comparables or benchmarking would you require?</w:t>
        <w:br/>
        <w:t xml:space="preserve">    (7 marks)</w:t>
        <w:br/>
      </w:r>
    </w:p>
    <w:p>
      <w:pPr>
        <w:pStyle w:val="Heading2"/>
      </w:pPr>
      <w:r>
        <w:t>QUESTION 2 (25 marks)</w:t>
      </w:r>
    </w:p>
    <w:p>
      <w:r>
        <w:rPr>
          <w:b w:val="0"/>
          <w:i w:val="0"/>
          <w:sz w:val="22"/>
        </w:rPr>
        <w:br/>
        <w:t>Continuing with Digital Services Group:</w:t>
        <w:br/>
        <w:br/>
        <w:t>(a) The UK tax authority is concerned about the structure and believes Digital EMEA should</w:t>
        <w:br/>
        <w:t xml:space="preserve">    be paying higher royalty rates. Perform a comparable analysis and recommend an</w:t>
        <w:br/>
        <w:t xml:space="preserve">    appropriate royalty rate range with supporting justification.</w:t>
        <w:br/>
        <w:t xml:space="preserve">    (12 marks)</w:t>
        <w:br/>
        <w:br/>
        <w:t>(b) Discuss potential Permanent Establishment issues if:</w:t>
        <w:br/>
        <w:t xml:space="preserve">    (i)   Digital Services maintains a project team on-site at a major UK customer location</w:t>
        <w:br/>
        <w:t xml:space="preserve">          for 24 months</w:t>
        <w:br/>
        <w:t xml:space="preserve">    (ii)  Digital EMEA coordinates implementation services conducted by Digital Operations</w:t>
        <w:br/>
        <w:t xml:space="preserve">          personnel in client offices across EMEA</w:t>
        <w:br/>
        <w:t xml:space="preserve">    (9 marks)</w:t>
        <w:br/>
        <w:br/>
        <w:t>(c) Identify transfer pricing documentation that the group should prepare to support</w:t>
        <w:br/>
        <w:t xml:space="preserve">    its positions in the US, UK, and India.</w:t>
        <w:br/>
        <w:t xml:space="preserve">    (4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B: CHOOSE ONE SCENARIO QUESTION (20 marks)</w:t>
      </w:r>
    </w:p>
    <w:p>
      <w:r>
        <w:rPr>
          <w:b w:val="0"/>
          <w:i/>
          <w:sz w:val="22"/>
        </w:rPr>
        <w:t>Answer ONE question from the two offered.</w:t>
      </w:r>
    </w:p>
    <w:p/>
    <w:p>
      <w:pPr>
        <w:pStyle w:val="Heading2"/>
      </w:pPr>
      <w:r>
        <w:t>QUESTION 3 (20 marks)</w:t>
      </w:r>
    </w:p>
    <w:p>
      <w:r>
        <w:rPr>
          <w:b w:val="0"/>
          <w:i w:val="0"/>
          <w:sz w:val="22"/>
        </w:rPr>
        <w:br/>
        <w:t>Your client operates a substantial business in a foreign country where it has stationed</w:t>
        <w:br/>
        <w:t>personnel to manage operations and support local sales. The foreign tax authority has indicated</w:t>
        <w:br/>
        <w:t>it believes your client has established a Permanent Establishment (PE) under Article 5 of the</w:t>
        <w:br/>
        <w:t>relevant tax treaty and is pursuing a transfer pricing audit on the basis that profits should</w:t>
        <w:br/>
        <w:t>be attributed to the PE.</w:t>
        <w:br/>
        <w:br/>
        <w:t>(a) Analyze the PE issue comprehensively:</w:t>
        <w:br/>
        <w:t xml:space="preserve">    (i)   What is the applicable test under Article 5?</w:t>
        <w:br/>
        <w:t xml:space="preserve">    (ii)  What factors would support the existence of a PE?</w:t>
        <w:br/>
        <w:t xml:space="preserve">    (iii) What factors would militate against PE status?</w:t>
        <w:br/>
        <w:t xml:space="preserve">    (iv)  How would you structure the operations to minimize PE risk?</w:t>
        <w:br/>
        <w:t xml:space="preserve">    (8 marks)</w:t>
        <w:br/>
        <w:br/>
        <w:t>(b) If a PE is determined to exist, analyze the transfer pricing implications:</w:t>
        <w:br/>
        <w:t xml:space="preserve">    (i)   How should profits be attributed using the Authorized OECD Approach?</w:t>
        <w:br/>
        <w:t xml:space="preserve">    (ii)  What functions and assets would you attribute to the PE?</w:t>
        <w:br/>
        <w:t xml:space="preserve">    (iii) What profit margin would be appropriate?</w:t>
        <w:br/>
        <w:t xml:space="preserve">    (12 marks)</w:t>
        <w:br/>
      </w:r>
    </w:p>
    <w:p/>
    <w:p>
      <w:pPr>
        <w:pStyle w:val="Heading2"/>
      </w:pPr>
      <w:r>
        <w:t>QUESTION 4 (20 marks)</w:t>
      </w:r>
    </w:p>
    <w:p>
      <w:r>
        <w:rPr>
          <w:b w:val="0"/>
          <w:i w:val="0"/>
          <w:sz w:val="22"/>
        </w:rPr>
        <w:br/>
        <w:t>Your client is a multinational group that is considering a business restructuring involving</w:t>
        <w:br/>
        <w:t>the transfer of intellectual property (IP) from one jurisdiction to another. The current owner</w:t>
        <w:br/>
        <w:t>of the IP is in a high-tax jurisdiction, and the client is considering transferring the IP to</w:t>
        <w:br/>
        <w:t>a lower-tax jurisdiction to generate IP licensing revenues there. The IP transfer will occur</w:t>
        <w:br/>
        <w:t>at a time when the technology is being enhanced and new patents are being developed.</w:t>
        <w:br/>
        <w:br/>
        <w:t>(a) Discuss the transfer pricing issues arising from this IP transfer:</w:t>
        <w:br/>
        <w:t xml:space="preserve">    (i)   How should the transfer price be determined?</w:t>
        <w:br/>
        <w:t xml:space="preserve">    (ii)  What BEPS Action 8-10 principles apply to this situation?</w:t>
        <w:br/>
        <w:t xml:space="preserve">    (iii) What role does the DEMPE framework play in analyzing this transfer?</w:t>
        <w:br/>
        <w:t xml:space="preserve">    (iv)  How should the allocation of ongoing R&amp;D costs be handled?</w:t>
        <w:br/>
        <w:t xml:space="preserve">    (8 marks)</w:t>
        <w:br/>
        <w:br/>
        <w:t>(b) Recommend a transfer pricing position for the IP transfer and the subsequent licensing</w:t>
        <w:br/>
        <w:t xml:space="preserve">    arrangements that would be robust to challenge, considering both the transfer price and</w:t>
        <w:br/>
        <w:t xml:space="preserve">    the ongoing royalty rates:</w:t>
        <w:br/>
        <w:t xml:space="preserve">    (i)   What valuation method would you use?</w:t>
        <w:br/>
        <w:t xml:space="preserve">    (ii)  What would be an appropriate royalty rate for subsequent licenses?</w:t>
        <w:br/>
        <w:t xml:space="preserve">    (iii) What documentation is essential?</w:t>
        <w:br/>
        <w:t xml:space="preserve">    (12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C: CHOOSE TWO SHORT QUESTIONS (15 marks each)</w:t>
      </w:r>
    </w:p>
    <w:p>
      <w:r>
        <w:rPr>
          <w:b w:val="0"/>
          <w:i/>
          <w:sz w:val="22"/>
        </w:rPr>
        <w:t>Answer TWO questions from the five offered. Each question is worth 15 marks.</w:t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p>
      <w:pPr>
        <w:pStyle w:val="Heading2"/>
      </w:pPr>
      <w:r>
        <w:t>QUESTION 5</w:t>
      </w:r>
    </w:p>
    <w:p>
      <w:r>
        <w:rPr>
          <w:b w:val="0"/>
          <w:i w:val="0"/>
          <w:sz w:val="22"/>
        </w:rPr>
        <w:br/>
        <w:t>INTRAGROUP SERVICES AND SERVICE HUBS</w:t>
        <w:br/>
        <w:br/>
        <w:t>Discuss the key transfer pricing issues for intragroup services, including:</w:t>
        <w:br/>
        <w:t>(a) How to distinguish between:</w:t>
        <w:br/>
        <w:t xml:space="preserve">    (i)   Genuine intragroup services subject to transfer pricing</w:t>
        <w:br/>
        <w:t xml:space="preserve">    (ii)  Shareholder activities (not subject to charge)</w:t>
        <w:br/>
        <w:t xml:space="preserve">    (iii) Duplicative services (not subject to charge)</w:t>
        <w:br/>
        <w:t xml:space="preserve">    (8 marks)</w:t>
        <w:br/>
        <w:br/>
        <w:t>(b) The transfer pricing methodology appropriate for:</w:t>
        <w:br/>
        <w:t xml:space="preserve">    (i)   Administrative and back-office services</w:t>
        <w:br/>
        <w:t xml:space="preserve">    (ii)  Technical and professional services</w:t>
        <w:br/>
        <w:t xml:space="preserve">    (iii) Management and coordination services</w:t>
        <w:br/>
        <w:t xml:space="preserve">    (7 marks)</w:t>
        <w:br/>
      </w:r>
    </w:p>
    <w:p/>
    <w:p>
      <w:pPr>
        <w:pStyle w:val="Heading2"/>
      </w:pPr>
      <w:r>
        <w:t>QUESTION 6</w:t>
      </w:r>
    </w:p>
    <w:p>
      <w:r>
        <w:rPr>
          <w:b w:val="0"/>
          <w:i w:val="0"/>
          <w:sz w:val="22"/>
        </w:rPr>
        <w:br/>
        <w:t>INTELLECTUAL PROPERTY AND DEMPE FRAMEWORK</w:t>
        <w:br/>
        <w:br/>
        <w:t>Explain the DEMPE framework (Development, Enhancement, Maintenance, Protection, Exploitation)</w:t>
        <w:br/>
        <w:t>and its application to transfer pricing, addressing:</w:t>
        <w:br/>
        <w:t>(a) How BEPS Actions 8-10 have changed transfer pricing analysis for intellectual property</w:t>
        <w:br/>
        <w:t xml:space="preserve">    (8 marks)</w:t>
        <w:br/>
        <w:br/>
        <w:t>(b) How DEMPE analysis should influence:</w:t>
        <w:br/>
        <w:t xml:space="preserve">    (i)   The allocation of R&amp;D costs among group entities</w:t>
        <w:br/>
        <w:t xml:space="preserve">    (ii)  The transfer pricing methodology for IP licensing</w:t>
        <w:br/>
        <w:t xml:space="preserve">    (iii) The profit allocation between IP owners and users</w:t>
        <w:br/>
        <w:t xml:space="preserve">    (7 marks)</w:t>
        <w:br/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/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/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