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5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Pharma Corp</w:t>
        <w:br/>
        <w:br/>
        <w:t>Pharma Corp is a multinational pharmaceutical company with significant research and</w:t>
        <w:br/>
        <w:t>development operations and IP licensing arrangements.</w:t>
        <w:br/>
        <w:br/>
        <w:t>GROUP STRUCTURE:</w:t>
        <w:br/>
        <w:br/>
        <w:t>1. Pharma International (Switzerland) - Parent and IP holder</w:t>
        <w:br/>
        <w:t>2. Pharma Research (Canada) - R&amp;D center</w:t>
        <w:br/>
        <w:t>3. Pharma Manufacturing (Puerto Rico) - Manufacturing</w:t>
        <w:br/>
        <w:t>4. Pharma Distribution (UK) - European distribution</w:t>
        <w:br/>
        <w:t>5. Pharma Markets (Japan) - Japanese affiliate</w:t>
        <w:br/>
        <w:br/>
        <w:t>COMPANY DETAILS:</w:t>
        <w:br/>
        <w:br/>
        <w:t>Pharma International (Switzerland):</w:t>
        <w:br/>
        <w:t>- Ultimate parent company</w:t>
        <w:br/>
        <w:t>- Owns all patents and pharmaceutical IP</w:t>
        <w:br/>
        <w:t>- Coordinates group strategy</w:t>
        <w:br/>
        <w:t>- Conducts regulatory liaison</w:t>
        <w:br/>
        <w:t>- Employees: 20</w:t>
        <w:br/>
        <w:t>- Tax rate: 12%</w:t>
        <w:br/>
        <w:t>- IP portfolio value: USD 1.2 billion</w:t>
        <w:br/>
        <w:br/>
        <w:t>Pharma Research (Canada):</w:t>
        <w:br/>
        <w:t>- Conducts drug development and clinical trials</w:t>
        <w:br/>
        <w:t>- Performs pre-clinical and clinical research</w:t>
        <w:br/>
        <w:t>- Employees: 150 scientists and technicians</w:t>
        <w:br/>
        <w:t>- Annual R&amp;D costs: CAD 100 million</w:t>
        <w:br/>
        <w:t>- No direct drug sales</w:t>
        <w:br/>
        <w:t>- Conducts research on cost-reimbursement basis</w:t>
        <w:br/>
        <w:t>- Tax rate: 26%</w:t>
        <w:br/>
        <w:t>- Awarded research tax credits offsetting costs</w:t>
        <w:br/>
        <w:br/>
        <w:t>Pharma Manufacturing (Puerto Rico):</w:t>
        <w:br/>
        <w:t>- Manufactures approved pharmaceutical products</w:t>
        <w:br/>
        <w:t>- Sources raw materials</w:t>
        <w:br/>
        <w:t>- Quality control and packaging</w:t>
        <w:br/>
        <w:t>- Employees: 200</w:t>
        <w:br/>
        <w:t>- Manufacturing volume: 50 million units per annum</w:t>
        <w:br/>
        <w:t>- Cost of manufacturing: USD 15 per unit (including COGS and direct labor)</w:t>
        <w:br/>
        <w:t>- Operating expenses: USD 10 million per annum</w:t>
        <w:br/>
        <w:t>- Sells to distribution entities at cost-plus 20%</w:t>
        <w:br/>
        <w:t>- Tax rate: 4% (Act 60 tax incentive - Export Services)</w:t>
        <w:br/>
        <w:br/>
        <w:t>Pharma Distribution (UK):</w:t>
        <w:br/>
        <w:t>- Distributes pharmaceutical products across Europe</w:t>
        <w:br/>
        <w:t>- Handles regulatory compliance and marketing</w:t>
        <w:br/>
        <w:t>- Manages customer relationships</w:t>
        <w:br/>
        <w:t>- Employees: 100</w:t>
        <w:br/>
        <w:t>- Annual unit purchases: 30 million units</w:t>
        <w:br/>
        <w:t>- Purchase price: USD 18 per unit (cost-plus 20%)</w:t>
        <w:br/>
        <w:t>- Average selling price: USD 60 per unit</w:t>
        <w:br/>
        <w:t>- Marketing and distribution costs: GBP 15 million per annum</w:t>
        <w:br/>
        <w:t>- Tax rate: 19%</w:t>
        <w:br/>
        <w:br/>
        <w:t>Pharma Markets (Japan):</w:t>
        <w:br/>
        <w:t>- Distributes products in Japanese market</w:t>
        <w:br/>
        <w:t>- Conducts extensive market development</w:t>
        <w:br/>
        <w:t>- Employees: 80</w:t>
        <w:br/>
        <w:t>- Annual unit purchases: 10 million units</w:t>
        <w:br/>
        <w:t>- Purchase price: USD 18 per unit</w:t>
        <w:br/>
        <w:t>- Average selling price: JPY 3,000 per unit (USD equivalent: USD 20)</w:t>
        <w:br/>
        <w:t>- Operating expenses: JPY 2 billion per annum</w:t>
        <w:br/>
        <w:t>- Tax rate: 30%</w:t>
        <w:br/>
        <w:br/>
        <w:t>IP LICENSING:</w:t>
        <w:br/>
        <w:t>- Pharma International licenses all IP to manufacturing and distribution entities</w:t>
        <w:br/>
        <w:t>- Current licensing arrangement: royalty based on units manufactured (USD 2 per unit)</w:t>
        <w:br/>
        <w:t>- Total annual royalty revenue: USD 120 million</w:t>
        <w:br/>
        <w:br/>
        <w:t>ADDITIONAL INFORMATION:</w:t>
        <w:br/>
        <w:t>- Pharma International claims only 15% of R&amp;D costs (rest borne by Pharma Research)</w:t>
        <w:br/>
        <w:t>- BEPS Actions 8-10 significantly tightened DEMPE analysis for pharmaceutical companies</w:t>
        <w:br/>
        <w:t>- Market data shows pharmaceutical companies typically charge 5-8% royalty rates on sales</w:t>
        <w:br/>
        <w:t>- Pharma Markets operates at a loss in early years of market development</w:t>
        <w:br/>
        <w:t>- Patent protection in various jurisdictions expires at different times</w:t>
        <w:br/>
        <w:br/>
        <w:t>REQUIRED:</w:t>
        <w:br/>
        <w:br/>
        <w:t>(a) Analyze the DEMPE functions (Development, Enhancement, Maintenance, Protection,</w:t>
        <w:br/>
        <w:t xml:space="preserve">    Exploitation) across the group:</w:t>
        <w:br/>
        <w:t xml:space="preserve">    (i)   Who performs each function?</w:t>
        <w:br/>
        <w:t xml:space="preserve">    (ii)  Who bears the costs?</w:t>
        <w:br/>
        <w:t xml:space="preserve">    (iii) Who assumes risks?</w:t>
        <w:br/>
        <w:t xml:space="preserve">    (iv)  Are the functions appropriately allocated among group entities?</w:t>
        <w:br/>
        <w:t xml:space="preserve">    (10 marks)</w:t>
        <w:br/>
        <w:br/>
        <w:t>(b) Evaluate whether the current IP licensing arrangement (USD 2 per unit) is arm's length.</w:t>
        <w:br/>
        <w:t xml:space="preserve">    Apply OECD Transfer Pricing Guidelines provisions on IP to your analysis.</w:t>
        <w:br/>
        <w:t xml:space="preserve">    (9 marks)</w:t>
        <w:br/>
        <w:br/>
        <w:t>(c) What transfer pricing issues do you identify with this structure from a BEPS perspective?</w:t>
        <w:br/>
        <w:t xml:space="preserve">    (6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Pharma Corp:</w:t>
        <w:br/>
        <w:br/>
        <w:t>(a) The Pharma Markets (Japan) entity is operating at a loss. Analyze whether this is</w:t>
        <w:br/>
        <w:t xml:space="preserve">    consistent with the arm's length principle. Should the transfer pricing be adjusted?</w:t>
        <w:br/>
        <w:t xml:space="preserve">    What factors should be considered?</w:t>
        <w:br/>
        <w:t xml:space="preserve">    (10 marks)</w:t>
        <w:br/>
        <w:br/>
        <w:t>(b) Discuss the transfer pricing implications of Pharma International recognizing only 15%</w:t>
        <w:br/>
        <w:t xml:space="preserve">    of R&amp;D costs. Is this allocation defensible under OECD Guidelines and BEPS Actions</w:t>
        <w:br/>
        <w:t xml:space="preserve">    8-10?</w:t>
        <w:br/>
        <w:t xml:space="preserve">    (9 marks)</w:t>
        <w:br/>
        <w:br/>
        <w:t>(c) Recommend a revised IP licensing arrangement (including the royalty rate and structure)</w:t>
        <w:br/>
        <w:t xml:space="preserve">    that would be more robust to challenge. Provide supporting analysis.</w:t>
        <w:br/>
        <w:t xml:space="preserve">    (6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is a multinational group that is undertaking a significant business restructuring.</w:t>
        <w:br/>
        <w:t>The group is considering relocating manufacturing operations from a developed country (Current</w:t>
        <w:br/>
        <w:t>Location) to a developing country (New Location) to reduce costs. The current manufacturer</w:t>
        <w:br/>
        <w:t>achieves a net profit margin of 15% on manufacturing activities. The new location can</w:t>
        <w:br/>
        <w:t>manufacture the same product at 35% lower cost.</w:t>
        <w:br/>
        <w:br/>
        <w:t>(a) Discuss the transfer pricing issues arising from this relocation, specifically:</w:t>
        <w:br/>
        <w:t xml:space="preserve">    (i)   Exit charge implications for the current manufacturer</w:t>
        <w:br/>
        <w:t xml:space="preserve">    (ii)  Transfer pricing methodology for the new manufacturer</w:t>
        <w:br/>
        <w:t xml:space="preserve">    (iii) Working capital and inventory adjustment implications</w:t>
        <w:br/>
        <w:t xml:space="preserve">    (iv)  The impact of the cost reduction on future transfer prices</w:t>
        <w:br/>
        <w:t xml:space="preserve">    (8 marks)</w:t>
        <w:br/>
        <w:br/>
        <w:t>(b) Recommend a defensible approach to pricing this restructuring that balances commercial</w:t>
        <w:br/>
        <w:t xml:space="preserve">    rationale with transfer pricing compliance. Consider any APAs or advance notice to tax</w:t>
        <w:br/>
        <w:t xml:space="preserve">    authorities that might be appropriate.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operates an international service delivery model where a service provider based</w:t>
        <w:br/>
        <w:t>in a low-tax jurisdiction provides technical services to operating entities in higher-tax</w:t>
        <w:br/>
        <w:t>jurisdictions. The service provider is charging on a cost-plus basis, which results in the</w:t>
        <w:br/>
        <w:t>service provider earning a minimal margin while the operating entities earn substantial</w:t>
        <w:br/>
        <w:t>profits. A tax authority in one of the higher-tax jurisdictions has challenged whether the</w:t>
        <w:br/>
        <w:t>service provider should be earning a higher margin and whether the service provider might</w:t>
        <w:br/>
        <w:t>constitute a Permanent Establishment.</w:t>
        <w:br/>
        <w:br/>
        <w:t>(a) Analyze the transfer pricing issue:</w:t>
        <w:br/>
        <w:t xml:space="preserve">    (i)   What is the current transfer pricing methodology?</w:t>
        <w:br/>
        <w:t xml:space="preserve">    (ii)  Is the cost-plus basis appropriate for these services?</w:t>
        <w:br/>
        <w:t xml:space="preserve">    (iii) What alternative transfer pricing methodologies might be considered?</w:t>
        <w:br/>
        <w:t xml:space="preserve">    (iv)  What would be an arm's length profit margin for the service provider?</w:t>
        <w:br/>
        <w:t xml:space="preserve">    (8 marks)</w:t>
        <w:br/>
        <w:br/>
        <w:t>(b) Evaluate the PE risk and recommend a structure that minimizes PE exposure while</w:t>
        <w:br/>
        <w:t xml:space="preserve">    maintaining transfer pricing defensibility:</w:t>
        <w:br/>
        <w:t xml:space="preserve">    (i)   What functions and assets of the service provider increase PE risk?</w:t>
        <w:br/>
        <w:t xml:space="preserve">    (ii)  How could the structure be modified to reduce PE exposure?</w:t>
        <w:br/>
        <w:t xml:space="preserve">    (iii) What documentation should be prepared?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