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6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E-Commerce Plus</w:t>
        <w:br/>
        <w:br/>
        <w:t>E-Commerce Plus is an online marketplace platform operating across multiple countries.</w:t>
        <w:br/>
        <w:t>The group includes entity structures that raise potential PE and transfer pricing issues.</w:t>
        <w:br/>
        <w:br/>
        <w:t>GROUP STRUCTURE:</w:t>
        <w:br/>
        <w:br/>
        <w:t>1. E-Commerce International (Netherlands) - Parent platform owner</w:t>
        <w:br/>
        <w:t>2. E-Commerce Operations (Germany) - EU operations and customer service</w:t>
        <w:br/>
        <w:t>3. E-Commerce Fulfillment (Poland) - Warehouse and logistics</w:t>
        <w:br/>
        <w:t>4. E-Commerce Enabler (China) - Technology platform development</w:t>
        <w:br/>
        <w:t>5. E-Commerce Markets (Australia) - Local market operations</w:t>
        <w:br/>
        <w:br/>
        <w:t>KEY OPERATIONS:</w:t>
        <w:br/>
        <w:br/>
        <w:t>E-Commerce International (Netherlands):</w:t>
        <w:br/>
        <w:t>- Owns the e-commerce platform</w:t>
        <w:br/>
        <w:t>- Sets group strategy and policies</w:t>
        <w:br/>
        <w:t>- Owns brand and technology IP</w:t>
        <w:br/>
        <w:t>- Provides customer acquisition strategy</w:t>
        <w:br/>
        <w:t>- Employees: 30</w:t>
        <w:br/>
        <w:t>- Tax rate: 15%</w:t>
        <w:br/>
        <w:br/>
        <w:t>E-Commerce Operations (Germany):</w:t>
        <w:br/>
        <w:t>- Manages EU customer relationships</w:t>
        <w:br/>
        <w:t>- Handles customer service (multiple languages)</w:t>
        <w:br/>
        <w:t>- Conducts targeted marketing campaigns (local)</w:t>
        <w:br/>
        <w:t>- Marketing database and customer analytics</w:t>
        <w:br/>
        <w:t>- Employees: 200</w:t>
        <w:br/>
        <w:t>- Annual customer service costs: EUR 25 million</w:t>
        <w:br/>
        <w:t>- Annual marketing costs: EUR 15 million</w:t>
        <w:br/>
        <w:t>- Annual revenue recognition: EUR 5 million (service fee from platform)</w:t>
        <w:br/>
        <w:t>- Tax rate: 30%</w:t>
        <w:br/>
        <w:br/>
        <w:t>E-Commerce Fulfillment (Poland):</w:t>
        <w:br/>
        <w:t>- Operates warehouse facilities</w:t>
        <w:br/>
        <w:t>- Receives, stores, and ships inventory</w:t>
        <w:br/>
        <w:t>- Quality control on fulfillment</w:t>
        <w:br/>
        <w:t>- Employees: 150</w:t>
        <w:br/>
        <w:t>- Annual facility operating costs: PLN 50 million</w:t>
        <w:br/>
        <w:t>- Storage and handling fees from sellers: PLN 35 million</w:t>
        <w:br/>
        <w:t>- Margin on fulfillment operations: PLN 8 million</w:t>
        <w:br/>
        <w:t>- Tax rate: 19%</w:t>
        <w:br/>
        <w:br/>
        <w:t>E-Commerce Enabler (China):</w:t>
        <w:br/>
        <w:t>- Develops and maintains the platform technology</w:t>
        <w:br/>
        <w:t>- Provides infrastructure and hosting</w:t>
        <w:br/>
        <w:t>- Conducts platform improvements and feature development</w:t>
        <w:br/>
        <w:t>- Employees: 100</w:t>
        <w:br/>
        <w:t>- Annual development and technology costs: CNY 150 million</w:t>
        <w:br/>
        <w:t>- Charges platform maintenance fee: CNY 50 million per annum</w:t>
        <w:br/>
        <w:t>- Tax rate: 25%</w:t>
        <w:br/>
        <w:br/>
        <w:t>E-Commerce Markets (Australia):</w:t>
        <w:br/>
        <w:t>- Established 18 months ago</w:t>
        <w:br/>
        <w:t>- Markets the platform in Australia</w:t>
        <w:br/>
        <w:t>- Handles disputes and local compliance</w:t>
        <w:br/>
        <w:t>- Has not yet generated significant sales</w:t>
        <w:br/>
        <w:t>- Employees: 15</w:t>
        <w:br/>
        <w:t>- Annual costs: AUD 3 million</w:t>
        <w:br/>
        <w:t>- Annual revenue: AUD 0.1 million</w:t>
        <w:br/>
        <w:t>- Tax rate: 30%</w:t>
        <w:br/>
        <w:br/>
        <w:t>OPERATING MODEL:</w:t>
        <w:br/>
        <w:t>- Individual sellers list products on platform</w:t>
        <w:br/>
        <w:t>- E-Commerce International owns the platform technology (licensed from Enabler)</w:t>
        <w:br/>
        <w:t>- E-Commerce Operations manages EU customer acquisition</w:t>
        <w:br/>
        <w:t>- E-Commerce Fulfillment provides optional fulfillment services</w:t>
        <w:br/>
        <w:t>- E-Commerce Markets developing Australian market presence</w:t>
        <w:br/>
        <w:t>- Fee structure: Commission on sales (30%), platform maintenance fee, fulfillment fees</w:t>
        <w:br/>
        <w:br/>
        <w:t>REQUIRED:</w:t>
        <w:br/>
        <w:br/>
        <w:t>(a) Delineate the controlled transactions in the E-Commerce Plus structure. Identify the</w:t>
        <w:br/>
        <w:t xml:space="preserve">    economic substance and transfer pricing treatment for each transaction.</w:t>
        <w:br/>
        <w:t xml:space="preserve">    (8 marks)</w:t>
        <w:br/>
        <w:br/>
        <w:t>(b) Perform a functional analysis for E-Commerce Operations and E-Commerce Markets.</w:t>
        <w:br/>
        <w:t xml:space="preserve">    Discuss whether their different profit levels can be explained by differences in</w:t>
        <w:br/>
        <w:t xml:space="preserve">    functions and risks.</w:t>
        <w:br/>
        <w:t xml:space="preserve">    (9 marks)</w:t>
        <w:br/>
        <w:br/>
        <w:t>(c) Identify and discuss potential Permanent Establishment issues arising from the current</w:t>
        <w:br/>
        <w:t xml:space="preserve">    structure. Consider whether any entity might constitute a PE in any jurisdiction.</w:t>
        <w:br/>
        <w:t xml:space="preserve">    (8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E-Commerce Plus:</w:t>
        <w:br/>
        <w:br/>
        <w:t>(a) The Australian Tax Office has challenged whether E-Commerce Markets constitutes a PE</w:t>
        <w:br/>
        <w:t xml:space="preserve">    of E-Commerce International. Analyze this issue thoroughly, considering:</w:t>
        <w:br/>
        <w:t xml:space="preserve">    (i)   Whether E-Commerce Markets has a "fixed place of business"</w:t>
        <w:br/>
        <w:t xml:space="preserve">    (ii)  The significance of its current operations</w:t>
        <w:br/>
        <w:t xml:space="preserve">    (iii) How profits should be attributed if a PE exists</w:t>
        <w:br/>
        <w:t xml:space="preserve">    (10 marks)</w:t>
        <w:br/>
        <w:br/>
        <w:t>(b) Recommend a sustainable transfer pricing structure for:</w:t>
        <w:br/>
        <w:t xml:space="preserve">    (i)   The platform technology licensing arrangement</w:t>
        <w:br/>
        <w:t xml:space="preserve">    (ii)  The customer service and marketing functions in Germany</w:t>
        <w:br/>
        <w:t xml:space="preserve">    (iii) The fulfillment operations in Poland</w:t>
        <w:br/>
        <w:t xml:space="preserve">    Justify your recommendations with reference to OECD Guidelines.</w:t>
        <w:br/>
        <w:t xml:space="preserve">    (10 marks)</w:t>
        <w:br/>
        <w:br/>
        <w:t>(c) What transfer pricing documentation should the group prepare to support its positions</w:t>
        <w:br/>
        <w:t xml:space="preserve">    under the BEPS Action 13 three-tiered approach?</w:t>
        <w:br/>
        <w:t xml:space="preserve">    (5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operates a substantial business in a foreign country where it has stationed</w:t>
        <w:br/>
        <w:t>personnel to manage operations and support local sales. The foreign tax authority has indicated</w:t>
        <w:br/>
        <w:t>it believes your client has established a Permanent Establishment (PE) under Article 5 of the</w:t>
        <w:br/>
        <w:t>relevant tax treaty and is pursuing a transfer pricing audit on the basis that profits should</w:t>
        <w:br/>
        <w:t>be attributed to the PE.</w:t>
        <w:br/>
        <w:br/>
        <w:t>(a) Analyze the PE issue comprehensively:</w:t>
        <w:br/>
        <w:t xml:space="preserve">    (i)   What is the applicable test under Article 5?</w:t>
        <w:br/>
        <w:t xml:space="preserve">    (ii)  What factors would support the existence of a PE?</w:t>
        <w:br/>
        <w:t xml:space="preserve">    (iii) What factors would militate against PE status?</w:t>
        <w:br/>
        <w:t xml:space="preserve">    (iv)  How would you structure the operations to minimize PE risk?</w:t>
        <w:br/>
        <w:t xml:space="preserve">    (8 marks)</w:t>
        <w:br/>
        <w:br/>
        <w:t>(b) If a PE is determined to exist, analyze the transfer pricing implications:</w:t>
        <w:br/>
        <w:t xml:space="preserve">    (i)   How should profits be attributed using the Authorized OECD Approach?</w:t>
        <w:br/>
        <w:t xml:space="preserve">    (ii)  What functions and assets would you attribute to the PE?</w:t>
        <w:br/>
        <w:t xml:space="preserve">    (iii) What profit margin would be appropriate?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is a multinational group that is considering a business restructuring involving</w:t>
        <w:br/>
        <w:t>the transfer of intellectual property (IP) from one jurisdiction to another. The current owner</w:t>
        <w:br/>
        <w:t>of the IP is in a high-tax jurisdiction, and the client is considering transferring the IP to</w:t>
        <w:br/>
        <w:t>a lower-tax jurisdiction to generate IP licensing revenues there. The IP transfer will occur</w:t>
        <w:br/>
        <w:t>at a time when the technology is being enhanced and new patents are being developed.</w:t>
        <w:br/>
        <w:br/>
        <w:t>(a) Discuss the transfer pricing issues arising from this IP transfer:</w:t>
        <w:br/>
        <w:t xml:space="preserve">    (i)   How should the transfer price be determined?</w:t>
        <w:br/>
        <w:t xml:space="preserve">    (ii)  What BEPS Action 8-10 principles apply to this situation?</w:t>
        <w:br/>
        <w:t xml:space="preserve">    (iii) What role does the DEMPE framework play in analyzing this transfer?</w:t>
        <w:br/>
        <w:t xml:space="preserve">    (iv)  How should the allocation of ongoing R&amp;D costs be handled?</w:t>
        <w:br/>
        <w:t xml:space="preserve">    (8 marks)</w:t>
        <w:br/>
        <w:br/>
        <w:t>(b) Recommend a transfer pricing position for the IP transfer and the subsequent licensing</w:t>
        <w:br/>
        <w:t xml:space="preserve">    arrangements that would be robust to challenge, considering both the transfer price and</w:t>
        <w:br/>
        <w:t xml:space="preserve">    the ongoing royalty rates:</w:t>
        <w:br/>
        <w:t xml:space="preserve">    (i)   What valuation method would you use?</w:t>
        <w:br/>
        <w:t xml:space="preserve">    (ii)  What would be an appropriate royalty rate for subsequent licenses?</w:t>
        <w:br/>
        <w:t xml:space="preserve">    (iii) What documentation is essential?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