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MOCK EXAMINATION</w:t>
      </w:r>
    </w:p>
    <w:p>
      <w:pPr>
        <w:pStyle w:val="Heading2"/>
      </w:pPr>
      <w:r>
        <w:t>ADIT Module 3.03 – Transfer Pricing Option</w:t>
      </w:r>
    </w:p>
    <w:p>
      <w:pPr>
        <w:pStyle w:val="Heading2"/>
      </w:pPr>
      <w:r>
        <w:t>Mock Exam 8</w:t>
      </w:r>
    </w:p>
    <w:p>
      <w:r>
        <w:rPr>
          <w:b w:val="0"/>
          <w:i w:val="0"/>
          <w:sz w:val="22"/>
        </w:rPr>
        <w:t>Time Allowed: 3 hours 15 minutes</w:t>
      </w:r>
    </w:p>
    <w:p>
      <w:r>
        <w:rPr>
          <w:b w:val="0"/>
          <w:i w:val="0"/>
          <w:sz w:val="22"/>
        </w:rPr>
        <w:t>Total Marks: 100 marks</w:t>
      </w:r>
    </w:p>
    <w:p>
      <w:r>
        <w:rPr>
          <w:b w:val="0"/>
          <w:i w:val="0"/>
          <w:sz w:val="22"/>
        </w:rPr>
        <w:t>Date: November 2025</w:t>
      </w:r>
    </w:p>
    <w:p/>
    <w:p>
      <w:r>
        <w:rPr>
          <w:b w:val="0"/>
          <w:i w:val="0"/>
          <w:sz w:val="22"/>
        </w:rPr>
        <w:t>INSTRUCTIONS TO CANDIDATES:</w:t>
      </w:r>
    </w:p>
    <w:p>
      <w:r>
        <w:rPr>
          <w:b w:val="0"/>
          <w:i w:val="0"/>
          <w:sz w:val="22"/>
        </w:rPr>
        <w:t>• Answer FIVE questions in total</w:t>
      </w:r>
    </w:p>
    <w:p>
      <w:r>
        <w:rPr>
          <w:b w:val="0"/>
          <w:i w:val="0"/>
          <w:sz w:val="22"/>
        </w:rPr>
        <w:t>• PART A: Answer BOTH questions (2 × 25 marks = 50 marks)</w:t>
      </w:r>
    </w:p>
    <w:p>
      <w:r>
        <w:rPr>
          <w:b w:val="0"/>
          <w:i w:val="0"/>
          <w:sz w:val="22"/>
        </w:rPr>
        <w:t>• PART B: Answer ONE question from the two offered (20 marks)</w:t>
      </w:r>
    </w:p>
    <w:p>
      <w:r>
        <w:rPr>
          <w:b w:val="0"/>
          <w:i w:val="0"/>
          <w:sz w:val="22"/>
        </w:rPr>
        <w:t>• PART C: Answer TWO questions from the five offered (2 × 15 marks = 30 marks)</w:t>
      </w:r>
    </w:p>
    <w:p/>
    <w:p>
      <w:r>
        <w:rPr>
          <w:b w:val="0"/>
          <w:i w:val="0"/>
          <w:sz w:val="22"/>
        </w:rPr>
        <w:t>Write your answers clearly and legibly. Marks will be awarded for:</w:t>
      </w:r>
    </w:p>
    <w:p>
      <w:r>
        <w:rPr>
          <w:b w:val="0"/>
          <w:i w:val="0"/>
          <w:sz w:val="22"/>
        </w:rPr>
        <w:t>• Correct identification and analysis of issues</w:t>
      </w:r>
    </w:p>
    <w:p>
      <w:r>
        <w:rPr>
          <w:b w:val="0"/>
          <w:i w:val="0"/>
          <w:sz w:val="22"/>
        </w:rPr>
        <w:t>• Application of OECD Transfer Pricing Guidelines</w:t>
      </w:r>
    </w:p>
    <w:p>
      <w:r>
        <w:rPr>
          <w:b w:val="0"/>
          <w:i w:val="0"/>
          <w:sz w:val="22"/>
        </w:rPr>
        <w:t>• Supporting calculations and references</w:t>
      </w:r>
    </w:p>
    <w:p>
      <w:r>
        <w:rPr>
          <w:b w:val="0"/>
          <w:i w:val="0"/>
          <w:sz w:val="22"/>
        </w:rPr>
        <w:t>• Clear presentation and structure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PART A: COMPULSORY CASE STUDY QUESTIONS</w:t>
      </w:r>
    </w:p>
    <w:p>
      <w:r>
        <w:rPr>
          <w:b w:val="0"/>
          <w:i/>
          <w:sz w:val="22"/>
        </w:rPr>
        <w:t>Answer BOTH questions. Each question is worth 25 marks.</w:t>
      </w:r>
    </w:p>
    <w:p/>
    <w:p>
      <w:pPr>
        <w:pStyle w:val="Heading2"/>
      </w:pPr>
      <w:r>
        <w:t>QUESTION 1 (25 marks)</w:t>
      </w:r>
    </w:p>
    <w:p>
      <w:r>
        <w:rPr>
          <w:b w:val="0"/>
          <w:i w:val="0"/>
          <w:sz w:val="22"/>
        </w:rPr>
        <w:br/>
        <w:t>SCENARIO - Artisan Products Restructuring</w:t>
        <w:br/>
        <w:br/>
        <w:t>Artisan Products is an international luxury goods manufacturer that is undertaking a</w:t>
        <w:br/>
        <w:t>significant business restructuring to centralize manufacturing and optimize the supply chain.</w:t>
        <w:br/>
        <w:br/>
        <w:t>CURRENT STRUCTURE (Before Restructuring):</w:t>
        <w:br/>
        <w:br/>
        <w:t>1. Artisan Group (Switzerland) - Parent company</w:t>
        <w:br/>
        <w:t>2. Artisan Manufacturing EU (Italy) - Manufacturing for EU</w:t>
        <w:br/>
        <w:t>3. Artisan Manufacturing Asia (Vietnam) - Manufacturing for Asia</w:t>
        <w:br/>
        <w:t>4. Artisan Distribution USA (USA) - USA distribution and sales</w:t>
        <w:br/>
        <w:t>5. Artisan Distribution EU (France) - EU distribution and sales</w:t>
        <w:br/>
        <w:br/>
        <w:t>CURRENT OPERATIONS (Pre-Restructuring):</w:t>
        <w:br/>
        <w:br/>
        <w:t>Artisan Manufacturing EU (Italy):</w:t>
        <w:br/>
        <w:t>- Manufactures products for EU market</w:t>
        <w:br/>
        <w:t>- Product design and development</w:t>
        <w:br/>
        <w:t>- Quality control</w:t>
        <w:br/>
        <w:t>- Employees: 250</w:t>
        <w:br/>
        <w:t>- Annual production: 300,000 units</w:t>
        <w:br/>
        <w:t>- Manufacturing cost: EUR 60 per unit</w:t>
        <w:br/>
        <w:t>- EBIT: EUR 15 million</w:t>
        <w:br/>
        <w:t>- Tax rate: 24%</w:t>
        <w:br/>
        <w:t>- Owns local manufacturing relationships and supply chain expertise</w:t>
        <w:br/>
        <w:br/>
        <w:t>Artisan Manufacturing Asia (Vietnam):</w:t>
        <w:br/>
        <w:t>- Manufactures products for Asian markets</w:t>
        <w:br/>
        <w:t>- Lower-cost production facility</w:t>
        <w:br/>
        <w:t>- Employees: 400</w:t>
        <w:br/>
        <w:t>- Annual production: 500,000 units</w:t>
        <w:br/>
        <w:t>- Manufacturing cost: USD 45 per unit</w:t>
        <w:br/>
        <w:t>- EBIT: USD 25 million</w:t>
        <w:br/>
        <w:t>- Tax rate: 20%</w:t>
        <w:br/>
        <w:t>- Local government incentives and relationships</w:t>
        <w:br/>
        <w:br/>
        <w:t>Artisan Distribution USA (USA):</w:t>
        <w:br/>
        <w:t>- Manages US sales and distribution</w:t>
        <w:br/>
        <w:t>- Brand marketing in US</w:t>
        <w:br/>
        <w:t>- High-end retail relationships</w:t>
        <w:br/>
        <w:t>- Employees: 150</w:t>
        <w:br/>
        <w:t>- Annual sales: 200,000 units at USD 250 per unit</w:t>
        <w:br/>
        <w:t>- Annual costs: USD 15 million</w:t>
        <w:br/>
        <w:t>- Net profit: USD 35 million</w:t>
        <w:br/>
        <w:t>- Tax rate: 21%</w:t>
        <w:br/>
        <w:br/>
        <w:t>Artisan Distribution EU (France):</w:t>
        <w:br/>
        <w:t>- Manages EU distribution</w:t>
        <w:br/>
        <w:t>- Marketing and brand building</w:t>
        <w:br/>
        <w:t>- Retailer relationships</w:t>
        <w:br/>
        <w:t>- Employees: 100</w:t>
        <w:br/>
        <w:t>- Annual sales: 200,000 units at EUR 200 per unit</w:t>
        <w:br/>
        <w:t>- Annual costs: EUR 12 million</w:t>
        <w:br/>
        <w:t>- Net profit: EUR 28 million</w:t>
        <w:br/>
        <w:t>- Tax rate: 28%</w:t>
        <w:br/>
        <w:br/>
        <w:t>PROPOSED RESTRUCTURING:</w:t>
        <w:br/>
        <w:br/>
        <w:t>The group intends to:</w:t>
        <w:br/>
        <w:br/>
        <w:t>1. Consolidate all manufacturing into Vietnam facility</w:t>
        <w:br/>
        <w:t xml:space="preserve">   - Close Italy manufacturing facility by end of Year 1</w:t>
        <w:br/>
        <w:t xml:space="preserve">   - Transfer manufacturing knowledge and supply chains to Vietnam</w:t>
        <w:br/>
        <w:t xml:space="preserve">   - Eliminate EU-based production costs</w:t>
        <w:br/>
        <w:br/>
        <w:t>2. Retain Design and IP with Artisan Group (Switzerland)</w:t>
        <w:br/>
        <w:t xml:space="preserve">   - Continue product design and development</w:t>
        <w:br/>
        <w:t xml:space="preserve">   - IP ownership remains with parent</w:t>
        <w:br/>
        <w:t xml:space="preserve">   - Licensing of designs to Vietnam manufacturer</w:t>
        <w:br/>
        <w:br/>
        <w:t>3. Establish "Principal" Distributor Model</w:t>
        <w:br/>
        <w:t xml:space="preserve">   - Both USA and EU distribution entities assume principal distributor role</w:t>
        <w:br/>
        <w:t xml:space="preserve">   - Greater responsibility for customer acquisition, brand building, product returns</w:t>
        <w:br/>
        <w:t xml:space="preserve">   - Larger inventory holdings and working capital</w:t>
        <w:br/>
        <w:br/>
        <w:t>4. Manufacturing Transition</w:t>
        <w:br/>
        <w:t xml:space="preserve">   - Vietnam facility to assume all manufacturing</w:t>
        <w:br/>
        <w:t xml:space="preserve">   - Increased production volume to 800,000 units</w:t>
        <w:br/>
        <w:t xml:space="preserve">   - Scale economies expected to reduce costs to USD 40 per unit</w:t>
        <w:br/>
        <w:br/>
        <w:t>REQUIRED:</w:t>
        <w:br/>
        <w:br/>
        <w:t>(a) For the Italy manufacturing facility closure, analyze the transfer pricing implications:</w:t>
        <w:br/>
        <w:t xml:space="preserve">    (i)   What is the "exit charge" concept under OECD Guidelines?</w:t>
        <w:br/>
        <w:t xml:space="preserve">    (ii)  What functions, assets, and risks are being transferred?</w:t>
        <w:br/>
        <w:t xml:space="preserve">    (iii) What compensation is appropriate?</w:t>
        <w:br/>
        <w:t xml:space="preserve">    (10 marks)</w:t>
        <w:br/>
        <w:br/>
        <w:t>(b) Evaluate the transfer pricing for the new manufacturing arrangement with Vietnam.</w:t>
        <w:br/>
        <w:t xml:space="preserve">    Consider:</w:t>
        <w:br/>
        <w:t xml:space="preserve">    (i)   The appropriate transfer pricing method</w:t>
        <w:br/>
        <w:t xml:space="preserve">    (ii)  The impact of increased capacity utilization</w:t>
        <w:br/>
        <w:t xml:space="preserve">    (iii) Comparability analysis for the cost-plus markup</w:t>
        <w:br/>
        <w:t xml:space="preserve">    (8 marks)</w:t>
        <w:br/>
        <w:br/>
        <w:t>(c) What are the key transfer pricing documentation requirements for a business restructuring</w:t>
        <w:br/>
        <w:t xml:space="preserve">    of this magnitude? What specific items should be included?</w:t>
        <w:br/>
        <w:t xml:space="preserve">    (7 marks)</w:t>
        <w:br/>
      </w:r>
    </w:p>
    <w:p>
      <w:pPr>
        <w:pStyle w:val="Heading2"/>
      </w:pPr>
      <w:r>
        <w:t>QUESTION 2 (25 marks)</w:t>
      </w:r>
    </w:p>
    <w:p>
      <w:r>
        <w:rPr>
          <w:b w:val="0"/>
          <w:i w:val="0"/>
          <w:sz w:val="22"/>
        </w:rPr>
        <w:br/>
        <w:t>Continuing with Artisan Products Restructuring:</w:t>
        <w:br/>
        <w:br/>
        <w:t>(a) Analyze whether the new "principal distributor" model for USA and EU entities is</w:t>
        <w:br/>
        <w:t xml:space="preserve">    appropriate from a transfer pricing perspective. What profit margin should these</w:t>
        <w:br/>
        <w:t xml:space="preserve">    entities achieve post-restructuring?</w:t>
        <w:br/>
        <w:t xml:space="preserve">    (12 marks)</w:t>
        <w:br/>
        <w:br/>
        <w:t>(b) The Italy tax authority has indicated they may challenge the restructuring on grounds</w:t>
        <w:br/>
        <w:t xml:space="preserve">    that an inadequate exit charge was paid to the Italian entity for loss of manufacturing</w:t>
        <w:br/>
        <w:t xml:space="preserve">    functions. Prepare a response defending the group's position or recommending adjustments.</w:t>
        <w:br/>
        <w:t xml:space="preserve">    (8 marks)</w:t>
        <w:br/>
        <w:br/>
        <w:t>(c) Identify other transfer pricing and tax issues associated with this restructuring that</w:t>
        <w:br/>
        <w:t xml:space="preserve">    the group should be aware of, particularly relating to:</w:t>
        <w:br/>
        <w:t xml:space="preserve">    (i)   The IP licensing arrangement</w:t>
        <w:br/>
        <w:t xml:space="preserve">    (ii)  Working capital changes</w:t>
        <w:br/>
        <w:t xml:space="preserve">    (iii) Business restructuring documentation</w:t>
        <w:br/>
        <w:t xml:space="preserve">    (5 marks)</w:t>
        <w:br/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PART B: CHOOSE ONE SCENARIO QUESTION (20 marks)</w:t>
      </w:r>
    </w:p>
    <w:p>
      <w:r>
        <w:rPr>
          <w:b w:val="0"/>
          <w:i/>
          <w:sz w:val="22"/>
        </w:rPr>
        <w:t>Answer ONE question from the two offered.</w:t>
      </w:r>
    </w:p>
    <w:p/>
    <w:p>
      <w:pPr>
        <w:pStyle w:val="Heading2"/>
      </w:pPr>
      <w:r>
        <w:t>QUESTION 3 (20 marks)</w:t>
      </w:r>
    </w:p>
    <w:p>
      <w:r>
        <w:rPr>
          <w:b w:val="0"/>
          <w:i w:val="0"/>
          <w:sz w:val="22"/>
        </w:rPr>
        <w:br/>
        <w:t>Your client operates a substantial business in a foreign country where it has stationed</w:t>
        <w:br/>
        <w:t>personnel to manage operations and support local sales. The foreign tax authority has indicated</w:t>
        <w:br/>
        <w:t>it believes your client has established a Permanent Establishment (PE) under Article 5 of the</w:t>
        <w:br/>
        <w:t>relevant tax treaty and is pursuing a transfer pricing audit on the basis that profits should</w:t>
        <w:br/>
        <w:t>be attributed to the PE.</w:t>
        <w:br/>
        <w:br/>
        <w:t>(a) Analyze the PE issue comprehensively:</w:t>
        <w:br/>
        <w:t xml:space="preserve">    (i)   What is the applicable test under Article 5?</w:t>
        <w:br/>
        <w:t xml:space="preserve">    (ii)  What factors would support the existence of a PE?</w:t>
        <w:br/>
        <w:t xml:space="preserve">    (iii) What factors would militate against PE status?</w:t>
        <w:br/>
        <w:t xml:space="preserve">    (iv)  How would you structure the operations to minimize PE risk?</w:t>
        <w:br/>
        <w:t xml:space="preserve">    (8 marks)</w:t>
        <w:br/>
        <w:br/>
        <w:t>(b) If a PE is determined to exist, analyze the transfer pricing implications:</w:t>
        <w:br/>
        <w:t xml:space="preserve">    (i)   How should profits be attributed using the Authorized OECD Approach?</w:t>
        <w:br/>
        <w:t xml:space="preserve">    (ii)  What functions and assets would you attribute to the PE?</w:t>
        <w:br/>
        <w:t xml:space="preserve">    (iii) What profit margin would be appropriate?</w:t>
        <w:br/>
        <w:t xml:space="preserve">    (12 marks)</w:t>
        <w:br/>
      </w:r>
    </w:p>
    <w:p/>
    <w:p>
      <w:pPr>
        <w:pStyle w:val="Heading2"/>
      </w:pPr>
      <w:r>
        <w:t>QUESTION 4 (20 marks)</w:t>
      </w:r>
    </w:p>
    <w:p>
      <w:r>
        <w:rPr>
          <w:b w:val="0"/>
          <w:i w:val="0"/>
          <w:sz w:val="22"/>
        </w:rPr>
        <w:br/>
        <w:t>Your client is a multinational group that is considering a business restructuring involving</w:t>
        <w:br/>
        <w:t>the transfer of intellectual property (IP) from one jurisdiction to another. The current owner</w:t>
        <w:br/>
        <w:t>of the IP is in a high-tax jurisdiction, and the client is considering transferring the IP to</w:t>
        <w:br/>
        <w:t>a lower-tax jurisdiction to generate IP licensing revenues there. The IP transfer will occur</w:t>
        <w:br/>
        <w:t>at a time when the technology is being enhanced and new patents are being developed.</w:t>
        <w:br/>
        <w:br/>
        <w:t>(a) Discuss the transfer pricing issues arising from this IP transfer:</w:t>
        <w:br/>
        <w:t xml:space="preserve">    (i)   How should the transfer price be determined?</w:t>
        <w:br/>
        <w:t xml:space="preserve">    (ii)  What BEPS Action 8-10 principles apply to this situation?</w:t>
        <w:br/>
        <w:t xml:space="preserve">    (iii) What role does the DEMPE framework play in analyzing this transfer?</w:t>
        <w:br/>
        <w:t xml:space="preserve">    (iv)  How should the allocation of ongoing R&amp;D costs be handled?</w:t>
        <w:br/>
        <w:t xml:space="preserve">    (8 marks)</w:t>
        <w:br/>
        <w:br/>
        <w:t>(b) Recommend a transfer pricing position for the IP transfer and the subsequent licensing</w:t>
        <w:br/>
        <w:t xml:space="preserve">    arrangements that would be robust to challenge, considering both the transfer price and</w:t>
        <w:br/>
        <w:t xml:space="preserve">    the ongoing royalty rates:</w:t>
        <w:br/>
        <w:t xml:space="preserve">    (i)   What valuation method would you use?</w:t>
        <w:br/>
        <w:t xml:space="preserve">    (ii)  What would be an appropriate royalty rate for subsequent licenses?</w:t>
        <w:br/>
        <w:t xml:space="preserve">    (iii) What documentation is essential?</w:t>
        <w:br/>
        <w:t xml:space="preserve">    (12 marks)</w:t>
        <w:br/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PART C: CHOOSE TWO SHORT QUESTIONS (15 marks each)</w:t>
      </w:r>
    </w:p>
    <w:p>
      <w:r>
        <w:rPr>
          <w:b w:val="0"/>
          <w:i/>
          <w:sz w:val="22"/>
        </w:rPr>
        <w:t>Answer TWO questions from the five offered. Each question is worth 15 marks.</w:t>
      </w:r>
    </w:p>
    <w:p/>
    <w:p>
      <w:pPr>
        <w:pStyle w:val="Heading2"/>
      </w:pPr>
      <w:r>
        <w:t>QUESTION 7</w:t>
      </w:r>
    </w:p>
    <w:p>
      <w:r>
        <w:rPr>
          <w:b w:val="0"/>
          <w:i w:val="0"/>
          <w:sz w:val="22"/>
        </w:rPr>
        <w:br/>
        <w:t>ADVANCE PRICING AGREEMENTS</w:t>
        <w:br/>
        <w:br/>
        <w:t>Discuss Advance Pricing Agreements (APAs), including:</w:t>
        <w:br/>
        <w:t>(a) When it is appropriate for a multinational group to seek an APA:</w:t>
        <w:br/>
        <w:t xml:space="preserve">    (i)   Advantages of APAs</w:t>
        <w:br/>
        <w:t xml:space="preserve">    (ii)  Disadvantages of APAs</w:t>
        <w:br/>
        <w:t xml:space="preserve">    (iii) Bilateral vs. unilateral APAs</w:t>
        <w:br/>
        <w:t xml:space="preserve">    (8 marks)</w:t>
        <w:br/>
        <w:br/>
        <w:t>(b) The key issues that should be addressed in an APA covering:</w:t>
        <w:br/>
        <w:t xml:space="preserve">    (i)   Intercompany transactions to be covered</w:t>
        <w:br/>
        <w:t xml:space="preserve">    (ii)  Transfer pricing methodology and supporting documentation</w:t>
        <w:br/>
        <w:t xml:space="preserve">    (iii) The term of the APA and adjustment mechanisms</w:t>
        <w:br/>
        <w:t xml:space="preserve">    (7 marks)</w:t>
        <w:br/>
      </w:r>
    </w:p>
    <w:p>
      <w:pPr>
        <w:pStyle w:val="Heading2"/>
      </w:pPr>
      <w:r>
        <w:t>QUESTION 8</w:t>
      </w:r>
    </w:p>
    <w:p>
      <w:r>
        <w:rPr>
          <w:b w:val="0"/>
          <w:i w:val="0"/>
          <w:sz w:val="22"/>
        </w:rPr>
        <w:br/>
        <w:t>TRANSFER PRICING DOCUMENTATION AND COMPLIANCE</w:t>
        <w:br/>
        <w:br/>
        <w:t>Discuss transfer pricing documentation requirements under BEPS Action 13, including:</w:t>
        <w:br/>
        <w:t>(a) The three-tiered approach to transfer pricing documentation:</w:t>
        <w:br/>
        <w:t xml:space="preserve">    (i)   Master File requirements</w:t>
        <w:br/>
        <w:t xml:space="preserve">    (ii)  Local File requirements</w:t>
        <w:br/>
        <w:t xml:space="preserve">    (iii) Country-by-Country Reporting requirements</w:t>
        <w:br/>
        <w:t xml:space="preserve">    (8 marks)</w:t>
        <w:br/>
        <w:br/>
        <w:t>(b) Best practices for preparation of transfer pricing documentation, including:</w:t>
        <w:br/>
        <w:t xml:space="preserve">    (i)   Benchmarking and comparables analysis</w:t>
        <w:br/>
        <w:t xml:space="preserve">    (ii)  Functional analysis and FAR analysis</w:t>
        <w:br/>
        <w:t xml:space="preserve">    (iii) Supporting contemporaneous documentation</w:t>
        <w:br/>
        <w:t xml:space="preserve">    (7 marks)</w:t>
        <w:br/>
      </w:r>
    </w:p>
    <w:p>
      <w:pPr>
        <w:pStyle w:val="Heading2"/>
      </w:pPr>
      <w:r>
        <w:t>QUESTION 9</w:t>
      </w:r>
    </w:p>
    <w:p>
      <w:r>
        <w:rPr>
          <w:b w:val="0"/>
          <w:i w:val="0"/>
          <w:sz w:val="22"/>
        </w:rPr>
        <w:br/>
        <w:t>TRANSFER PRICING AND TAX TREATIES</w:t>
        <w:br/>
        <w:br/>
        <w:t>Discuss the interaction between transfer pricing and tax treaties, addressing:</w:t>
        <w:br/>
        <w:t>(a) Key articles in the OECD Model Tax Convention relevant to transfer pricing:</w:t>
        <w:br/>
        <w:t xml:space="preserve">    (i)   Associated Enterprises (Article 9)</w:t>
        <w:br/>
        <w:t xml:space="preserve">    (ii)  Non-Discrimination (Article 24)</w:t>
        <w:br/>
        <w:t xml:space="preserve">    (iii) Mutual Agreement Procedure (Article 25)</w:t>
        <w:br/>
        <w:t xml:space="preserve">    (8 marks)</w:t>
        <w:br/>
        <w:br/>
        <w:t>(b) How a tax treaty can:</w:t>
        <w:br/>
        <w:t xml:space="preserve">    (i)   Provide protection against double taxation</w:t>
        <w:br/>
        <w:t xml:space="preserve">    (ii)  Facilitate Mutual Agreement Procedures</w:t>
        <w:br/>
        <w:t xml:space="preserve">    (iii) Influence transfer pricing methodology selection</w:t>
        <w:br/>
        <w:t xml:space="preserve">    (7 marks)</w:t>
        <w:br/>
      </w:r>
    </w:p>
    <w:p>
      <w:pPr>
        <w:pStyle w:val="Heading2"/>
      </w:pPr>
      <w:r>
        <w:t>QUESTION 5</w:t>
      </w:r>
    </w:p>
    <w:p>
      <w:r>
        <w:rPr>
          <w:b w:val="0"/>
          <w:i w:val="0"/>
          <w:sz w:val="22"/>
        </w:rPr>
        <w:br/>
        <w:t>INTRAGROUP SERVICES AND SERVICE HUBS</w:t>
        <w:br/>
        <w:br/>
        <w:t>Discuss the key transfer pricing issues for intragroup services, including:</w:t>
        <w:br/>
        <w:t>(a) How to distinguish between:</w:t>
        <w:br/>
        <w:t xml:space="preserve">    (i)   Genuine intragroup services subject to transfer pricing</w:t>
        <w:br/>
        <w:t xml:space="preserve">    (ii)  Shareholder activities (not subject to charge)</w:t>
        <w:br/>
        <w:t xml:space="preserve">    (iii) Duplicative services (not subject to charge)</w:t>
        <w:br/>
        <w:t xml:space="preserve">    (8 marks)</w:t>
        <w:br/>
        <w:br/>
        <w:t>(b) The transfer pricing methodology appropriate for:</w:t>
        <w:br/>
        <w:t xml:space="preserve">    (i)   Administrative and back-office services</w:t>
        <w:br/>
        <w:t xml:space="preserve">    (ii)  Technical and professional services</w:t>
        <w:br/>
        <w:t xml:space="preserve">    (iii) Management and coordination services</w:t>
        <w:br/>
        <w:t xml:space="preserve">    (7 marks)</w:t>
        <w:br/>
      </w:r>
    </w:p>
    <w:p/>
    <w:p>
      <w:pPr>
        <w:pStyle w:val="Heading2"/>
      </w:pPr>
      <w:r>
        <w:t>QUESTION 6</w:t>
      </w:r>
    </w:p>
    <w:p>
      <w:r>
        <w:rPr>
          <w:b w:val="0"/>
          <w:i w:val="0"/>
          <w:sz w:val="22"/>
        </w:rPr>
        <w:br/>
        <w:t>INTELLECTUAL PROPERTY AND DEMPE FRAMEWORK</w:t>
        <w:br/>
        <w:br/>
        <w:t>Explain the DEMPE framework (Development, Enhancement, Maintenance, Protection, Exploitation)</w:t>
        <w:br/>
        <w:t>and its application to transfer pricing, addressing:</w:t>
        <w:br/>
        <w:t>(a) How BEPS Actions 8-10 have changed transfer pricing analysis for intellectual property</w:t>
        <w:br/>
        <w:t xml:space="preserve">    (8 marks)</w:t>
        <w:br/>
        <w:br/>
        <w:t>(b) How DEMPE analysis should influence:</w:t>
        <w:br/>
        <w:t xml:space="preserve">    (i)   The allocation of R&amp;D costs among group entities</w:t>
        <w:br/>
        <w:t xml:space="preserve">    (ii)  The transfer pricing methodology for IP licensing</w:t>
        <w:br/>
        <w:t xml:space="preserve">    (iii) The profit allocation between IP owners and users</w:t>
        <w:br/>
        <w:t xml:space="preserve">    (7 marks)</w:t>
        <w:br/>
      </w:r>
    </w:p>
    <w:p/>
    <w:p>
      <w:pPr>
        <w:pStyle w:val="Heading2"/>
      </w:pPr>
      <w:r>
        <w:t>QUESTION 7</w:t>
      </w:r>
    </w:p>
    <w:p>
      <w:r>
        <w:rPr>
          <w:b w:val="0"/>
          <w:i w:val="0"/>
          <w:sz w:val="22"/>
        </w:rPr>
        <w:br/>
        <w:t>ADVANCE PRICING AGREEMENTS</w:t>
        <w:br/>
        <w:br/>
        <w:t>Discuss Advance Pricing Agreements (APAs), including:</w:t>
        <w:br/>
        <w:t>(a) When it is appropriate for a multinational group to seek an APA:</w:t>
        <w:br/>
        <w:t xml:space="preserve">    (i)   Advantages of APAs</w:t>
        <w:br/>
        <w:t xml:space="preserve">    (ii)  Disadvantages of APAs</w:t>
        <w:br/>
        <w:t xml:space="preserve">    (iii) Bilateral vs. unilateral APAs</w:t>
        <w:br/>
        <w:t xml:space="preserve">    (8 marks)</w:t>
        <w:br/>
        <w:br/>
        <w:t>(b) The key issues that should be addressed in an APA covering:</w:t>
        <w:br/>
        <w:t xml:space="preserve">    (i)   Intercompany transactions to be covered</w:t>
        <w:br/>
        <w:t xml:space="preserve">    (ii)  Transfer pricing methodology and supporting documentation</w:t>
        <w:br/>
        <w:t xml:space="preserve">    (iii) The term of the APA and adjustment mechanisms</w:t>
        <w:br/>
        <w:t xml:space="preserve">    (7 marks)</w:t>
        <w:br/>
      </w:r>
    </w:p>
    <w:p/>
    <w:p>
      <w:pPr>
        <w:pStyle w:val="Heading2"/>
      </w:pPr>
      <w:r>
        <w:t>QUESTION 8</w:t>
      </w:r>
    </w:p>
    <w:p>
      <w:r>
        <w:rPr>
          <w:b w:val="0"/>
          <w:i w:val="0"/>
          <w:sz w:val="22"/>
        </w:rPr>
        <w:br/>
        <w:t>TRANSFER PRICING DOCUMENTATION AND COMPLIANCE</w:t>
        <w:br/>
        <w:br/>
        <w:t>Discuss transfer pricing documentation requirements under BEPS Action 13, including:</w:t>
        <w:br/>
        <w:t>(a) The three-tiered approach to transfer pricing documentation:</w:t>
        <w:br/>
        <w:t xml:space="preserve">    (i)   Master File requirements</w:t>
        <w:br/>
        <w:t xml:space="preserve">    (ii)  Local File requirements</w:t>
        <w:br/>
        <w:t xml:space="preserve">    (iii) Country-by-Country Reporting requirements</w:t>
        <w:br/>
        <w:t xml:space="preserve">    (8 marks)</w:t>
        <w:br/>
        <w:br/>
        <w:t>(b) Best practices for preparation of transfer pricing documentation, including:</w:t>
        <w:br/>
        <w:t xml:space="preserve">    (i)   Benchmarking and comparables analysis</w:t>
        <w:br/>
        <w:t xml:space="preserve">    (ii)  Functional analysis and FAR analysis</w:t>
        <w:br/>
        <w:t xml:space="preserve">    (iii) Supporting contemporaneous documentation</w:t>
        <w:br/>
        <w:t xml:space="preserve">    (7 marks)</w:t>
        <w:br/>
      </w:r>
    </w:p>
    <w:p/>
    <w:p>
      <w:pPr>
        <w:pStyle w:val="Heading2"/>
      </w:pPr>
      <w:r>
        <w:t>QUESTION 9</w:t>
      </w:r>
    </w:p>
    <w:p>
      <w:r>
        <w:rPr>
          <w:b w:val="0"/>
          <w:i w:val="0"/>
          <w:sz w:val="22"/>
        </w:rPr>
        <w:br/>
        <w:t>TRANSFER PRICING AND TAX TREATIES</w:t>
        <w:br/>
        <w:br/>
        <w:t>Discuss the interaction between transfer pricing and tax treaties, addressing:</w:t>
        <w:br/>
        <w:t>(a) Key articles in the OECD Model Tax Convention relevant to transfer pricing:</w:t>
        <w:br/>
        <w:t xml:space="preserve">    (i)   Associated Enterprises (Article 9)</w:t>
        <w:br/>
        <w:t xml:space="preserve">    (ii)  Non-Discrimination (Article 24)</w:t>
        <w:br/>
        <w:t xml:space="preserve">    (iii) Mutual Agreement Procedure (Article 25)</w:t>
        <w:br/>
        <w:t xml:space="preserve">    (8 marks)</w:t>
        <w:br/>
        <w:br/>
        <w:t>(b) How a tax treaty can:</w:t>
        <w:br/>
        <w:t xml:space="preserve">    (i)   Provide protection against double taxation</w:t>
        <w:br/>
        <w:t xml:space="preserve">    (ii)  Facilitate Mutual Agreement Procedures</w:t>
        <w:br/>
        <w:t xml:space="preserve">    (iii) Influence transfer pricing methodology selection</w:t>
        <w:br/>
        <w:t xml:space="preserve">    (7 marks)</w:t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