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MOCK EXAMINATION</w:t>
      </w:r>
    </w:p>
    <w:p>
      <w:pPr>
        <w:pStyle w:val="Heading2"/>
      </w:pPr>
      <w:r>
        <w:t>ADIT Module 3.03 – Transfer Pricing Option</w:t>
      </w:r>
    </w:p>
    <w:p>
      <w:pPr>
        <w:pStyle w:val="Heading2"/>
      </w:pPr>
      <w:r>
        <w:t>Mock Exam 10</w:t>
      </w:r>
    </w:p>
    <w:p>
      <w:r>
        <w:rPr>
          <w:b w:val="0"/>
          <w:i w:val="0"/>
          <w:sz w:val="22"/>
        </w:rPr>
        <w:t>Time Allowed: 3 hours 15 minutes</w:t>
      </w:r>
    </w:p>
    <w:p>
      <w:r>
        <w:rPr>
          <w:b w:val="0"/>
          <w:i w:val="0"/>
          <w:sz w:val="22"/>
        </w:rPr>
        <w:t>Total Marks: 100 marks</w:t>
      </w:r>
    </w:p>
    <w:p>
      <w:r>
        <w:rPr>
          <w:b w:val="0"/>
          <w:i w:val="0"/>
          <w:sz w:val="22"/>
        </w:rPr>
        <w:t>Date: November 2025</w:t>
      </w:r>
    </w:p>
    <w:p/>
    <w:p>
      <w:r>
        <w:rPr>
          <w:b w:val="0"/>
          <w:i w:val="0"/>
          <w:sz w:val="22"/>
        </w:rPr>
        <w:t>INSTRUCTIONS TO CANDIDATES:</w:t>
      </w:r>
    </w:p>
    <w:p>
      <w:r>
        <w:rPr>
          <w:b w:val="0"/>
          <w:i w:val="0"/>
          <w:sz w:val="22"/>
        </w:rPr>
        <w:t>• Answer FIVE questions in total</w:t>
      </w:r>
    </w:p>
    <w:p>
      <w:r>
        <w:rPr>
          <w:b w:val="0"/>
          <w:i w:val="0"/>
          <w:sz w:val="22"/>
        </w:rPr>
        <w:t>• PART A: Answer BOTH questions (2 × 25 marks = 50 marks)</w:t>
      </w:r>
    </w:p>
    <w:p>
      <w:r>
        <w:rPr>
          <w:b w:val="0"/>
          <w:i w:val="0"/>
          <w:sz w:val="22"/>
        </w:rPr>
        <w:t>• PART B: Answer ONE question from the two offered (20 marks)</w:t>
      </w:r>
    </w:p>
    <w:p>
      <w:r>
        <w:rPr>
          <w:b w:val="0"/>
          <w:i w:val="0"/>
          <w:sz w:val="22"/>
        </w:rPr>
        <w:t>• PART C: Answer TWO questions from the five offered (2 × 15 marks = 30 marks)</w:t>
      </w:r>
    </w:p>
    <w:p/>
    <w:p>
      <w:r>
        <w:rPr>
          <w:b w:val="0"/>
          <w:i w:val="0"/>
          <w:sz w:val="22"/>
        </w:rPr>
        <w:t>Write your answers clearly and legibly. Marks will be awarded for:</w:t>
      </w:r>
    </w:p>
    <w:p>
      <w:r>
        <w:rPr>
          <w:b w:val="0"/>
          <w:i w:val="0"/>
          <w:sz w:val="22"/>
        </w:rPr>
        <w:t>• Correct identification and analysis of issues</w:t>
      </w:r>
    </w:p>
    <w:p>
      <w:r>
        <w:rPr>
          <w:b w:val="0"/>
          <w:i w:val="0"/>
          <w:sz w:val="22"/>
        </w:rPr>
        <w:t>• Application of OECD Transfer Pricing Guidelines</w:t>
      </w:r>
    </w:p>
    <w:p>
      <w:r>
        <w:rPr>
          <w:b w:val="0"/>
          <w:i w:val="0"/>
          <w:sz w:val="22"/>
        </w:rPr>
        <w:t>• Supporting calculations and references</w:t>
      </w:r>
    </w:p>
    <w:p>
      <w:r>
        <w:rPr>
          <w:b w:val="0"/>
          <w:i w:val="0"/>
          <w:sz w:val="22"/>
        </w:rPr>
        <w:t>• Clear presentation and structure</w:t>
      </w:r>
    </w:p>
    <w:p>
      <w:r>
        <w:br w:type="page"/>
      </w:r>
    </w:p>
    <w:p>
      <w:pPr>
        <w:pStyle w:val="Heading1"/>
      </w:pPr>
      <w:r>
        <w:rPr>
          <w:b/>
          <w:color w:val="003366"/>
          <w:sz w:val="28"/>
        </w:rPr>
        <w:t>PART A: COMPULSORY CASE STUDY QUESTIONS</w:t>
      </w:r>
    </w:p>
    <w:p>
      <w:r>
        <w:rPr>
          <w:b w:val="0"/>
          <w:i/>
          <w:sz w:val="22"/>
        </w:rPr>
        <w:t>Answer BOTH questions. Each question is worth 25 marks.</w:t>
      </w:r>
    </w:p>
    <w:p/>
    <w:p>
      <w:pPr>
        <w:pStyle w:val="Heading2"/>
      </w:pPr>
      <w:r>
        <w:t>QUESTION 1 (25 marks)</w:t>
      </w:r>
    </w:p>
    <w:p>
      <w:r>
        <w:rPr>
          <w:b w:val="0"/>
          <w:i w:val="0"/>
          <w:sz w:val="22"/>
        </w:rPr>
        <w:br/>
        <w:t>SCENARIO - Green Energy Corporation</w:t>
        <w:br/>
        <w:br/>
        <w:t>Green Energy Corporation is a renewable energy company specializing in solar technology</w:t>
        <w:br/>
        <w:t>manufacturing and project development. The group has significant IP and technology transfer</w:t>
        <w:br/>
        <w:t>arrangements.</w:t>
        <w:br/>
        <w:br/>
        <w:t>GROUP STRUCTURE:</w:t>
        <w:br/>
        <w:br/>
        <w:t>1. Green Energy International (Netherlands) - Parent and technology owner</w:t>
        <w:br/>
        <w:t>2. Green Energy Research (Switzerland) - R&amp;D and technology development</w:t>
        <w:br/>
        <w:t>3. Green Energy Manufacturing (Mexico) - Panel manufacturing</w:t>
        <w:br/>
        <w:t>4. Green Energy Projects (Brazil) - Project development and installation</w:t>
        <w:br/>
        <w:t>5. Green Energy Operations (Germany) - EU operations and sales</w:t>
        <w:br/>
        <w:br/>
        <w:t>COMPANY PROFILES:</w:t>
        <w:br/>
        <w:br/>
        <w:t>Green Energy International (Netherlands):</w:t>
        <w:br/>
        <w:t>- Holds all patents and proprietary technologies</w:t>
        <w:br/>
        <w:t>- Solar panel efficiency technology (proprietary manufacturing process)</w:t>
        <w:br/>
        <w:t>- Project development methodologies</w:t>
        <w:br/>
        <w:t>- Brand and market positioning</w:t>
        <w:br/>
        <w:t>- Employees: 15</w:t>
        <w:br/>
        <w:t>- Tax rate: 21%</w:t>
        <w:br/>
        <w:t>- IP portfolio value: USD 500 million (estimated)</w:t>
        <w:br/>
        <w:br/>
        <w:t>Green Energy Research (Switzerland):</w:t>
        <w:br/>
        <w:t>- Conducts R&amp;D on next-generation solar technology</w:t>
        <w:br/>
        <w:t>- Product improvement and cost reduction research</w:t>
        <w:br/>
        <w:t>- Employees: 50 engineers and scientists</w:t>
        <w:br/>
        <w:t>- Annual R&amp;D costs: CHF 30 million</w:t>
        <w:br/>
        <w:t>- Conducts research on cost-reimbursement basis</w:t>
        <w:br/>
        <w:t>- No product sales</w:t>
        <w:br/>
        <w:t>- Tax rate: 13%</w:t>
        <w:br/>
        <w:t>- Research funded by:</w:t>
        <w:br/>
        <w:t xml:space="preserve">  * 20% from operating company sales</w:t>
        <w:br/>
        <w:t xml:space="preserve">  * 80% from technology licensing fees</w:t>
        <w:br/>
        <w:br/>
        <w:t>Green Energy Manufacturing (Mexico):</w:t>
        <w:br/>
        <w:t>- Manufactures solar panels using proprietary technology</w:t>
        <w:br/>
        <w:t>- Licensed manufacturing rights from parent company</w:t>
        <w:br/>
        <w:t>- Produces 500,000 units per annum</w:t>
        <w:br/>
        <w:t>- Manufacturing cost per unit: USD 80 (materials, labor, overhead)</w:t>
        <w:br/>
        <w:t>- Sells to operating entities at: USD 110 per unit</w:t>
        <w:br/>
        <w:t>- Margin: USD 30 per unit (markup of 37.5%)</w:t>
        <w:br/>
        <w:t>- Annual production volume value: USD 55 million</w:t>
        <w:br/>
        <w:t>- Employee count: 300</w:t>
        <w:br/>
        <w:t>- Tax rate: 30%</w:t>
        <w:br/>
        <w:t>- EBIT: USD 15 million per annum</w:t>
        <w:br/>
        <w:br/>
        <w:t>Green Energy Projects (Brazil):</w:t>
        <w:br/>
        <w:t>- Develops, finances, and manages solar projects</w:t>
        <w:br/>
        <w:t>- Engineering and permitting</w:t>
        <w:br/>
        <w:t>- Project sales to corporate and government clients</w:t>
        <w:br/>
        <w:t>- Installation and commissioning</w:t>
        <w:br/>
        <w:t>- Operations and maintenance contracts</w:t>
        <w:br/>
        <w:t>- Employees: 200</w:t>
        <w:br/>
        <w:t>- Annual project revenue: USD 200 million</w:t>
        <w:br/>
        <w:t>- Annual project costs: USD 160 million</w:t>
        <w:br/>
        <w:t>- Operating margin: 20%</w:t>
        <w:br/>
        <w:t>- EBIT: USD 40 million</w:t>
        <w:br/>
        <w:t>- Tax rate: 34%</w:t>
        <w:br/>
        <w:br/>
        <w:t>Green Energy Operations (Germany):</w:t>
        <w:br/>
        <w:t>- Sales and distribution hub for Europe</w:t>
        <w:br/>
        <w:t>- Sells solar panels to customers in Europe</w:t>
        <w:br/>
        <w:t>- Installation services (subcontracted)</w:t>
        <w:br/>
        <w:t>- Warranty and service</w:t>
        <w:br/>
        <w:t>- Employees: 100</w:t>
        <w:br/>
        <w:t>- Annual panel purchases: 100,000 units at USD 110 per unit = USD 11 million</w:t>
        <w:br/>
        <w:t>- Annual panel sales revenue: EUR 15 million (approximately USD 16.5 million)</w:t>
        <w:br/>
        <w:t>- Annual service revenue: EUR 2 million</w:t>
        <w:br/>
        <w:t>- Annual operating costs: EUR 5 million</w:t>
        <w:br/>
        <w:t>- Net profit: EUR 3.5 million</w:t>
        <w:br/>
        <w:t>- Tax rate: 30%</w:t>
        <w:br/>
        <w:br/>
        <w:t>IP LICENSING ARRANGEMENTS:</w:t>
        <w:br/>
        <w:br/>
        <w:t>1. Manufacturing License (Green Energy Research to Manufacturing):</w:t>
        <w:br/>
        <w:t xml:space="preserve">   - Royalty: 2% of manufacturing revenue</w:t>
        <w:br/>
        <w:t xml:space="preserve">   - Annual royalty: USD 1.1 million</w:t>
        <w:br/>
        <w:br/>
        <w:t>2. Manufacturing License (Green Energy International to Manufacturing):</w:t>
        <w:br/>
        <w:t xml:space="preserve">   - Royalty: 3% of manufacturing revenue</w:t>
        <w:br/>
        <w:t xml:space="preserve">   - Annual royalty: USD 1.65 million</w:t>
        <w:br/>
        <w:br/>
        <w:t>3. Project Development License (Green Energy International to Projects):</w:t>
        <w:br/>
        <w:t xml:space="preserve">   - Royalty: 2% of project revenue</w:t>
        <w:br/>
        <w:t xml:space="preserve">   - Annual royalty: USD 4 million</w:t>
        <w:br/>
        <w:br/>
        <w:t>4. Technology License (Green Energy International to Operations):</w:t>
        <w:br/>
        <w:t xml:space="preserve">   - Royalty: 1% of sales revenue</w:t>
        <w:br/>
        <w:t xml:space="preserve">   - Annual royalty: EUR 0.17 million</w:t>
        <w:br/>
        <w:br/>
        <w:t>ADDITIONAL INFORMATION:</w:t>
        <w:br/>
        <w:t>- Solar panel manufacturing is highly competitive globally</w:t>
        <w:br/>
        <w:t>- Market royalty rates for solar technology typically range 2-4%</w:t>
        <w:br/>
        <w:t>- Green Energy's technology provides 3-5% efficiency advantage</w:t>
        <w:br/>
        <w:t>- Next-generation technology under development expected to provide 8-10% advantage</w:t>
        <w:br/>
        <w:t>- No technology licensing APAs in place</w:t>
        <w:br/>
        <w:t>- Company has not been subject to transfer pricing audit</w:t>
        <w:br/>
        <w:br/>
        <w:t>REQUIRED:</w:t>
        <w:br/>
        <w:br/>
        <w:t>(a) Perform DEMPE analysis for the solar panel technology:</w:t>
        <w:br/>
        <w:t xml:space="preserve">    (i)   Who develops the technology?</w:t>
        <w:br/>
        <w:t xml:space="preserve">    (ii)  Who enhances/improves it?</w:t>
        <w:br/>
        <w:t xml:space="preserve">    (iii) Who maintains it?</w:t>
        <w:br/>
        <w:t xml:space="preserve">    (iv)  Who protects it (IP protection)?</w:t>
        <w:br/>
        <w:t xml:space="preserve">    (v)   Who exploits it (generates revenue)?</w:t>
        <w:br/>
        <w:br/>
        <w:t xml:space="preserve">    Based on DEMPE, are the royalty rates appropriate and allocated to the right entities?</w:t>
        <w:br/>
        <w:t xml:space="preserve">    (12 marks)</w:t>
        <w:br/>
        <w:br/>
        <w:t>(b) Evaluate the transfer pricing for the manufacturing arrangement in Mexico:</w:t>
        <w:br/>
        <w:t xml:space="preserve">    (i)   Is the cost-plus 37.5% markup appropriate?</w:t>
        <w:br/>
        <w:t xml:space="preserve">    (ii)  What factors support or challenge this markup?</w:t>
        <w:br/>
        <w:t xml:space="preserve">    (iii) Are there benchmarking or comparable data you would require?</w:t>
        <w:br/>
        <w:t xml:space="preserve">    (10 marks)</w:t>
        <w:br/>
        <w:br/>
        <w:t>(c) Identify transfer pricing risks in this structure relating to IP licensing under BEPS</w:t>
        <w:br/>
        <w:t xml:space="preserve">    Actions 8-10.</w:t>
        <w:br/>
        <w:t xml:space="preserve">    (3 marks)</w:t>
        <w:br/>
      </w:r>
    </w:p>
    <w:p>
      <w:pPr>
        <w:pStyle w:val="Heading2"/>
      </w:pPr>
      <w:r>
        <w:t>QUESTION 2 (25 marks)</w:t>
      </w:r>
    </w:p>
    <w:p>
      <w:r>
        <w:rPr>
          <w:b w:val="0"/>
          <w:i w:val="0"/>
          <w:sz w:val="22"/>
        </w:rPr>
        <w:br/>
        <w:t>Continuing with Green Energy Corporation:</w:t>
        <w:br/>
        <w:br/>
        <w:t>(a) The Brazilian tax authority has proposed that Green Energy Projects should be classified</w:t>
        <w:br/>
        <w:t xml:space="preserve">    as a "limited risk distributor" earning only routine margins rather than residual</w:t>
        <w:br/>
        <w:t xml:space="preserve">    profits. Analyze and respond to this position:</w:t>
        <w:br/>
        <w:t xml:space="preserve">    (i)   What functions does Green Energy Projects perform?</w:t>
        <w:br/>
        <w:t xml:space="preserve">    (ii)  What risks does it assume?</w:t>
        <w:br/>
        <w:t xml:space="preserve">    (iii) Is the "limited risk distributor" characterization appropriate?</w:t>
        <w:br/>
        <w:t xml:space="preserve">    (iv)  What profit margin should it earn?</w:t>
        <w:br/>
        <w:t xml:space="preserve">    (10 marks)</w:t>
        <w:br/>
        <w:br/>
        <w:t>(b) Green Energy is developing next-generation solar technology (8-10% efficiency advantage).</w:t>
        <w:br/>
        <w:t xml:space="preserve">    Discuss transfer pricing issues that might arise if:</w:t>
        <w:br/>
        <w:t xml:space="preserve">    (i)   The new technology is developed in Switzerland (Research entity)</w:t>
        <w:br/>
        <w:t xml:space="preserve">    (ii)  Current manufacturing in Mexico uses existing technology</w:t>
        <w:br/>
        <w:t xml:space="preserve">    (iii) The new technology will be licensed to Mexico in Year 3</w:t>
        <w:br/>
        <w:t xml:space="preserve">    (12 marks)</w:t>
        <w:br/>
        <w:br/>
        <w:t>(c) Recommend a revised IP licensing and transfer pricing structure that would be robust to</w:t>
        <w:br/>
        <w:t xml:space="preserve">    transfer pricing challenge and consistent with BEPS Actions 8-10.</w:t>
        <w:br/>
        <w:t xml:space="preserve">    (3 marks)</w:t>
        <w:br/>
      </w:r>
    </w:p>
    <w:p>
      <w:r>
        <w:br w:type="page"/>
      </w:r>
    </w:p>
    <w:p>
      <w:pPr>
        <w:pStyle w:val="Heading1"/>
      </w:pPr>
      <w:r>
        <w:rPr>
          <w:b/>
          <w:color w:val="003366"/>
          <w:sz w:val="28"/>
        </w:rPr>
        <w:t>PART B: CHOOSE ONE SCENARIO QUESTION (20 marks)</w:t>
      </w:r>
    </w:p>
    <w:p>
      <w:r>
        <w:rPr>
          <w:b w:val="0"/>
          <w:i/>
          <w:sz w:val="22"/>
        </w:rPr>
        <w:t>Answer ONE question from the two offered.</w:t>
      </w:r>
    </w:p>
    <w:p/>
    <w:p>
      <w:pPr>
        <w:pStyle w:val="Heading2"/>
      </w:pPr>
      <w:r>
        <w:t>QUESTION 3 (20 marks)</w:t>
      </w:r>
    </w:p>
    <w:p>
      <w:r>
        <w:rPr>
          <w:b w:val="0"/>
          <w:i w:val="0"/>
          <w:sz w:val="22"/>
        </w:rPr>
        <w:br/>
        <w:t>Your client operates a substantial business in a foreign country where it has stationed</w:t>
        <w:br/>
        <w:t>personnel to manage operations and support local sales. The foreign tax authority has indicated</w:t>
        <w:br/>
        <w:t>it believes your client has established a Permanent Establishment (PE) under Article 5 of the</w:t>
        <w:br/>
        <w:t>relevant tax treaty and is pursuing a transfer pricing audit on the basis that profits should</w:t>
        <w:br/>
        <w:t>be attributed to the PE.</w:t>
        <w:br/>
        <w:br/>
        <w:t>(a) Analyze the PE issue comprehensively:</w:t>
        <w:br/>
        <w:t xml:space="preserve">    (i)   What is the applicable test under Article 5?</w:t>
        <w:br/>
        <w:t xml:space="preserve">    (ii)  What factors would support the existence of a PE?</w:t>
        <w:br/>
        <w:t xml:space="preserve">    (iii) What factors would militate against PE status?</w:t>
        <w:br/>
        <w:t xml:space="preserve">    (iv)  How would you structure the operations to minimize PE risk?</w:t>
        <w:br/>
        <w:t xml:space="preserve">    (8 marks)</w:t>
        <w:br/>
        <w:br/>
        <w:t>(b) If a PE is determined to exist, analyze the transfer pricing implications:</w:t>
        <w:br/>
        <w:t xml:space="preserve">    (i)   How should profits be attributed using the Authorized OECD Approach?</w:t>
        <w:br/>
        <w:t xml:space="preserve">    (ii)  What functions and assets would you attribute to the PE?</w:t>
        <w:br/>
        <w:t xml:space="preserve">    (iii) What profit margin would be appropriate?</w:t>
        <w:br/>
        <w:t xml:space="preserve">    (12 marks)</w:t>
        <w:br/>
      </w:r>
    </w:p>
    <w:p/>
    <w:p>
      <w:pPr>
        <w:pStyle w:val="Heading2"/>
      </w:pPr>
      <w:r>
        <w:t>QUESTION 4 (20 marks)</w:t>
      </w:r>
    </w:p>
    <w:p>
      <w:r>
        <w:rPr>
          <w:b w:val="0"/>
          <w:i w:val="0"/>
          <w:sz w:val="22"/>
        </w:rPr>
        <w:br/>
        <w:t>Your client is a multinational group that is considering a business restructuring involving</w:t>
        <w:br/>
        <w:t>the transfer of intellectual property (IP) from one jurisdiction to another. The current owner</w:t>
        <w:br/>
        <w:t>of the IP is in a high-tax jurisdiction, and the client is considering transferring the IP to</w:t>
        <w:br/>
        <w:t>a lower-tax jurisdiction to generate IP licensing revenues there. The IP transfer will occur</w:t>
        <w:br/>
        <w:t>at a time when the technology is being enhanced and new patents are being developed.</w:t>
        <w:br/>
        <w:br/>
        <w:t>(a) Discuss the transfer pricing issues arising from this IP transfer:</w:t>
        <w:br/>
        <w:t xml:space="preserve">    (i)   How should the transfer price be determined?</w:t>
        <w:br/>
        <w:t xml:space="preserve">    (ii)  What BEPS Action 8-10 principles apply to this situation?</w:t>
        <w:br/>
        <w:t xml:space="preserve">    (iii) What role does the DEMPE framework play in analyzing this transfer?</w:t>
        <w:br/>
        <w:t xml:space="preserve">    (iv)  How should the allocation of ongoing R&amp;D costs be handled?</w:t>
        <w:br/>
        <w:t xml:space="preserve">    (8 marks)</w:t>
        <w:br/>
        <w:br/>
        <w:t>(b) Recommend a transfer pricing position for the IP transfer and the subsequent licensing</w:t>
        <w:br/>
        <w:t xml:space="preserve">    arrangements that would be robust to challenge, considering both the transfer price and</w:t>
        <w:br/>
        <w:t xml:space="preserve">    the ongoing royalty rates:</w:t>
        <w:br/>
        <w:t xml:space="preserve">    (i)   What valuation method would you use?</w:t>
        <w:br/>
        <w:t xml:space="preserve">    (ii)  What would be an appropriate royalty rate for subsequent licenses?</w:t>
        <w:br/>
        <w:t xml:space="preserve">    (iii) What documentation is essential?</w:t>
        <w:br/>
        <w:t xml:space="preserve">    (12 marks)</w:t>
        <w:br/>
      </w:r>
    </w:p>
    <w:p>
      <w:r>
        <w:br w:type="page"/>
      </w:r>
    </w:p>
    <w:p>
      <w:pPr>
        <w:pStyle w:val="Heading1"/>
      </w:pPr>
      <w:r>
        <w:rPr>
          <w:b/>
          <w:color w:val="003366"/>
          <w:sz w:val="28"/>
        </w:rPr>
        <w:t>PART C: CHOOSE TWO SHORT QUESTIONS (15 marks each)</w:t>
      </w:r>
    </w:p>
    <w:p>
      <w:r>
        <w:rPr>
          <w:b w:val="0"/>
          <w:i/>
          <w:sz w:val="22"/>
        </w:rPr>
        <w:t>Answer TWO questions from the five offered. Each question is worth 15 marks.</w:t>
      </w:r>
    </w:p>
    <w:p/>
    <w:p>
      <w:pPr>
        <w:pStyle w:val="Heading2"/>
      </w:pPr>
      <w:r>
        <w:t>QUESTION 7</w:t>
      </w:r>
    </w:p>
    <w:p>
      <w:r>
        <w:rPr>
          <w:b w:val="0"/>
          <w:i w:val="0"/>
          <w:sz w:val="22"/>
        </w:rPr>
        <w:br/>
        <w:t>ADVANCE PRICING AGREEMENTS</w:t>
        <w:br/>
        <w:br/>
        <w:t>Discuss Advance Pricing Agreements (APAs), including:</w:t>
        <w:br/>
        <w:t>(a) When it is appropriate for a multinational group to seek an APA:</w:t>
        <w:br/>
        <w:t xml:space="preserve">    (i)   Advantages of APAs</w:t>
        <w:br/>
        <w:t xml:space="preserve">    (ii)  Disadvantages of APAs</w:t>
        <w:br/>
        <w:t xml:space="preserve">    (iii) Bilateral vs. unilateral APAs</w:t>
        <w:br/>
        <w:t xml:space="preserve">    (8 marks)</w:t>
        <w:br/>
        <w:br/>
        <w:t>(b) The key issues that should be addressed in an APA covering:</w:t>
        <w:br/>
        <w:t xml:space="preserve">    (i)   Intercompany transactions to be covered</w:t>
        <w:br/>
        <w:t xml:space="preserve">    (ii)  Transfer pricing methodology and supporting documentation</w:t>
        <w:br/>
        <w:t xml:space="preserve">    (iii) The term of the APA and adjustment mechanisms</w:t>
        <w:br/>
        <w:t xml:space="preserve">    (7 marks)</w:t>
        <w:br/>
      </w:r>
    </w:p>
    <w:p>
      <w:pPr>
        <w:pStyle w:val="Heading2"/>
      </w:pPr>
      <w:r>
        <w:t>QUESTION 8</w:t>
      </w:r>
    </w:p>
    <w:p>
      <w:r>
        <w:rPr>
          <w:b w:val="0"/>
          <w:i w:val="0"/>
          <w:sz w:val="22"/>
        </w:rPr>
        <w:br/>
        <w:t>TRANSFER PRICING DOCUMENTATION AND COMPLIANCE</w:t>
        <w:br/>
        <w:br/>
        <w:t>Discuss transfer pricing documentation requirements under BEPS Action 13, including:</w:t>
        <w:br/>
        <w:t>(a) The three-tiered approach to transfer pricing documentation:</w:t>
        <w:br/>
        <w:t xml:space="preserve">    (i)   Master File requirements</w:t>
        <w:br/>
        <w:t xml:space="preserve">    (ii)  Local File requirements</w:t>
        <w:br/>
        <w:t xml:space="preserve">    (iii) Country-by-Country Reporting requirements</w:t>
        <w:br/>
        <w:t xml:space="preserve">    (8 marks)</w:t>
        <w:br/>
        <w:br/>
        <w:t>(b) Best practices for preparation of transfer pricing documentation, including:</w:t>
        <w:br/>
        <w:t xml:space="preserve">    (i)   Benchmarking and comparables analysis</w:t>
        <w:br/>
        <w:t xml:space="preserve">    (ii)  Functional analysis and FAR analysis</w:t>
        <w:br/>
        <w:t xml:space="preserve">    (iii) Supporting contemporaneous documentation</w:t>
        <w:br/>
        <w:t xml:space="preserve">    (7 marks)</w:t>
        <w:br/>
      </w:r>
    </w:p>
    <w:p>
      <w:pPr>
        <w:pStyle w:val="Heading2"/>
      </w:pPr>
      <w:r>
        <w:t>QUESTION 9</w:t>
      </w:r>
    </w:p>
    <w:p>
      <w:r>
        <w:rPr>
          <w:b w:val="0"/>
          <w:i w:val="0"/>
          <w:sz w:val="22"/>
        </w:rPr>
        <w:br/>
        <w:t>TRANSFER PRICING AND TAX TREATIES</w:t>
        <w:br/>
        <w:br/>
        <w:t>Discuss the interaction between transfer pricing and tax treaties, addressing:</w:t>
        <w:br/>
        <w:t>(a) Key articles in the OECD Model Tax Convention relevant to transfer pricing:</w:t>
        <w:br/>
        <w:t xml:space="preserve">    (i)   Associated Enterprises (Article 9)</w:t>
        <w:br/>
        <w:t xml:space="preserve">    (ii)  Non-Discrimination (Article 24)</w:t>
        <w:br/>
        <w:t xml:space="preserve">    (iii) Mutual Agreement Procedure (Article 25)</w:t>
        <w:br/>
        <w:t xml:space="preserve">    (8 marks)</w:t>
        <w:br/>
        <w:br/>
        <w:t>(b) How a tax treaty can:</w:t>
        <w:br/>
        <w:t xml:space="preserve">    (i)   Provide protection against double taxation</w:t>
        <w:br/>
        <w:t xml:space="preserve">    (ii)  Facilitate Mutual Agreement Procedures</w:t>
        <w:br/>
        <w:t xml:space="preserve">    (iii) Influence transfer pricing methodology selection</w:t>
        <w:br/>
        <w:t xml:space="preserve">    (7 marks)</w:t>
        <w:br/>
      </w:r>
    </w:p>
    <w:p>
      <w:pPr>
        <w:pStyle w:val="Heading2"/>
      </w:pPr>
      <w:r>
        <w:t>QUESTION 5</w:t>
      </w:r>
    </w:p>
    <w:p>
      <w:r>
        <w:rPr>
          <w:b w:val="0"/>
          <w:i w:val="0"/>
          <w:sz w:val="22"/>
        </w:rPr>
        <w:br/>
        <w:t>INTRAGROUP SERVICES AND SERVICE HUBS</w:t>
        <w:br/>
        <w:br/>
        <w:t>Discuss the key transfer pricing issues for intragroup services, including:</w:t>
        <w:br/>
        <w:t>(a) How to distinguish between:</w:t>
        <w:br/>
        <w:t xml:space="preserve">    (i)   Genuine intragroup services subject to transfer pricing</w:t>
        <w:br/>
        <w:t xml:space="preserve">    (ii)  Shareholder activities (not subject to charge)</w:t>
        <w:br/>
        <w:t xml:space="preserve">    (iii) Duplicative services (not subject to charge)</w:t>
        <w:br/>
        <w:t xml:space="preserve">    (8 marks)</w:t>
        <w:br/>
        <w:br/>
        <w:t>(b) The transfer pricing methodology appropriate for:</w:t>
        <w:br/>
        <w:t xml:space="preserve">    (i)   Administrative and back-office services</w:t>
        <w:br/>
        <w:t xml:space="preserve">    (ii)  Technical and professional services</w:t>
        <w:br/>
        <w:t xml:space="preserve">    (iii) Management and coordination services</w:t>
        <w:br/>
        <w:t xml:space="preserve">    (7 marks)</w:t>
        <w:br/>
      </w:r>
    </w:p>
    <w:p/>
    <w:p>
      <w:pPr>
        <w:pStyle w:val="Heading2"/>
      </w:pPr>
      <w:r>
        <w:t>QUESTION 6</w:t>
      </w:r>
    </w:p>
    <w:p>
      <w:r>
        <w:rPr>
          <w:b w:val="0"/>
          <w:i w:val="0"/>
          <w:sz w:val="22"/>
        </w:rPr>
        <w:br/>
        <w:t>INTELLECTUAL PROPERTY AND DEMPE FRAMEWORK</w:t>
        <w:br/>
        <w:br/>
        <w:t>Explain the DEMPE framework (Development, Enhancement, Maintenance, Protection, Exploitation)</w:t>
        <w:br/>
        <w:t>and its application to transfer pricing, addressing:</w:t>
        <w:br/>
        <w:t>(a) How BEPS Actions 8-10 have changed transfer pricing analysis for intellectual property</w:t>
        <w:br/>
        <w:t xml:space="preserve">    (8 marks)</w:t>
        <w:br/>
        <w:br/>
        <w:t>(b) How DEMPE analysis should influence:</w:t>
        <w:br/>
        <w:t xml:space="preserve">    (i)   The allocation of R&amp;D costs among group entities</w:t>
        <w:br/>
        <w:t xml:space="preserve">    (ii)  The transfer pricing methodology for IP licensing</w:t>
        <w:br/>
        <w:t xml:space="preserve">    (iii) The profit allocation between IP owners and users</w:t>
        <w:br/>
        <w:t xml:space="preserve">    (7 marks)</w:t>
        <w:br/>
      </w:r>
    </w:p>
    <w:p/>
    <w:p>
      <w:pPr>
        <w:pStyle w:val="Heading2"/>
      </w:pPr>
      <w:r>
        <w:t>QUESTION 7</w:t>
      </w:r>
    </w:p>
    <w:p>
      <w:r>
        <w:rPr>
          <w:b w:val="0"/>
          <w:i w:val="0"/>
          <w:sz w:val="22"/>
        </w:rPr>
        <w:br/>
        <w:t>ADVANCE PRICING AGREEMENTS</w:t>
        <w:br/>
        <w:br/>
        <w:t>Discuss Advance Pricing Agreements (APAs), including:</w:t>
        <w:br/>
        <w:t>(a) When it is appropriate for a multinational group to seek an APA:</w:t>
        <w:br/>
        <w:t xml:space="preserve">    (i)   Advantages of APAs</w:t>
        <w:br/>
        <w:t xml:space="preserve">    (ii)  Disadvantages of APAs</w:t>
        <w:br/>
        <w:t xml:space="preserve">    (iii) Bilateral vs. unilateral APAs</w:t>
        <w:br/>
        <w:t xml:space="preserve">    (8 marks)</w:t>
        <w:br/>
        <w:br/>
        <w:t>(b) The key issues that should be addressed in an APA covering:</w:t>
        <w:br/>
        <w:t xml:space="preserve">    (i)   Intercompany transactions to be covered</w:t>
        <w:br/>
        <w:t xml:space="preserve">    (ii)  Transfer pricing methodology and supporting documentation</w:t>
        <w:br/>
        <w:t xml:space="preserve">    (iii) The term of the APA and adjustment mechanisms</w:t>
        <w:br/>
        <w:t xml:space="preserve">    (7 marks)</w:t>
        <w:br/>
      </w:r>
    </w:p>
    <w:p/>
    <w:p>
      <w:pPr>
        <w:pStyle w:val="Heading2"/>
      </w:pPr>
      <w:r>
        <w:t>QUESTION 8</w:t>
      </w:r>
    </w:p>
    <w:p>
      <w:r>
        <w:rPr>
          <w:b w:val="0"/>
          <w:i w:val="0"/>
          <w:sz w:val="22"/>
        </w:rPr>
        <w:br/>
        <w:t>TRANSFER PRICING DOCUMENTATION AND COMPLIANCE</w:t>
        <w:br/>
        <w:br/>
        <w:t>Discuss transfer pricing documentation requirements under BEPS Action 13, including:</w:t>
        <w:br/>
        <w:t>(a) The three-tiered approach to transfer pricing documentation:</w:t>
        <w:br/>
        <w:t xml:space="preserve">    (i)   Master File requirements</w:t>
        <w:br/>
        <w:t xml:space="preserve">    (ii)  Local File requirements</w:t>
        <w:br/>
        <w:t xml:space="preserve">    (iii) Country-by-Country Reporting requirements</w:t>
        <w:br/>
        <w:t xml:space="preserve">    (8 marks)</w:t>
        <w:br/>
        <w:br/>
        <w:t>(b) Best practices for preparation of transfer pricing documentation, including:</w:t>
        <w:br/>
        <w:t xml:space="preserve">    (i)   Benchmarking and comparables analysis</w:t>
        <w:br/>
        <w:t xml:space="preserve">    (ii)  Functional analysis and FAR analysis</w:t>
        <w:br/>
        <w:t xml:space="preserve">    (iii) Supporting contemporaneous documentation</w:t>
        <w:br/>
        <w:t xml:space="preserve">    (7 marks)</w:t>
        <w:br/>
      </w:r>
    </w:p>
    <w:p/>
    <w:p>
      <w:pPr>
        <w:pStyle w:val="Heading2"/>
      </w:pPr>
      <w:r>
        <w:t>QUESTION 9</w:t>
      </w:r>
    </w:p>
    <w:p>
      <w:r>
        <w:rPr>
          <w:b w:val="0"/>
          <w:i w:val="0"/>
          <w:sz w:val="22"/>
        </w:rPr>
        <w:br/>
        <w:t>TRANSFER PRICING AND TAX TREATIES</w:t>
        <w:br/>
        <w:br/>
        <w:t>Discuss the interaction between transfer pricing and tax treaties, addressing:</w:t>
        <w:br/>
        <w:t>(a) Key articles in the OECD Model Tax Convention relevant to transfer pricing:</w:t>
        <w:br/>
        <w:t xml:space="preserve">    (i)   Associated Enterprises (Article 9)</w:t>
        <w:br/>
        <w:t xml:space="preserve">    (ii)  Non-Discrimination (Article 24)</w:t>
        <w:br/>
        <w:t xml:space="preserve">    (iii) Mutual Agreement Procedure (Article 25)</w:t>
        <w:br/>
        <w:t xml:space="preserve">    (8 marks)</w:t>
        <w:br/>
        <w:br/>
        <w:t>(b) How a tax treaty can:</w:t>
        <w:br/>
        <w:t xml:space="preserve">    (i)   Provide protection against double taxation</w:t>
        <w:br/>
        <w:t xml:space="preserve">    (ii)  Facilitate Mutual Agreement Procedures</w:t>
        <w:br/>
        <w:t xml:space="preserve">    (iii) Influence transfer pricing methodology selection</w:t>
        <w:br/>
        <w:t xml:space="preserve">    (7 marks)</w:t>
        <w:br/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