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Tax and fiscal regimes Indirect taxes including VAT and qualifying for exemptions</w:t>
      </w:r>
    </w:p>
    <w:p>
      <w:pPr>
        <w:pStyle w:val="Heading1"/>
      </w:pPr>
      <w:r>
        <w:t>Indirect Taxes Including VAT and Qualifying for Exemptions</w:t>
      </w:r>
    </w:p>
    <w:p>
      <w:pPr>
        <w:spacing w:before="120" w:after="120"/>
        <w:pBdr>
          <w:bottom w:val="single" w:sz="6" w:space="1" w:color="auto"/>
        </w:pBdr>
      </w:pPr>
    </w:p>
    <w:p>
      <w:pPr>
        <w:pStyle w:val="Heading2"/>
      </w:pPr>
      <w:r>
        <w:t>1. Core Framework and VAT/GST Principles</w:t>
      </w:r>
    </w:p>
    <w:p>
      <w:pPr>
        <w:pStyle w:val="Heading3"/>
      </w:pPr>
      <w:r>
        <w:t>1.1 Introduction to Value Added Tax (VAT)</w:t>
      </w:r>
    </w:p>
    <w:p>
      <w:r>
        <w:t>Value Added Tax (VAT) is a consumption tax levied at each stage of the supply chain, with businesses collecting tax on sales and recovering tax on purchases. In the energy resources sector, VAT treatment is complex due to:</w:t>
      </w:r>
    </w:p>
    <w:p>
      <w:pPr>
        <w:pStyle w:val="ListBullet"/>
      </w:pPr>
      <w:r>
        <w:rPr>
          <w:b/>
        </w:rPr>
        <w:t>Cross-border transactions</w:t>
      </w:r>
      <w:r>
        <w:t xml:space="preserve"> between multiple jurisdictions</w:t>
      </w:r>
    </w:p>
    <w:p>
      <w:pPr>
        <w:pStyle w:val="ListBullet"/>
      </w:pPr>
      <w:r>
        <w:rPr>
          <w:b/>
        </w:rPr>
        <w:t>International services</w:t>
      </w:r>
      <w:r>
        <w:t xml:space="preserve"> for offshore exploration and production</w:t>
      </w:r>
    </w:p>
    <w:p>
      <w:pPr>
        <w:pStyle w:val="ListBullet"/>
      </w:pPr>
      <w:r>
        <w:rPr>
          <w:b/>
        </w:rPr>
        <w:t>High capital expenditure</w:t>
      </w:r>
      <w:r>
        <w:t xml:space="preserve"> requiring substantial input tax recovery</w:t>
      </w:r>
    </w:p>
    <w:p>
      <w:pPr>
        <w:pStyle w:val="ListBullet"/>
      </w:pPr>
      <w:r>
        <w:rPr>
          <w:b/>
        </w:rPr>
        <w:t>Mixed supply chains</w:t>
      </w:r>
      <w:r>
        <w:t xml:space="preserve"> combining taxable, exempt, and zero-rated activities</w:t>
      </w:r>
    </w:p>
    <w:p>
      <w:pPr>
        <w:pStyle w:val="ListBullet"/>
      </w:pPr>
      <w:r>
        <w:rPr>
          <w:b/>
        </w:rPr>
        <w:t>Place of supply rules</w:t>
      </w:r>
      <w:r>
        <w:t xml:space="preserve"> determining taxation jurisdiction</w:t>
      </w:r>
    </w:p>
    <w:p>
      <w:r>
        <w:rPr>
          <w:b/>
        </w:rPr>
        <w:t>Fundamental VAT Principles:</w:t>
      </w:r>
    </w:p>
    <w:p>
      <w:pPr>
        <w:pStyle w:val="ListNumber"/>
      </w:pPr>
      <w:r>
        <w:rPr>
          <w:b/>
        </w:rPr>
        <w:t>Tax Neutrality</w:t>
      </w:r>
      <w:r>
        <w:t>: Businesses should not bear VAT costs; it is a tax on final consumption</w:t>
      </w:r>
    </w:p>
    <w:p>
      <w:pPr>
        <w:pStyle w:val="ListNumber"/>
      </w:pPr>
      <w:r>
        <w:rPr>
          <w:b/>
        </w:rPr>
        <w:t>Fractional Collection</w:t>
      </w:r>
      <w:r>
        <w:t>: Tax collected at each stage, preventing evasion</w:t>
      </w:r>
    </w:p>
    <w:p>
      <w:pPr>
        <w:pStyle w:val="ListNumber"/>
      </w:pPr>
      <w:r>
        <w:rPr>
          <w:b/>
        </w:rPr>
        <w:t>Destination Principle</w:t>
      </w:r>
      <w:r>
        <w:t>: Taxation occurs where consumption takes place</w:t>
      </w:r>
    </w:p>
    <w:p>
      <w:pPr>
        <w:pStyle w:val="ListNumber"/>
      </w:pPr>
      <w:r>
        <w:rPr>
          <w:b/>
        </w:rPr>
        <w:t>Deduction Right</w:t>
      </w:r>
      <w:r>
        <w:t>: Input VAT recoverable on costs related to taxable supplies</w:t>
      </w:r>
    </w:p>
    <w:p>
      <w:pPr>
        <w:pStyle w:val="Heading3"/>
      </w:pPr>
      <w:r>
        <w:t>1.2 Statutory Framework</w:t>
      </w:r>
    </w:p>
    <w:p>
      <w:pPr>
        <w:pStyle w:val="Heading4"/>
      </w:pPr>
      <w:r>
        <w:t>1.2.1 Key Legislation</w:t>
      </w:r>
    </w:p>
    <w:p>
      <w:r>
        <w:rPr>
          <w:b/>
        </w:rPr>
        <w:t>European Union:</w:t>
      </w:r>
    </w:p>
    <w:p>
      <w:pPr>
        <w:pStyle w:val="ListBullet"/>
      </w:pPr>
      <w:r>
        <w:rPr>
          <w:b/>
        </w:rPr>
        <w:t>EU VAT Directive 2006/112/EC</w:t>
      </w:r>
      <w:r>
        <w:t xml:space="preserve"> (Principal VAT Directive - consolidated)</w:t>
      </w:r>
    </w:p>
    <w:p>
      <w:pPr>
        <w:pStyle w:val="ListBullet"/>
      </w:pPr>
      <w:r>
        <w:rPr>
          <w:b/>
        </w:rPr>
        <w:t>Council Implementing Regulation (EU) No 282/2011</w:t>
      </w:r>
      <w:r>
        <w:t xml:space="preserve"> (place of supply rules)</w:t>
      </w:r>
    </w:p>
    <w:p>
      <w:pPr>
        <w:pStyle w:val="ListBullet"/>
      </w:pPr>
      <w:r>
        <w:rPr>
          <w:b/>
        </w:rPr>
        <w:t>Directive 2008/9/EC</w:t>
      </w:r>
      <w:r>
        <w:t xml:space="preserve"> (VAT refunds for non-established businesses)</w:t>
      </w:r>
    </w:p>
    <w:p>
      <w:pPr>
        <w:pStyle w:val="ListBullet"/>
      </w:pPr>
      <w:r>
        <w:rPr>
          <w:b/>
        </w:rPr>
        <w:t>VAT Package 2010</w:t>
      </w:r>
      <w:r>
        <w:t xml:space="preserve"> (place of supply of services reform)</w:t>
      </w:r>
    </w:p>
    <w:p>
      <w:r>
        <w:rPr>
          <w:b/>
        </w:rPr>
        <w:t>United Kingdom (Post-Brexit):</w:t>
      </w:r>
    </w:p>
    <w:p>
      <w:pPr>
        <w:pStyle w:val="ListBullet"/>
      </w:pPr>
      <w:r>
        <w:rPr>
          <w:b/>
        </w:rPr>
        <w:t>Value Added Tax Act 1994</w:t>
      </w:r>
      <w:r>
        <w:t xml:space="preserve"> (VATA 1994)</w:t>
      </w:r>
    </w:p>
    <w:p>
      <w:pPr>
        <w:pStyle w:val="ListBullet"/>
      </w:pPr>
      <w:r>
        <w:rPr>
          <w:b/>
        </w:rPr>
        <w:t>VAT Regulations 1995</w:t>
      </w:r>
      <w:r>
        <w:t xml:space="preserve"> (SI 1995/2518)</w:t>
      </w:r>
    </w:p>
    <w:p>
      <w:pPr>
        <w:pStyle w:val="ListBullet"/>
      </w:pPr>
      <w:r>
        <w:rPr>
          <w:b/>
        </w:rPr>
        <w:t>HMRC VAT Notices</w:t>
      </w:r>
      <w:r>
        <w:t xml:space="preserve"> (particularly Notice 700, 741A - Place of supply, 742 - Land and property)</w:t>
      </w:r>
    </w:p>
    <w:p>
      <w:pPr>
        <w:pStyle w:val="ListBullet"/>
      </w:pPr>
      <w:r>
        <w:rPr>
          <w:b/>
        </w:rPr>
        <w:t>Finance Act 2023</w:t>
      </w:r>
      <w:r>
        <w:t xml:space="preserve">, </w:t>
      </w:r>
      <w:r>
        <w:rPr>
          <w:b/>
        </w:rPr>
        <w:t>Finance Act 2024</w:t>
      </w:r>
      <w:r>
        <w:t xml:space="preserve">, </w:t>
      </w:r>
      <w:r>
        <w:rPr>
          <w:b/>
        </w:rPr>
        <w:t>Finance Act 2025</w:t>
      </w:r>
      <w:r>
        <w:t xml:space="preserve"> (annual amendments)</w:t>
      </w:r>
    </w:p>
    <w:p>
      <w:r>
        <w:rPr>
          <w:b/>
        </w:rPr>
        <w:t>Other Jurisdictions:</w:t>
      </w:r>
    </w:p>
    <w:p>
      <w:pPr>
        <w:pStyle w:val="ListBullet"/>
      </w:pPr>
      <w:r>
        <w:rPr>
          <w:b/>
        </w:rPr>
        <w:t>Norway</w:t>
      </w:r>
      <w:r>
        <w:t>: VAT Act 2009 (25% standard rate, 0% petroleum exploration services)</w:t>
      </w:r>
    </w:p>
    <w:p>
      <w:pPr>
        <w:pStyle w:val="ListBullet"/>
      </w:pPr>
      <w:r>
        <w:rPr>
          <w:b/>
        </w:rPr>
        <w:t>Australia</w:t>
      </w:r>
      <w:r>
        <w:t>: GST Act 1999 (10% GST with mineral exploration exemptions)</w:t>
      </w:r>
    </w:p>
    <w:p>
      <w:pPr>
        <w:pStyle w:val="ListBullet"/>
      </w:pPr>
      <w:r>
        <w:rPr>
          <w:b/>
        </w:rPr>
        <w:t>UAE</w:t>
      </w:r>
      <w:r>
        <w:t>: Federal Decree-Law No. 8 of 2017 (5% VAT, 0% for oil and gas exports)</w:t>
      </w:r>
    </w:p>
    <w:p>
      <w:pPr>
        <w:pStyle w:val="ListBullet"/>
      </w:pPr>
      <w:r>
        <w:rPr>
          <w:b/>
        </w:rPr>
        <w:t>Saudi Arabia</w:t>
      </w:r>
      <w:r>
        <w:t>: VAT Implementing Regulations 2017 (15% from July 2020)</w:t>
      </w:r>
    </w:p>
    <w:p>
      <w:r>
        <w:rPr>
          <w:b/>
        </w:rPr>
        <w:t>Standard VAT/GST Rates (2024-2025):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Jurisdiction</w:t>
            </w:r>
          </w:p>
        </w:tc>
        <w:tc>
          <w:tcPr>
            <w:tcW w:type="dxa" w:w="2160"/>
          </w:tcPr>
          <w:p>
            <w:r>
              <w:rPr>
                <w:b/>
              </w:rPr>
            </w:r>
            <w:r>
              <w:rPr>
                <w:b/>
              </w:rPr>
              <w:t>Standard Rate</w:t>
            </w:r>
          </w:p>
        </w:tc>
        <w:tc>
          <w:tcPr>
            <w:tcW w:type="dxa" w:w="2160"/>
          </w:tcPr>
          <w:p>
            <w:r>
              <w:rPr>
                <w:b/>
              </w:rPr>
            </w:r>
            <w:r>
              <w:rPr>
                <w:b/>
              </w:rPr>
              <w:t>Reduced Rate</w:t>
            </w:r>
          </w:p>
        </w:tc>
        <w:tc>
          <w:tcPr>
            <w:tcW w:type="dxa" w:w="2160"/>
          </w:tcPr>
          <w:p>
            <w:r>
              <w:rPr>
                <w:b/>
              </w:rPr>
            </w:r>
            <w:r>
              <w:rPr>
                <w:b/>
              </w:rPr>
              <w:t>Energy Sector Specifics</w:t>
            </w:r>
          </w:p>
        </w:tc>
      </w:tr>
      <w:tr>
        <w:tc>
          <w:tcPr>
            <w:tcW w:type="dxa" w:w="2160"/>
          </w:tcPr>
          <w:p>
            <w:r/>
            <w:r>
              <w:t>UK</w:t>
            </w:r>
          </w:p>
        </w:tc>
        <w:tc>
          <w:tcPr>
            <w:tcW w:type="dxa" w:w="2160"/>
          </w:tcPr>
          <w:p>
            <w:r/>
            <w:r>
              <w:t>20%</w:t>
            </w:r>
          </w:p>
        </w:tc>
        <w:tc>
          <w:tcPr>
            <w:tcW w:type="dxa" w:w="2160"/>
          </w:tcPr>
          <w:p>
            <w:r/>
            <w:r>
              <w:t>5%/0%</w:t>
            </w:r>
          </w:p>
        </w:tc>
        <w:tc>
          <w:tcPr>
            <w:tcW w:type="dxa" w:w="2160"/>
          </w:tcPr>
          <w:p>
            <w:r/>
            <w:r>
              <w:t>0% certain petroleum services</w:t>
            </w:r>
          </w:p>
        </w:tc>
      </w:tr>
      <w:tr>
        <w:tc>
          <w:tcPr>
            <w:tcW w:type="dxa" w:w="2160"/>
          </w:tcPr>
          <w:p>
            <w:r/>
            <w:r>
              <w:t>Norway</w:t>
            </w:r>
          </w:p>
        </w:tc>
        <w:tc>
          <w:tcPr>
            <w:tcW w:type="dxa" w:w="2160"/>
          </w:tcPr>
          <w:p>
            <w:r/>
            <w:r>
              <w:t>25%</w:t>
            </w:r>
          </w:p>
        </w:tc>
        <w:tc>
          <w:tcPr>
            <w:tcW w:type="dxa" w:w="2160"/>
          </w:tcPr>
          <w:p>
            <w:r/>
            <w:r>
              <w:t>15%/12%</w:t>
            </w:r>
          </w:p>
        </w:tc>
        <w:tc>
          <w:tcPr>
            <w:tcW w:type="dxa" w:w="2160"/>
          </w:tcPr>
          <w:p>
            <w:r/>
            <w:r>
              <w:t>0% offshore petroleum activities</w:t>
            </w:r>
          </w:p>
        </w:tc>
      </w:tr>
      <w:tr>
        <w:tc>
          <w:tcPr>
            <w:tcW w:type="dxa" w:w="2160"/>
          </w:tcPr>
          <w:p>
            <w:r/>
            <w:r>
              <w:t>EU (average)</w:t>
            </w:r>
          </w:p>
        </w:tc>
        <w:tc>
          <w:tcPr>
            <w:tcW w:type="dxa" w:w="2160"/>
          </w:tcPr>
          <w:p>
            <w:r/>
            <w:r>
              <w:t>21%</w:t>
            </w:r>
          </w:p>
        </w:tc>
        <w:tc>
          <w:tcPr>
            <w:tcW w:type="dxa" w:w="2160"/>
          </w:tcPr>
          <w:p>
            <w:r/>
            <w:r>
              <w:t>5-13%</w:t>
            </w:r>
          </w:p>
        </w:tc>
        <w:tc>
          <w:tcPr>
            <w:tcW w:type="dxa" w:w="2160"/>
          </w:tcPr>
          <w:p>
            <w:r/>
            <w:r>
              <w:t>Varies by member state</w:t>
            </w:r>
          </w:p>
        </w:tc>
      </w:tr>
      <w:tr>
        <w:tc>
          <w:tcPr>
            <w:tcW w:type="dxa" w:w="2160"/>
          </w:tcPr>
          <w:p>
            <w:r/>
            <w:r>
              <w:t>UAE</w:t>
            </w:r>
          </w:p>
        </w:tc>
        <w:tc>
          <w:tcPr>
            <w:tcW w:type="dxa" w:w="2160"/>
          </w:tcPr>
          <w:p>
            <w:r/>
            <w:r>
              <w:t>5%</w:t>
            </w:r>
          </w:p>
        </w:tc>
        <w:tc>
          <w:tcPr>
            <w:tcW w:type="dxa" w:w="2160"/>
          </w:tcPr>
          <w:p>
            <w:r/>
            <w:r>
              <w:t>0%</w:t>
            </w:r>
          </w:p>
        </w:tc>
        <w:tc>
          <w:tcPr>
            <w:tcW w:type="dxa" w:w="2160"/>
          </w:tcPr>
          <w:p>
            <w:r/>
            <w:r>
              <w:t>0% oil/gas exports</w:t>
            </w:r>
          </w:p>
        </w:tc>
      </w:tr>
      <w:tr>
        <w:tc>
          <w:tcPr>
            <w:tcW w:type="dxa" w:w="2160"/>
          </w:tcPr>
          <w:p>
            <w:r/>
            <w:r>
              <w:t>Saudi Arabia</w:t>
            </w:r>
          </w:p>
        </w:tc>
        <w:tc>
          <w:tcPr>
            <w:tcW w:type="dxa" w:w="2160"/>
          </w:tcPr>
          <w:p>
            <w:r/>
            <w:r>
              <w:t>15%</w:t>
            </w:r>
          </w:p>
        </w:tc>
        <w:tc>
          <w:tcPr>
            <w:tcW w:type="dxa" w:w="2160"/>
          </w:tcPr>
          <w:p>
            <w:r/>
            <w:r>
              <w:t>-</w:t>
            </w:r>
          </w:p>
        </w:tc>
        <w:tc>
          <w:tcPr>
            <w:tcW w:type="dxa" w:w="2160"/>
          </w:tcPr>
          <w:p>
            <w:r/>
            <w:r>
              <w:t>0% international transport</w:t>
            </w:r>
          </w:p>
        </w:tc>
      </w:tr>
      <w:tr>
        <w:tc>
          <w:tcPr>
            <w:tcW w:type="dxa" w:w="2160"/>
          </w:tcPr>
          <w:p>
            <w:r/>
            <w:r>
              <w:t>Australia</w:t>
            </w:r>
          </w:p>
        </w:tc>
        <w:tc>
          <w:tcPr>
            <w:tcW w:type="dxa" w:w="2160"/>
          </w:tcPr>
          <w:p>
            <w:r/>
            <w:r>
              <w:t>10%</w:t>
            </w:r>
          </w:p>
        </w:tc>
        <w:tc>
          <w:tcPr>
            <w:tcW w:type="dxa" w:w="2160"/>
          </w:tcPr>
          <w:p>
            <w:r/>
            <w:r>
              <w:t>GST-free categories</w:t>
            </w:r>
          </w:p>
        </w:tc>
        <w:tc>
          <w:tcPr>
            <w:tcW w:type="dxa" w:w="2160"/>
          </w:tcPr>
          <w:p>
            <w:r/>
            <w:r>
              <w:t>GST-free certain mining</w:t>
            </w:r>
          </w:p>
        </w:tc>
      </w:tr>
    </w:tbl>
    <w:p/>
    <w:p>
      <w:pPr>
        <w:pStyle w:val="Heading3"/>
      </w:pPr>
      <w:r>
        <w:t>1.3 Zero-Rating vs. Exemption: Critical Distinction</w:t>
      </w:r>
    </w:p>
    <w:p>
      <w:pPr>
        <w:pStyle w:val="Heading4"/>
      </w:pPr>
      <w:r>
        <w:t>1.3.1 Zero-Rating (0% Rate)</w:t>
      </w:r>
    </w:p>
    <w:p>
      <w:r>
        <w:rPr>
          <w:b/>
        </w:rPr>
        <w:t>Definition</w:t>
      </w:r>
      <w:r>
        <w:t xml:space="preserve">: Supplies taxed at 0%, </w:t>
      </w:r>
      <w:r>
        <w:rPr>
          <w:b/>
        </w:rPr>
        <w:t>allowing full input VAT recovery</w:t>
      </w:r>
      <w:r>
        <w:t>.</w:t>
      </w:r>
    </w:p>
    <w:p>
      <w:r>
        <w:rPr>
          <w:b/>
        </w:rPr>
        <w:t>Energy Sector Zero-Rated Supplies:</w:t>
      </w:r>
    </w:p>
    <w:p>
      <w:pPr>
        <w:pStyle w:val="ListBullet"/>
      </w:pPr>
      <w:r>
        <w:t>Exports of goods (oil, gas, refined products) outside VAT territory</w:t>
      </w:r>
    </w:p>
    <w:p>
      <w:pPr>
        <w:pStyle w:val="ListBullet"/>
      </w:pPr>
      <w:r>
        <w:t>International transport of goods and passengers</w:t>
      </w:r>
    </w:p>
    <w:p>
      <w:pPr>
        <w:pStyle w:val="ListBullet"/>
      </w:pPr>
      <w:r>
        <w:t>Supplies to ships and aircraft used in international traffic</w:t>
      </w:r>
    </w:p>
    <w:p>
      <w:pPr>
        <w:pStyle w:val="ListBullet"/>
      </w:pPr>
      <w:r>
        <w:t>Certain offshore petroleum services (UK, Norway)</w:t>
      </w:r>
    </w:p>
    <w:p>
      <w:pPr>
        <w:pStyle w:val="ListBullet"/>
      </w:pPr>
      <w:r>
        <w:t>Exploration and evaluation services (specific jurisdictions)</w:t>
      </w:r>
    </w:p>
    <w:p>
      <w:r>
        <w:rPr>
          <w:b/>
        </w:rPr>
        <w:t>VAT Treatment:</w:t>
      </w:r>
    </w:p>
    <w:p>
      <w:pPr>
        <w:shd w:fill="F0F0F0"/>
        <w:spacing w:after="0" w:line="240" w:lineRule="auto"/>
      </w:pPr>
      <w:r>
        <w:rPr>
          <w:rFonts w:ascii="Courier New" w:hAnsi="Courier New"/>
          <w:sz w:val="20"/>
        </w:rPr>
        <w:t>Output VAT: Sales × 0% = £0</w:t>
      </w:r>
    </w:p>
    <w:p>
      <w:pPr>
        <w:shd w:fill="F0F0F0"/>
        <w:spacing w:after="0" w:line="240" w:lineRule="auto"/>
      </w:pPr>
      <w:r>
        <w:rPr>
          <w:rFonts w:ascii="Courier New" w:hAnsi="Courier New"/>
          <w:sz w:val="20"/>
        </w:rPr>
        <w:t>Input VAT: Fully recoverable</w:t>
      </w:r>
    </w:p>
    <w:p>
      <w:pPr>
        <w:shd w:fill="F0F0F0"/>
        <w:spacing w:after="0" w:line="240" w:lineRule="auto"/>
      </w:pPr>
      <w:r>
        <w:rPr>
          <w:rFonts w:ascii="Courier New" w:hAnsi="Courier New"/>
          <w:sz w:val="20"/>
        </w:rPr>
        <w:t>Net Position: VAT refund from tax authority</w:t>
      </w:r>
    </w:p>
    <w:p/>
    <w:p>
      <w:pPr>
        <w:pStyle w:val="Heading4"/>
      </w:pPr>
      <w:r>
        <w:t>1.3.2 Exemption (No VAT Charged)</w:t>
      </w:r>
    </w:p>
    <w:p>
      <w:r>
        <w:rPr>
          <w:b/>
        </w:rPr>
        <w:t>Definition</w:t>
      </w:r>
      <w:r>
        <w:t xml:space="preserve">: Supplies outside VAT scope, </w:t>
      </w:r>
      <w:r>
        <w:rPr>
          <w:b/>
        </w:rPr>
        <w:t>with NO input VAT recovery</w:t>
      </w:r>
      <w:r>
        <w:t>.</w:t>
      </w:r>
    </w:p>
    <w:p>
      <w:r>
        <w:rPr>
          <w:b/>
        </w:rPr>
        <w:t>Energy Sector Exempt Supplies:</w:t>
      </w:r>
    </w:p>
    <w:p>
      <w:pPr>
        <w:pStyle w:val="ListBullet"/>
      </w:pPr>
      <w:r>
        <w:t>Insurance services (typically exempt unless qualifying for Article 135)</w:t>
      </w:r>
    </w:p>
    <w:p>
      <w:pPr>
        <w:pStyle w:val="ListBullet"/>
      </w:pPr>
      <w:r>
        <w:t>Certain financial services (loan arrangement fees, letters of credit)</w:t>
      </w:r>
    </w:p>
    <w:p>
      <w:pPr>
        <w:pStyle w:val="ListBullet"/>
      </w:pPr>
      <w:r>
        <w:t>Land transactions (subject to option to tax provisions)</w:t>
      </w:r>
    </w:p>
    <w:p>
      <w:pPr>
        <w:pStyle w:val="ListBullet"/>
      </w:pPr>
      <w:r>
        <w:t>Educational and training services (limited exemptions)</w:t>
      </w:r>
    </w:p>
    <w:p>
      <w:r>
        <w:rPr>
          <w:b/>
        </w:rPr>
        <w:t>VAT Treatment:</w:t>
      </w:r>
    </w:p>
    <w:p>
      <w:pPr>
        <w:shd w:fill="F0F0F0"/>
        <w:spacing w:after="0" w:line="240" w:lineRule="auto"/>
      </w:pPr>
      <w:r>
        <w:rPr>
          <w:rFonts w:ascii="Courier New" w:hAnsi="Courier New"/>
          <w:sz w:val="20"/>
        </w:rPr>
        <w:t>Output VAT: £0 (not charged)</w:t>
      </w:r>
    </w:p>
    <w:p>
      <w:pPr>
        <w:shd w:fill="F0F0F0"/>
        <w:spacing w:after="0" w:line="240" w:lineRule="auto"/>
      </w:pPr>
      <w:r>
        <w:rPr>
          <w:rFonts w:ascii="Courier New" w:hAnsi="Courier New"/>
          <w:sz w:val="20"/>
        </w:rPr>
        <w:t>Input VAT: Not recoverable (becomes a cost)</w:t>
      </w:r>
    </w:p>
    <w:p>
      <w:pPr>
        <w:shd w:fill="F0F0F0"/>
        <w:spacing w:after="0" w:line="240" w:lineRule="auto"/>
      </w:pPr>
      <w:r>
        <w:rPr>
          <w:rFonts w:ascii="Courier New" w:hAnsi="Courier New"/>
          <w:sz w:val="20"/>
        </w:rPr>
        <w:t>Net Position: VAT is an irrecoverable cost</w:t>
      </w:r>
    </w:p>
    <w:p/>
    <w:p>
      <w:pPr>
        <w:pStyle w:val="Heading4"/>
      </w:pPr>
      <w:r>
        <w:t>1.3.3 Comparison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Zero-Rated</w:t>
            </w:r>
          </w:p>
        </w:tc>
        <w:tc>
          <w:tcPr>
            <w:tcW w:type="dxa" w:w="2880"/>
          </w:tcPr>
          <w:p>
            <w:r>
              <w:rPr>
                <w:b/>
              </w:rPr>
            </w:r>
            <w:r>
              <w:rPr>
                <w:b/>
              </w:rPr>
              <w:t>Exempt</w:t>
            </w:r>
          </w:p>
        </w:tc>
      </w:tr>
      <w:tr>
        <w:tc>
          <w:tcPr>
            <w:tcW w:type="dxa" w:w="2880"/>
          </w:tcPr>
          <w:p>
            <w:r/>
            <w:r>
              <w:rPr>
                <w:b/>
              </w:rPr>
              <w:t>Output VAT</w:t>
            </w:r>
          </w:p>
        </w:tc>
        <w:tc>
          <w:tcPr>
            <w:tcW w:type="dxa" w:w="2880"/>
          </w:tcPr>
          <w:p>
            <w:r/>
            <w:r>
              <w:t>0% (charged on invoice)</w:t>
            </w:r>
          </w:p>
        </w:tc>
        <w:tc>
          <w:tcPr>
            <w:tcW w:type="dxa" w:w="2880"/>
          </w:tcPr>
          <w:p>
            <w:r/>
            <w:r>
              <w:t>Not charged</w:t>
            </w:r>
          </w:p>
        </w:tc>
      </w:tr>
      <w:tr>
        <w:tc>
          <w:tcPr>
            <w:tcW w:type="dxa" w:w="2880"/>
          </w:tcPr>
          <w:p>
            <w:r/>
            <w:r>
              <w:rPr>
                <w:b/>
              </w:rPr>
              <w:t>Input VAT Recovery</w:t>
            </w:r>
          </w:p>
        </w:tc>
        <w:tc>
          <w:tcPr>
            <w:tcW w:type="dxa" w:w="2880"/>
          </w:tcPr>
          <w:p>
            <w:r/>
            <w:r>
              <w:t>Full recovery</w:t>
            </w:r>
          </w:p>
        </w:tc>
        <w:tc>
          <w:tcPr>
            <w:tcW w:type="dxa" w:w="2880"/>
          </w:tcPr>
          <w:p>
            <w:r/>
            <w:r>
              <w:t>No recovery</w:t>
            </w:r>
          </w:p>
        </w:tc>
      </w:tr>
      <w:tr>
        <w:tc>
          <w:tcPr>
            <w:tcW w:type="dxa" w:w="2880"/>
          </w:tcPr>
          <w:p>
            <w:r/>
            <w:r>
              <w:rPr>
                <w:b/>
              </w:rPr>
              <w:t>Registration Impact</w:t>
            </w:r>
          </w:p>
        </w:tc>
        <w:tc>
          <w:tcPr>
            <w:tcW w:type="dxa" w:w="2880"/>
          </w:tcPr>
          <w:p>
            <w:r/>
            <w:r>
              <w:t>Counts toward threshold</w:t>
            </w:r>
          </w:p>
        </w:tc>
        <w:tc>
          <w:tcPr>
            <w:tcW w:type="dxa" w:w="2880"/>
          </w:tcPr>
          <w:p>
            <w:r/>
            <w:r>
              <w:t>Does not count</w:t>
            </w:r>
          </w:p>
        </w:tc>
      </w:tr>
      <w:tr>
        <w:tc>
          <w:tcPr>
            <w:tcW w:type="dxa" w:w="2880"/>
          </w:tcPr>
          <w:p>
            <w:r/>
            <w:r>
              <w:rPr>
                <w:b/>
              </w:rPr>
              <w:t>Cost to Business</w:t>
            </w:r>
          </w:p>
        </w:tc>
        <w:tc>
          <w:tcPr>
            <w:tcW w:type="dxa" w:w="2880"/>
          </w:tcPr>
          <w:p>
            <w:r/>
            <w:r>
              <w:t>None (neutral)</w:t>
            </w:r>
          </w:p>
        </w:tc>
        <w:tc>
          <w:tcPr>
            <w:tcW w:type="dxa" w:w="2880"/>
          </w:tcPr>
          <w:p>
            <w:r/>
            <w:r>
              <w:t>Input VAT is cost</w:t>
            </w:r>
          </w:p>
        </w:tc>
      </w:tr>
      <w:tr>
        <w:tc>
          <w:tcPr>
            <w:tcW w:type="dxa" w:w="2880"/>
          </w:tcPr>
          <w:p>
            <w:r/>
            <w:r>
              <w:rPr>
                <w:b/>
              </w:rPr>
              <w:t>Examples (Energy)</w:t>
            </w:r>
          </w:p>
        </w:tc>
        <w:tc>
          <w:tcPr>
            <w:tcW w:type="dxa" w:w="2880"/>
          </w:tcPr>
          <w:p>
            <w:r/>
            <w:r>
              <w:t>Exports, international services</w:t>
            </w:r>
          </w:p>
        </w:tc>
        <w:tc>
          <w:tcPr>
            <w:tcW w:type="dxa" w:w="2880"/>
          </w:tcPr>
          <w:p>
            <w:r/>
            <w:r>
              <w:t>Insurance, finance</w:t>
            </w:r>
          </w:p>
        </w:tc>
      </w:tr>
    </w:tbl>
    <w:p/>
    <w:p>
      <w:pPr>
        <w:pStyle w:val="Heading3"/>
      </w:pPr>
      <w:r>
        <w:t>1.4 Place of Supply Rules for Energy Sector</w:t>
      </w:r>
    </w:p>
    <w:p>
      <w:pPr>
        <w:pStyle w:val="Heading4"/>
      </w:pPr>
      <w:r>
        <w:t>1.4.1 Goods Supply Rules</w:t>
      </w:r>
    </w:p>
    <w:p>
      <w:r>
        <w:rPr>
          <w:b/>
        </w:rPr>
        <w:t>General Rule</w:t>
      </w:r>
      <w:r>
        <w:t>: Goods supplied where located when supply takes place.</w:t>
      </w:r>
    </w:p>
    <w:p>
      <w:r>
        <w:rPr>
          <w:b/>
        </w:rPr>
        <w:t>Energy Sector Applications:</w:t>
      </w:r>
    </w:p>
    <w:p>
      <w:pPr>
        <w:pStyle w:val="ListBullet"/>
      </w:pPr>
      <w:r>
        <w:rPr>
          <w:b/>
        </w:rPr>
        <w:t>Crude oil/gas sales</w:t>
      </w:r>
      <w:r>
        <w:t>: Place of extraction typically determines supply location</w:t>
      </w:r>
    </w:p>
    <w:p>
      <w:pPr>
        <w:pStyle w:val="ListBullet"/>
      </w:pPr>
      <w:r>
        <w:rPr>
          <w:b/>
        </w:rPr>
        <w:t>Installation of equipment</w:t>
      </w:r>
      <w:r>
        <w:t>: Where physically installed (rig location)</w:t>
      </w:r>
    </w:p>
    <w:p>
      <w:pPr>
        <w:pStyle w:val="ListBullet"/>
      </w:pPr>
      <w:r>
        <w:rPr>
          <w:b/>
        </w:rPr>
        <w:t>Exports</w:t>
      </w:r>
      <w:r>
        <w:t>: Zero-rated when goods leave EU/UK VAT territory</w:t>
      </w:r>
    </w:p>
    <w:p>
      <w:pPr>
        <w:pStyle w:val="ListBullet"/>
      </w:pPr>
      <w:r>
        <w:rPr>
          <w:b/>
        </w:rPr>
        <w:t>Imports</w:t>
      </w:r>
      <w:r>
        <w:t>: Subject to import VAT or reverse charge (post-Brexit UK)</w:t>
      </w:r>
    </w:p>
    <w:p>
      <w:pPr>
        <w:pStyle w:val="Heading4"/>
      </w:pPr>
      <w:r>
        <w:t>1.4.2 Services Supply Rules (B2B)</w:t>
      </w:r>
    </w:p>
    <w:p>
      <w:r>
        <w:rPr>
          <w:b/>
        </w:rPr>
        <w:t>General Rule</w:t>
      </w:r>
      <w:r>
        <w:t xml:space="preserve"> (EU VAT Directive Art 44, UK VATA 1994 Schedule 4A): B2B services supplied where </w:t>
      </w:r>
      <w:r>
        <w:rPr>
          <w:b/>
        </w:rPr>
        <w:t>customer is established</w:t>
      </w:r>
      <w:r>
        <w:t xml:space="preserve"> (reverse charge applies).</w:t>
      </w:r>
    </w:p>
    <w:p>
      <w:r>
        <w:rPr>
          <w:b/>
        </w:rPr>
        <w:t>Key Energy Services:</w:t>
      </w:r>
    </w:p>
    <w:p>
      <w:pPr>
        <w:pStyle w:val="ListBullet"/>
      </w:pPr>
      <w:r>
        <w:t>Technical consultancy (geological, reservoir engineering): Customer location</w:t>
      </w:r>
    </w:p>
    <w:p>
      <w:pPr>
        <w:pStyle w:val="ListBullet"/>
      </w:pPr>
      <w:r>
        <w:t>Management services: Customer location</w:t>
      </w:r>
    </w:p>
    <w:p>
      <w:pPr>
        <w:pStyle w:val="ListBullet"/>
      </w:pPr>
      <w:r>
        <w:t>Drilling services: Depends on location and nature</w:t>
      </w:r>
    </w:p>
    <w:p>
      <w:pPr>
        <w:pStyle w:val="ListBullet"/>
      </w:pPr>
      <w:r>
        <w:t>Equipment leasing: Special rules for moveable property</w:t>
      </w:r>
    </w:p>
    <w:p>
      <w:r>
        <w:rPr>
          <w:b/>
        </w:rPr>
        <w:t>Exceptions to General Rule:</w:t>
      </w:r>
    </w:p>
    <w:p>
      <w:pPr>
        <w:pStyle w:val="ListNumber"/>
      </w:pPr>
      <w:r>
        <w:rPr>
          <w:b/>
        </w:rPr>
        <w:t>Services related to land</w:t>
      </w:r>
      <w:r>
        <w:t xml:space="preserve"> (Art 47): Where land is located</w:t>
      </w:r>
    </w:p>
    <w:p>
      <w:pPr>
        <w:pStyle w:val="ListBullet"/>
        <w:ind w:left="360"/>
      </w:pPr>
      <w:r>
        <w:t>Construction/installation of offshore platforms</w:t>
      </w:r>
    </w:p>
    <w:p>
      <w:pPr>
        <w:pStyle w:val="ListBullet"/>
        <w:ind w:left="360"/>
      </w:pPr>
      <w:r>
        <w:t>Leasing of fixed installations</w:t>
      </w:r>
    </w:p>
    <w:p>
      <w:pPr>
        <w:pStyle w:val="ListNumber"/>
      </w:pPr>
      <w:r>
        <w:rPr>
          <w:b/>
        </w:rPr>
        <w:t>Transportation services</w:t>
      </w:r>
      <w:r>
        <w:t xml:space="preserve"> (Art 48): Based on distances traveled</w:t>
      </w:r>
    </w:p>
    <w:p>
      <w:pPr>
        <w:pStyle w:val="ListBullet"/>
        <w:ind w:left="360"/>
      </w:pPr>
      <w:r>
        <w:t>Pipeline transportation: Apportioned by distance</w:t>
      </w:r>
    </w:p>
    <w:p>
      <w:pPr>
        <w:pStyle w:val="ListBullet"/>
        <w:ind w:left="360"/>
      </w:pPr>
      <w:r>
        <w:t>Tanker services: International zero-rated</w:t>
      </w:r>
    </w:p>
    <w:p>
      <w:pPr>
        <w:pStyle w:val="ListNumber"/>
      </w:pPr>
      <w:r>
        <w:rPr>
          <w:b/>
        </w:rPr>
        <w:t>Cultural, artistic, sporting, educational services</w:t>
      </w:r>
      <w:r>
        <w:t xml:space="preserve"> (Art 53): Where physically performed</w:t>
      </w:r>
    </w:p>
    <w:p>
      <w:pPr>
        <w:pStyle w:val="Heading4"/>
      </w:pPr>
      <w:r>
        <w:t>1.4.3 Services Supply Rules (B2C)</w:t>
      </w:r>
    </w:p>
    <w:p>
      <w:r>
        <w:rPr>
          <w:b/>
        </w:rPr>
        <w:t>General Rule</w:t>
      </w:r>
      <w:r>
        <w:t xml:space="preserve">: B2C services supplied where </w:t>
      </w:r>
      <w:r>
        <w:rPr>
          <w:b/>
        </w:rPr>
        <w:t>supplier is established</w:t>
      </w:r>
      <w:r>
        <w:t>.</w:t>
      </w:r>
    </w:p>
    <w:p>
      <w:r>
        <w:rPr>
          <w:b/>
        </w:rPr>
        <w:t>Exceptions for Energy:</w:t>
      </w:r>
    </w:p>
    <w:p>
      <w:pPr>
        <w:pStyle w:val="ListBullet"/>
      </w:pPr>
      <w:r>
        <w:t>Services related to land: Where land located (platform, onshore facilities)</w:t>
      </w:r>
    </w:p>
    <w:p>
      <w:pPr>
        <w:pStyle w:val="ListBullet"/>
      </w:pPr>
      <w:r>
        <w:t>Passenger transport: Distance traveled apportionment</w:t>
      </w:r>
    </w:p>
    <w:p>
      <w:pPr>
        <w:pStyle w:val="ListBullet"/>
      </w:pPr>
      <w:r>
        <w:t>Restaurant/catering services: Where physically performed</w:t>
      </w:r>
    </w:p>
    <w:p>
      <w:pPr>
        <w:spacing w:before="120" w:after="120"/>
        <w:pBdr>
          <w:bottom w:val="single" w:sz="6" w:space="1" w:color="auto"/>
        </w:pBdr>
      </w:pPr>
    </w:p>
    <w:p>
      <w:pPr>
        <w:pStyle w:val="Heading2"/>
      </w:pPr>
      <w:r>
        <w:t>2. Technical Rules for Energy Sector VAT Treatment</w:t>
      </w:r>
    </w:p>
    <w:p>
      <w:pPr>
        <w:pStyle w:val="Heading3"/>
      </w:pPr>
      <w:r>
        <w:t>2.1 Offshore Exploration and Production Activities</w:t>
      </w:r>
    </w:p>
    <w:p>
      <w:pPr>
        <w:pStyle w:val="Heading4"/>
      </w:pPr>
      <w:r>
        <w:t>2.1.1 UK Treatment - Designated Areas</w:t>
      </w:r>
    </w:p>
    <w:p>
      <w:r>
        <w:rPr>
          <w:b/>
        </w:rPr>
        <w:t>UK Designated Area</w:t>
      </w:r>
      <w:r>
        <w:t xml:space="preserve"> (extends beyond territorial waters to Continental Shelf):</w:t>
      </w:r>
    </w:p>
    <w:p>
      <w:pPr>
        <w:pStyle w:val="ListBullet"/>
      </w:pPr>
      <w:r>
        <w:t xml:space="preserve">Services supplied </w:t>
      </w:r>
      <w:r>
        <w:rPr>
          <w:b/>
        </w:rPr>
        <w:t>to petroleum exploration/production</w:t>
      </w:r>
      <w:r>
        <w:t xml:space="preserve"> are </w:t>
      </w:r>
      <w:r>
        <w:rPr>
          <w:b/>
        </w:rPr>
        <w:t>zero-rated</w:t>
      </w:r>
      <w:r>
        <w:t xml:space="preserve"> (VATA 1994 Group 8, Schedule 8)</w:t>
      </w:r>
    </w:p>
    <w:p>
      <w:pPr>
        <w:pStyle w:val="ListBullet"/>
      </w:pPr>
      <w:r>
        <w:t>Applies to: drilling, seismic surveys, well completion, diving services</w:t>
      </w:r>
    </w:p>
    <w:p>
      <w:pPr>
        <w:pStyle w:val="ListBullet"/>
      </w:pPr>
      <w:r>
        <w:t>Requires: Services rendered in designated area or directly connected</w:t>
      </w:r>
    </w:p>
    <w:p>
      <w:r>
        <w:rPr>
          <w:b/>
        </w:rPr>
        <w:t>Conditions for Zero-Rating:</w:t>
      </w:r>
    </w:p>
    <w:p>
      <w:pPr>
        <w:pStyle w:val="ListNumber"/>
      </w:pPr>
      <w:r>
        <w:t>Services supplied to person extracting petroleum</w:t>
      </w:r>
    </w:p>
    <w:p>
      <w:pPr>
        <w:pStyle w:val="ListNumber"/>
      </w:pPr>
      <w:r>
        <w:t>Services necessary for petroleum operations</w:t>
      </w:r>
    </w:p>
    <w:p>
      <w:pPr>
        <w:pStyle w:val="ListNumber"/>
      </w:pPr>
      <w:r>
        <w:t>Services physically performed in designated area or directly connected</w:t>
      </w:r>
    </w:p>
    <w:p>
      <w:r>
        <w:rPr>
          <w:b/>
        </w:rPr>
        <w:t>Excluded Services (Standard-Rated):</w:t>
      </w:r>
    </w:p>
    <w:p>
      <w:pPr>
        <w:pStyle w:val="ListBullet"/>
      </w:pPr>
      <w:r>
        <w:t>Head office administration services</w:t>
      </w:r>
    </w:p>
    <w:p>
      <w:pPr>
        <w:pStyle w:val="ListBullet"/>
      </w:pPr>
      <w:r>
        <w:t>Purely financial/legal services</w:t>
      </w:r>
    </w:p>
    <w:p>
      <w:pPr>
        <w:pStyle w:val="ListBullet"/>
      </w:pPr>
      <w:r>
        <w:t>Services not directly connected to petroleum operations</w:t>
      </w:r>
    </w:p>
    <w:p>
      <w:pPr>
        <w:pStyle w:val="Heading4"/>
      </w:pPr>
      <w:r>
        <w:t>2.1.2 Norwegian Treatment</w:t>
      </w:r>
    </w:p>
    <w:p>
      <w:r>
        <w:rPr>
          <w:b/>
        </w:rPr>
        <w:t>Norwegian Offshore Areas</w:t>
      </w:r>
      <w:r>
        <w:t>:</w:t>
      </w:r>
    </w:p>
    <w:p>
      <w:pPr>
        <w:pStyle w:val="ListBullet"/>
      </w:pPr>
      <w:r>
        <w:t xml:space="preserve">Supplies to petroleum activities on Norwegian Continental Shelf: </w:t>
      </w:r>
      <w:r>
        <w:rPr>
          <w:b/>
        </w:rPr>
        <w:t>0% VAT</w:t>
      </w:r>
    </w:p>
    <w:p>
      <w:pPr>
        <w:pStyle w:val="ListBullet"/>
      </w:pPr>
      <w:r>
        <w:t>Includes: all services and goods for exploration, production, transport</w:t>
      </w:r>
    </w:p>
    <w:p>
      <w:pPr>
        <w:pStyle w:val="ListBullet"/>
      </w:pPr>
      <w:r>
        <w:t>Registration requirement: Suppliers must register for Norwegian VAT</w:t>
      </w:r>
    </w:p>
    <w:p>
      <w:pPr>
        <w:pStyle w:val="ListBullet"/>
      </w:pPr>
      <w:r>
        <w:t>Refund system: Foreign businesses can claim refunds</w:t>
      </w:r>
    </w:p>
    <w:p>
      <w:pPr>
        <w:pStyle w:val="Heading4"/>
      </w:pPr>
      <w:r>
        <w:t>2.1.3 Other Jurisdictions</w:t>
      </w:r>
    </w:p>
    <w:p>
      <w:r>
        <w:rPr>
          <w:b/>
        </w:rPr>
        <w:t>Australia</w:t>
      </w:r>
      <w:r>
        <w:t xml:space="preserve">: GST-free supplies of services </w:t>
      </w:r>
      <w:r>
        <w:rPr>
          <w:b/>
        </w:rPr>
        <w:t>outside Australia</w:t>
      </w:r>
      <w:r>
        <w:t xml:space="preserve"> territorial limits (offshore)</w:t>
      </w:r>
    </w:p>
    <w:p>
      <w:r>
        <w:rPr>
          <w:b/>
        </w:rPr>
        <w:t>UAE</w:t>
      </w:r>
      <w:r>
        <w:t>: 0% for direct/indirect exports of crude oil, natural gas, and their derivatives</w:t>
      </w:r>
    </w:p>
    <w:p>
      <w:r>
        <w:rPr>
          <w:b/>
        </w:rPr>
        <w:t>Saudi Arabia</w:t>
      </w:r>
      <w:r>
        <w:t>: 0% for qualifying goods and services exported outside GCC</w:t>
      </w:r>
    </w:p>
    <w:p>
      <w:pPr>
        <w:pStyle w:val="Heading3"/>
      </w:pPr>
      <w:r>
        <w:t>2.2 Exemptions for International Services</w:t>
      </w:r>
    </w:p>
    <w:p>
      <w:pPr>
        <w:pStyle w:val="Heading4"/>
      </w:pPr>
      <w:r>
        <w:t>2.2.1 International Transportation</w:t>
      </w:r>
    </w:p>
    <w:p>
      <w:r>
        <w:rPr>
          <w:b/>
        </w:rPr>
        <w:t>Zero-Rated Treatment:</w:t>
      </w:r>
    </w:p>
    <w:p>
      <w:pPr>
        <w:pStyle w:val="ListBullet"/>
      </w:pPr>
      <w:r>
        <w:t xml:space="preserve">Transportation of goods </w:t>
      </w:r>
      <w:r>
        <w:rPr>
          <w:b/>
        </w:rPr>
        <w:t>outside</w:t>
      </w:r>
      <w:r>
        <w:t xml:space="preserve"> VAT territory</w:t>
      </w:r>
    </w:p>
    <w:p>
      <w:pPr>
        <w:pStyle w:val="ListBullet"/>
      </w:pPr>
      <w:r>
        <w:t>Transport between EU member states (intra-community supplies)</w:t>
      </w:r>
    </w:p>
    <w:p>
      <w:pPr>
        <w:pStyle w:val="ListBullet"/>
      </w:pPr>
      <w:r>
        <w:t>Charter of vessels/aircraft used in international traffic</w:t>
      </w:r>
    </w:p>
    <w:p>
      <w:pPr>
        <w:pStyle w:val="ListBullet"/>
      </w:pPr>
      <w:r>
        <w:t>Towage of drilling rigs between international locations</w:t>
      </w:r>
    </w:p>
    <w:p>
      <w:r>
        <w:rPr>
          <w:b/>
        </w:rPr>
        <w:t>Conditions:</w:t>
      </w:r>
    </w:p>
    <w:p>
      <w:pPr>
        <w:pStyle w:val="ListBullet"/>
      </w:pPr>
      <w:r>
        <w:t>Journey must cross international boundaries</w:t>
      </w:r>
    </w:p>
    <w:p>
      <w:pPr>
        <w:pStyle w:val="ListBullet"/>
      </w:pPr>
      <w:r>
        <w:t>Documentation evidencing international nature (bills of lading, customs documents)</w:t>
      </w:r>
    </w:p>
    <w:p>
      <w:pPr>
        <w:pStyle w:val="Heading4"/>
      </w:pPr>
      <w:r>
        <w:t>2.2.2 Supplies to Ships and Aircraft</w:t>
      </w:r>
    </w:p>
    <w:p>
      <w:r>
        <w:rPr>
          <w:b/>
        </w:rPr>
        <w:t>EU VAT Directive Article 148</w:t>
      </w:r>
      <w:r>
        <w:t xml:space="preserve"> / </w:t>
      </w:r>
      <w:r>
        <w:rPr>
          <w:b/>
        </w:rPr>
        <w:t>UK VATA 1994 Schedule 8, Group 8</w:t>
      </w:r>
      <w:r>
        <w:t>:</w:t>
      </w:r>
    </w:p>
    <w:p>
      <w:r>
        <w:t>Zero-rated supplies include:</w:t>
      </w:r>
    </w:p>
    <w:p>
      <w:pPr>
        <w:pStyle w:val="ListBullet"/>
      </w:pPr>
      <w:r>
        <w:t>Bunker fuel for vessels engaged in international navigation</w:t>
      </w:r>
    </w:p>
    <w:p>
      <w:pPr>
        <w:pStyle w:val="ListBullet"/>
      </w:pPr>
      <w:r>
        <w:t>Goods for consumption on board (provisions)</w:t>
      </w:r>
    </w:p>
    <w:p>
      <w:pPr>
        <w:pStyle w:val="ListBullet"/>
      </w:pPr>
      <w:r>
        <w:t>Repair and maintenance of qualifying vessels</w:t>
      </w:r>
    </w:p>
    <w:p>
      <w:pPr>
        <w:pStyle w:val="ListBullet"/>
      </w:pPr>
      <w:r>
        <w:t>Modification and conversion services</w:t>
      </w:r>
    </w:p>
    <w:p>
      <w:r>
        <w:rPr>
          <w:b/>
        </w:rPr>
        <w:t>Qualifying Vessels:</w:t>
      </w:r>
    </w:p>
    <w:p>
      <w:pPr>
        <w:pStyle w:val="ListBullet"/>
      </w:pPr>
      <w:r>
        <w:t>Used for navigation on high seas</w:t>
      </w:r>
    </w:p>
    <w:p>
      <w:pPr>
        <w:pStyle w:val="ListBullet"/>
      </w:pPr>
      <w:r>
        <w:t>Commercial transport of passengers/goods</w:t>
      </w:r>
    </w:p>
    <w:p>
      <w:pPr>
        <w:pStyle w:val="ListBullet"/>
      </w:pPr>
      <w:r>
        <w:t>Commercial fishing vessels (over 15 tons)</w:t>
      </w:r>
    </w:p>
    <w:p>
      <w:pPr>
        <w:pStyle w:val="ListBullet"/>
      </w:pPr>
      <w:r>
        <w:t>Rescue/assistance vessels</w:t>
      </w:r>
    </w:p>
    <w:p>
      <w:pPr>
        <w:pStyle w:val="Heading3"/>
      </w:pPr>
      <w:r>
        <w:t>2.3 Reverse Charge Mechanism</w:t>
      </w:r>
    </w:p>
    <w:p>
      <w:pPr>
        <w:pStyle w:val="Heading4"/>
      </w:pPr>
      <w:r>
        <w:t>2.3.1 Standard Reverse Charge (B2B Services)</w:t>
      </w:r>
    </w:p>
    <w:p>
      <w:r>
        <w:rPr>
          <w:b/>
        </w:rPr>
        <w:t>Mechanism</w:t>
      </w:r>
      <w:r>
        <w:t>: Customer accounts for VAT instead of supplier.</w:t>
      </w:r>
    </w:p>
    <w:p>
      <w:r>
        <w:rPr>
          <w:b/>
        </w:rPr>
        <w:t>Process:</w:t>
      </w:r>
    </w:p>
    <w:p>
      <w:pPr>
        <w:pStyle w:val="ListNumber"/>
      </w:pPr>
      <w:r>
        <w:t xml:space="preserve">Supplier invoices </w:t>
      </w:r>
      <w:r>
        <w:rPr>
          <w:b/>
        </w:rPr>
        <w:t>without VAT</w:t>
      </w:r>
      <w:r>
        <w:t xml:space="preserve"> (shows reverse charge applies)</w:t>
      </w:r>
    </w:p>
    <w:p>
      <w:pPr>
        <w:pStyle w:val="ListNumber"/>
      </w:pPr>
      <w:r>
        <w:t>Customer self-accounts for output VAT in VAT return (Box 1)</w:t>
      </w:r>
    </w:p>
    <w:p>
      <w:pPr>
        <w:pStyle w:val="ListNumber"/>
      </w:pPr>
      <w:r>
        <w:t>Customer simultaneously claims input VAT recovery (Box 4)</w:t>
      </w:r>
    </w:p>
    <w:p>
      <w:pPr>
        <w:pStyle w:val="ListNumber"/>
      </w:pPr>
      <w:r>
        <w:rPr>
          <w:b/>
        </w:rPr>
        <w:t>Net effect</w:t>
      </w:r>
      <w:r>
        <w:t>: VAT neutral if full recovery entitlement</w:t>
      </w:r>
    </w:p>
    <w:p>
      <w:r>
        <w:rPr>
          <w:b/>
        </w:rPr>
        <w:t>Energy Sector Application:</w:t>
      </w:r>
    </w:p>
    <w:p>
      <w:pPr>
        <w:pStyle w:val="ListBullet"/>
      </w:pPr>
      <w:r>
        <w:t>Foreign supplier provides consultancy to UK oil company</w:t>
      </w:r>
    </w:p>
    <w:p>
      <w:pPr>
        <w:pStyle w:val="ListBullet"/>
      </w:pPr>
      <w:r>
        <w:t>Invoice: £100,000 + VAT reverse charge applies</w:t>
      </w:r>
    </w:p>
    <w:p>
      <w:pPr>
        <w:pStyle w:val="ListBullet"/>
      </w:pPr>
      <w:r>
        <w:t>UK company VAT return:</w:t>
      </w:r>
    </w:p>
    <w:p>
      <w:pPr>
        <w:pStyle w:val="ListBullet"/>
        <w:ind w:left="360"/>
      </w:pPr>
      <w:r>
        <w:t>Box 1 (Output VAT): £20,000</w:t>
      </w:r>
    </w:p>
    <w:p>
      <w:pPr>
        <w:pStyle w:val="ListBullet"/>
        <w:ind w:left="360"/>
      </w:pPr>
      <w:r>
        <w:t>Box 4 (Input VAT): £20,000</w:t>
      </w:r>
    </w:p>
    <w:p>
      <w:pPr>
        <w:pStyle w:val="ListBullet"/>
        <w:ind w:left="360"/>
      </w:pPr>
      <w:r>
        <w:t>Net: £0</w:t>
      </w:r>
    </w:p>
    <w:p>
      <w:pPr>
        <w:pStyle w:val="Heading4"/>
      </w:pPr>
      <w:r>
        <w:t>2.3.2 Domestic Reverse Charge - Construction Services (UK)</w:t>
      </w:r>
    </w:p>
    <w:p>
      <w:r>
        <w:rPr>
          <w:b/>
        </w:rPr>
        <w:t>Domestic Reverse Charge</w:t>
      </w:r>
      <w:r>
        <w:t xml:space="preserve"> (from March 2021): Construction services between VAT-registered businesses.</w:t>
      </w:r>
    </w:p>
    <w:p>
      <w:r>
        <w:rPr>
          <w:b/>
        </w:rPr>
        <w:t>Application to Energy:</w:t>
      </w:r>
    </w:p>
    <w:p>
      <w:pPr>
        <w:pStyle w:val="ListBullet"/>
      </w:pPr>
      <w:r>
        <w:t>Construction of onshore facilities, pipelines, processing plants</w:t>
      </w:r>
    </w:p>
    <w:p>
      <w:pPr>
        <w:pStyle w:val="ListBullet"/>
      </w:pPr>
      <w:r>
        <w:t>End-user liable for VAT, not contractor</w:t>
      </w:r>
    </w:p>
    <w:p>
      <w:pPr>
        <w:pStyle w:val="ListBullet"/>
      </w:pPr>
      <w:r>
        <w:t>Fraud prevention measure (missing trader fraud)</w:t>
      </w:r>
    </w:p>
    <w:p>
      <w:pPr>
        <w:pStyle w:val="Heading3"/>
      </w:pPr>
      <w:r>
        <w:t>2.4 Input Tax Recovery</w:t>
      </w:r>
    </w:p>
    <w:p>
      <w:pPr>
        <w:pStyle w:val="Heading4"/>
      </w:pPr>
      <w:r>
        <w:t>2.4.1 General Recovery Rules</w:t>
      </w:r>
    </w:p>
    <w:p>
      <w:r>
        <w:rPr>
          <w:b/>
        </w:rPr>
        <w:t>Full Recovery</w:t>
      </w:r>
      <w:r>
        <w:t xml:space="preserve">: Input VAT recoverable if costs relate to </w:t>
      </w:r>
      <w:r>
        <w:rPr>
          <w:b/>
        </w:rPr>
        <w:t>taxable supplies</w:t>
      </w:r>
      <w:r>
        <w:t xml:space="preserve"> (including zero-rated).</w:t>
      </w:r>
    </w:p>
    <w:p>
      <w:r>
        <w:rPr>
          <w:b/>
        </w:rPr>
        <w:t>No Recovery</w:t>
      </w:r>
      <w:r>
        <w:t>: Input VAT on costs relating to:</w:t>
      </w:r>
    </w:p>
    <w:p>
      <w:pPr>
        <w:pStyle w:val="ListBullet"/>
      </w:pPr>
      <w:r>
        <w:t>Exempt supplies</w:t>
      </w:r>
    </w:p>
    <w:p>
      <w:pPr>
        <w:pStyle w:val="ListBullet"/>
      </w:pPr>
      <w:r>
        <w:t>Non-business activities</w:t>
      </w:r>
    </w:p>
    <w:p>
      <w:pPr>
        <w:pStyle w:val="ListBullet"/>
      </w:pPr>
      <w:r>
        <w:t>Blocked categories (business entertainment, non-commercial vehicles)</w:t>
      </w:r>
    </w:p>
    <w:p>
      <w:pPr>
        <w:pStyle w:val="Heading4"/>
      </w:pPr>
      <w:r>
        <w:t>2.4.2 Partial Exemption</w:t>
      </w:r>
    </w:p>
    <w:p>
      <w:r>
        <w:rPr>
          <w:b/>
        </w:rPr>
        <w:t>When Applicable</w:t>
      </w:r>
      <w:r>
        <w:t>: Businesses making both taxable and exempt supplies must restrict input VAT recovery.</w:t>
      </w:r>
    </w:p>
    <w:p>
      <w:r>
        <w:rPr>
          <w:b/>
        </w:rPr>
        <w:t>Standard Method</w:t>
      </w:r>
      <w:r>
        <w:t xml:space="preserve"> (EU/UK):</w:t>
      </w:r>
    </w:p>
    <w:p>
      <w:pPr>
        <w:shd w:fill="F0F0F0"/>
        <w:spacing w:after="0" w:line="240" w:lineRule="auto"/>
      </w:pPr>
      <w:r>
        <w:rPr>
          <w:rFonts w:ascii="Courier New" w:hAnsi="Courier New"/>
          <w:sz w:val="20"/>
        </w:rPr>
        <w:t>Recoverable Input VAT = Total Input VAT × (Taxable Supplies / Total Supplies)</w:t>
      </w:r>
    </w:p>
    <w:p/>
    <w:p>
      <w:r>
        <w:rPr>
          <w:b/>
        </w:rPr>
        <w:t>De Minimis Tests</w:t>
      </w:r>
      <w:r>
        <w:t xml:space="preserve"> (UK - SI 1995/2518 Reg 106):</w:t>
      </w:r>
    </w:p>
    <w:p>
      <w:r>
        <w:t xml:space="preserve">Full recovery allowed if </w:t>
      </w:r>
      <w:r>
        <w:rPr>
          <w:b/>
        </w:rPr>
        <w:t>both</w:t>
      </w:r>
      <w:r>
        <w:t xml:space="preserve"> conditions met:</w:t>
      </w:r>
    </w:p>
    <w:p>
      <w:pPr>
        <w:pStyle w:val="ListNumber"/>
      </w:pPr>
      <w:r>
        <w:t>Exempt input tax ≤ £625 per month (£7,500 per annum)</w:t>
      </w:r>
    </w:p>
    <w:p>
      <w:pPr>
        <w:pStyle w:val="ListNumber"/>
      </w:pPr>
      <w:r>
        <w:t>Exempt input tax ≤ 50% of total input tax</w:t>
      </w:r>
    </w:p>
    <w:p>
      <w:r>
        <w:rPr>
          <w:b/>
        </w:rPr>
        <w:t>Special Methods</w:t>
      </w:r>
      <w:r>
        <w:t>: Businesses can apply for HMRC approval of method better reflecting use of inputs.</w:t>
      </w:r>
    </w:p>
    <w:p>
      <w:pPr>
        <w:spacing w:before="120" w:after="120"/>
        <w:pBdr>
          <w:bottom w:val="single" w:sz="6" w:space="1" w:color="auto"/>
        </w:pBdr>
      </w:pPr>
    </w:p>
    <w:p>
      <w:pPr>
        <w:pStyle w:val="Heading2"/>
      </w:pPr>
      <w:r>
        <w:t>3. Analytical Depth: VAT Planning and Compliance</w:t>
      </w:r>
    </w:p>
    <w:p>
      <w:pPr>
        <w:pStyle w:val="Heading3"/>
      </w:pPr>
      <w:r>
        <w:t>3.1 VAT Planning for Oil &amp; Gas Projects</w:t>
      </w:r>
    </w:p>
    <w:p>
      <w:pPr>
        <w:pStyle w:val="Heading4"/>
      </w:pPr>
      <w:r>
        <w:t>3.1.1 Project Structuring Considerations</w:t>
      </w:r>
    </w:p>
    <w:p>
      <w:r>
        <w:rPr>
          <w:b/>
        </w:rPr>
        <w:t>Key Decisions:</w:t>
      </w:r>
    </w:p>
    <w:p>
      <w:pPr>
        <w:pStyle w:val="ListNumber"/>
      </w:pPr>
      <w:r>
        <w:rPr>
          <w:b/>
        </w:rPr>
        <w:t>Jurisdiction of Establishment</w:t>
      </w:r>
      <w:r>
        <w:t>:</w:t>
      </w:r>
    </w:p>
    <w:p>
      <w:pPr>
        <w:pStyle w:val="ListBullet"/>
        <w:ind w:left="360"/>
      </w:pPr>
      <w:r>
        <w:t>Registration in multiple jurisdictions vs. single registration</w:t>
      </w:r>
    </w:p>
    <w:p>
      <w:pPr>
        <w:pStyle w:val="ListBullet"/>
        <w:ind w:left="360"/>
      </w:pPr>
      <w:r>
        <w:t>Refund mechanisms vs. direct recovery</w:t>
      </w:r>
    </w:p>
    <w:p>
      <w:pPr>
        <w:pStyle w:val="ListBullet"/>
        <w:ind w:left="360"/>
      </w:pPr>
      <w:r>
        <w:t>Treaty considerations (no VAT treaties, but administrative cooperation)</w:t>
      </w:r>
    </w:p>
    <w:p>
      <w:pPr>
        <w:pStyle w:val="ListNumber"/>
      </w:pPr>
      <w:r>
        <w:rPr>
          <w:b/>
        </w:rPr>
        <w:t>Supply Chain Configuration</w:t>
      </w:r>
      <w:r>
        <w:t>:</w:t>
      </w:r>
    </w:p>
    <w:p>
      <w:pPr>
        <w:pStyle w:val="ListBullet"/>
        <w:ind w:left="360"/>
      </w:pPr>
      <w:r>
        <w:t>Use of intermediate holding companies</w:t>
      </w:r>
    </w:p>
    <w:p>
      <w:pPr>
        <w:pStyle w:val="ListBullet"/>
        <w:ind w:left="360"/>
      </w:pPr>
      <w:r>
        <w:t>Centralizing procurement to maximize recovery</w:t>
      </w:r>
    </w:p>
    <w:p>
      <w:pPr>
        <w:pStyle w:val="ListBullet"/>
        <w:ind w:left="360"/>
      </w:pPr>
      <w:r>
        <w:t>Splitting taxable and exempt activities</w:t>
      </w:r>
    </w:p>
    <w:p>
      <w:pPr>
        <w:pStyle w:val="ListNumber"/>
      </w:pPr>
      <w:r>
        <w:rPr>
          <w:b/>
        </w:rPr>
        <w:t>Contractual VAT Clauses</w:t>
      </w:r>
      <w:r>
        <w:t>:</w:t>
      </w:r>
    </w:p>
    <w:p>
      <w:pPr>
        <w:pStyle w:val="ListBullet"/>
        <w:ind w:left="360"/>
      </w:pPr>
      <w:r>
        <w:t>Who bears VAT cost if non-recoverable?</w:t>
      </w:r>
    </w:p>
    <w:p>
      <w:pPr>
        <w:pStyle w:val="ListBullet"/>
        <w:ind w:left="360"/>
      </w:pPr>
      <w:r>
        <w:t>Gross-up provisions for unexpected VAT charges</w:t>
      </w:r>
    </w:p>
    <w:p>
      <w:pPr>
        <w:pStyle w:val="ListBullet"/>
        <w:ind w:left="360"/>
      </w:pPr>
      <w:r>
        <w:t>Change-in-law provisions (VAT rate increases)</w:t>
      </w:r>
    </w:p>
    <w:p>
      <w:pPr>
        <w:pStyle w:val="Heading4"/>
      </w:pPr>
      <w:r>
        <w:t>3.1.2 Input Tax Recovery Optimization</w:t>
      </w:r>
    </w:p>
    <w:p>
      <w:r>
        <w:rPr>
          <w:b/>
        </w:rPr>
        <w:t>Strategies:</w:t>
      </w:r>
    </w:p>
    <w:p>
      <w:pPr>
        <w:pStyle w:val="ListNumber"/>
      </w:pPr>
      <w:r>
        <w:rPr>
          <w:b/>
        </w:rPr>
        <w:t>Maximizing Taxable Supplies</w:t>
      </w:r>
      <w:r>
        <w:t>:</w:t>
      </w:r>
    </w:p>
    <w:p>
      <w:pPr>
        <w:pStyle w:val="ListBullet"/>
        <w:ind w:left="360"/>
      </w:pPr>
      <w:r>
        <w:t>Ensuring zero-rated designation applies (offshore services)</w:t>
      </w:r>
    </w:p>
    <w:p>
      <w:pPr>
        <w:pStyle w:val="ListBullet"/>
        <w:ind w:left="360"/>
      </w:pPr>
      <w:r>
        <w:t>Opting to tax land transactions where beneficial</w:t>
      </w:r>
    </w:p>
    <w:p>
      <w:pPr>
        <w:pStyle w:val="ListBullet"/>
        <w:ind w:left="360"/>
      </w:pPr>
      <w:r>
        <w:t>Structuring financial transactions as taxable where possible</w:t>
      </w:r>
    </w:p>
    <w:p>
      <w:pPr>
        <w:pStyle w:val="ListNumber"/>
      </w:pPr>
      <w:r>
        <w:rPr>
          <w:b/>
        </w:rPr>
        <w:t>Cost Allocation</w:t>
      </w:r>
      <w:r>
        <w:t>:</w:t>
      </w:r>
    </w:p>
    <w:p>
      <w:pPr>
        <w:pStyle w:val="ListBullet"/>
        <w:ind w:left="360"/>
      </w:pPr>
      <w:r>
        <w:t>Direct attribution to taxable activities</w:t>
      </w:r>
    </w:p>
    <w:p>
      <w:pPr>
        <w:pStyle w:val="ListBullet"/>
        <w:ind w:left="360"/>
      </w:pPr>
      <w:r>
        <w:t>Overhead allocation methodologies</w:t>
      </w:r>
    </w:p>
    <w:p>
      <w:pPr>
        <w:pStyle w:val="ListBullet"/>
        <w:ind w:left="360"/>
      </w:pPr>
      <w:r>
        <w:t>Transfer pricing alignment with VAT positions</w:t>
      </w:r>
    </w:p>
    <w:p>
      <w:pPr>
        <w:pStyle w:val="ListNumber"/>
      </w:pPr>
      <w:r>
        <w:rPr>
          <w:b/>
        </w:rPr>
        <w:t>Group Registration</w:t>
      </w:r>
      <w:r>
        <w:t xml:space="preserve"> (UK - VATA 1994 s43):</w:t>
      </w:r>
    </w:p>
    <w:p>
      <w:pPr>
        <w:pStyle w:val="ListBullet"/>
        <w:ind w:left="360"/>
      </w:pPr>
      <w:r>
        <w:t>Eliminates VAT on intra-group supplies</w:t>
      </w:r>
    </w:p>
    <w:p>
      <w:pPr>
        <w:pStyle w:val="ListBullet"/>
        <w:ind w:left="360"/>
      </w:pPr>
      <w:r>
        <w:t>Simplified compliance (single return)</w:t>
      </w:r>
    </w:p>
    <w:p>
      <w:pPr>
        <w:pStyle w:val="ListBullet"/>
        <w:ind w:left="360"/>
      </w:pPr>
      <w:r>
        <w:t>Restrictions: control test, same jurisdiction</w:t>
      </w:r>
    </w:p>
    <w:p>
      <w:pPr>
        <w:pStyle w:val="Heading3"/>
      </w:pPr>
      <w:r>
        <w:t>3.2 Cross-Border Supply Chain VAT Analysis</w:t>
      </w:r>
    </w:p>
    <w:p>
      <w:pPr>
        <w:pStyle w:val="Heading4"/>
      </w:pPr>
      <w:r>
        <w:t>3.2.1 Typical Energy Supply Chain</w:t>
      </w:r>
    </w:p>
    <w:p>
      <w:pPr>
        <w:shd w:fill="F0F0F0"/>
        <w:spacing w:after="0" w:line="240" w:lineRule="auto"/>
      </w:pPr>
      <w:r>
        <w:rPr>
          <w:rFonts w:ascii="Courier New" w:hAnsi="Courier New"/>
          <w:sz w:val="20"/>
        </w:rPr>
        <w:t>Foreign Equipment Supplier (e.g., USA)</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Import into UK/EU (Import VAT or Reverse Charge)</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Domestic Contractor (Installation Services)</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Operator (UK Oil &amp; Gas Company)</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Export of Crude Oil (Zero-Rated)</w:t>
      </w:r>
    </w:p>
    <w:p/>
    <w:p>
      <w:r>
        <w:rPr>
          <w:b/>
        </w:rPr>
        <w:t>VAT Flow Analysis:</w:t>
      </w:r>
    </w:p>
    <w:p>
      <w:r>
        <w:rPr>
          <w:b/>
        </w:rPr>
        <w:t>Stage 1</w:t>
      </w:r>
      <w:r>
        <w:t>: Foreign supplier → Import</w:t>
      </w:r>
    </w:p>
    <w:p>
      <w:pPr>
        <w:pStyle w:val="ListBullet"/>
      </w:pPr>
      <w:r>
        <w:t>Non-EU supplier: No EU VAT charged</w:t>
      </w:r>
    </w:p>
    <w:p>
      <w:pPr>
        <w:pStyle w:val="ListBullet"/>
      </w:pPr>
      <w:r>
        <w:t>Import VAT: Payable on import value (postponed accounting UK, or cash payment)</w:t>
      </w:r>
    </w:p>
    <w:p>
      <w:r>
        <w:rPr>
          <w:b/>
        </w:rPr>
        <w:t>Stage 2</w:t>
      </w:r>
      <w:r>
        <w:t>: Domestic contractor → Operator</w:t>
      </w:r>
    </w:p>
    <w:p>
      <w:pPr>
        <w:pStyle w:val="ListBullet"/>
      </w:pPr>
      <w:r>
        <w:t>Standard-rated supply (20% UK VAT) OR</w:t>
      </w:r>
    </w:p>
    <w:p>
      <w:pPr>
        <w:pStyle w:val="ListBullet"/>
      </w:pPr>
      <w:r>
        <w:t>Zero-rated if offshore designated area services</w:t>
      </w:r>
    </w:p>
    <w:p>
      <w:r>
        <w:rPr>
          <w:b/>
        </w:rPr>
        <w:t>Stage 3</w:t>
      </w:r>
      <w:r>
        <w:t>: Export sales</w:t>
      </w:r>
    </w:p>
    <w:p>
      <w:pPr>
        <w:pStyle w:val="ListBullet"/>
      </w:pPr>
      <w:r>
        <w:t>Zero-rated (0% VAT), full input VAT recovery</w:t>
      </w:r>
    </w:p>
    <w:p>
      <w:pPr>
        <w:pStyle w:val="Heading4"/>
      </w:pPr>
      <w:r>
        <w:t>3.2.2 VAT Refund Mechanisms</w:t>
      </w:r>
    </w:p>
    <w:p>
      <w:r>
        <w:rPr>
          <w:b/>
        </w:rPr>
        <w:t>13th Directive Refunds</w:t>
      </w:r>
      <w:r>
        <w:t xml:space="preserve"> (EU Directive 2008/9/EC):</w:t>
      </w:r>
    </w:p>
    <w:p>
      <w:pPr>
        <w:pStyle w:val="ListBullet"/>
      </w:pPr>
      <w:r>
        <w:t>Non-EU established businesses claiming VAT refunds from EU member states</w:t>
      </w:r>
    </w:p>
    <w:p>
      <w:pPr>
        <w:pStyle w:val="ListBullet"/>
      </w:pPr>
      <w:r>
        <w:t>Electronic application through home country portal</w:t>
      </w:r>
    </w:p>
    <w:p>
      <w:pPr>
        <w:pStyle w:val="ListBullet"/>
      </w:pPr>
      <w:r>
        <w:t>Time limits: Claims covering calendar year, submitted by 30 September following year</w:t>
      </w:r>
    </w:p>
    <w:p>
      <w:r>
        <w:rPr>
          <w:b/>
        </w:rPr>
        <w:t>UK Refunds (Post-Brexit)</w:t>
      </w:r>
      <w:r>
        <w:t>:</w:t>
      </w:r>
    </w:p>
    <w:p>
      <w:pPr>
        <w:pStyle w:val="ListBullet"/>
      </w:pPr>
      <w:r>
        <w:t>Non-UK businesses: Form VAT65A (paper claims)</w:t>
      </w:r>
    </w:p>
    <w:p>
      <w:pPr>
        <w:pStyle w:val="ListBullet"/>
      </w:pPr>
      <w:r>
        <w:t>Reciprocity requirement: UK agreements with specific countries</w:t>
      </w:r>
    </w:p>
    <w:p>
      <w:pPr>
        <w:pStyle w:val="ListBullet"/>
      </w:pPr>
      <w:r>
        <w:t>Time limits: Claims within 6 months of end of year incurred</w:t>
      </w:r>
    </w:p>
    <w:p>
      <w:pPr>
        <w:pStyle w:val="Heading3"/>
      </w:pPr>
      <w:r>
        <w:t>3.3 Partial Exemption Issues in Energy Sector</w:t>
      </w:r>
    </w:p>
    <w:p>
      <w:pPr>
        <w:pStyle w:val="Heading4"/>
      </w:pPr>
      <w:r>
        <w:t>3.3.1 Common Scenarios</w:t>
      </w:r>
    </w:p>
    <w:p>
      <w:r>
        <w:rPr>
          <w:b/>
        </w:rPr>
        <w:t>Scenario 1</w:t>
      </w:r>
      <w:r>
        <w:t>: Oil company with both:</w:t>
      </w:r>
    </w:p>
    <w:p>
      <w:pPr>
        <w:pStyle w:val="ListBullet"/>
      </w:pPr>
      <w:r>
        <w:t>Taxable/zero-rated supplies (crude oil sales, offshore services)</w:t>
      </w:r>
    </w:p>
    <w:p>
      <w:pPr>
        <w:pStyle w:val="ListBullet"/>
      </w:pPr>
      <w:r>
        <w:t>Exempt supplies (insurance services to joint venture partners, financial income)</w:t>
      </w:r>
    </w:p>
    <w:p>
      <w:r>
        <w:rPr>
          <w:b/>
        </w:rPr>
        <w:t>Scenario 2</w:t>
      </w:r>
      <w:r>
        <w:t>: Integrated energy company:</w:t>
      </w:r>
    </w:p>
    <w:p>
      <w:pPr>
        <w:pStyle w:val="ListBullet"/>
      </w:pPr>
      <w:r>
        <w:t>Upstream (predominantly taxable)</w:t>
      </w:r>
    </w:p>
    <w:p>
      <w:pPr>
        <w:pStyle w:val="ListBullet"/>
      </w:pPr>
      <w:r>
        <w:t>Midstream (mixed)</w:t>
      </w:r>
    </w:p>
    <w:p>
      <w:pPr>
        <w:pStyle w:val="ListBullet"/>
      </w:pPr>
      <w:r>
        <w:t>Trading arm (potentially exempt financial transactions)</w:t>
      </w:r>
    </w:p>
    <w:p>
      <w:pPr>
        <w:pStyle w:val="Heading4"/>
      </w:pPr>
      <w:r>
        <w:t>3.3.2 Partial Exemption Methodologies</w:t>
      </w:r>
    </w:p>
    <w:p>
      <w:r>
        <w:rPr>
          <w:b/>
        </w:rPr>
        <w:t>Sector-Specific Methods</w:t>
      </w:r>
      <w:r>
        <w:t xml:space="preserve"> (Energy):</w:t>
      </w:r>
    </w:p>
    <w:p>
      <w:pPr>
        <w:pStyle w:val="ListNumber"/>
      </w:pPr>
      <w:r>
        <w:rPr>
          <w:b/>
        </w:rPr>
        <w:t>Direct Attribution Plus Apportionment</w:t>
      </w:r>
      <w:r>
        <w:t>:</w:t>
      </w:r>
    </w:p>
    <w:p>
      <w:pPr>
        <w:pStyle w:val="ListBullet"/>
        <w:ind w:left="360"/>
      </w:pPr>
      <w:r>
        <w:t>Direct costs → attributed 100% to relevant activity</w:t>
      </w:r>
    </w:p>
    <w:p>
      <w:pPr>
        <w:pStyle w:val="ListBullet"/>
        <w:ind w:left="360"/>
      </w:pPr>
      <w:r>
        <w:t>Indirect costs → apportioned by revenue, headcount, or usage metrics</w:t>
      </w:r>
    </w:p>
    <w:p>
      <w:pPr>
        <w:pStyle w:val="ListNumber"/>
      </w:pPr>
      <w:r>
        <w:rPr>
          <w:b/>
        </w:rPr>
        <w:t>Multiple Method</w:t>
      </w:r>
      <w:r>
        <w:t>:</w:t>
      </w:r>
    </w:p>
    <w:p>
      <w:pPr>
        <w:pStyle w:val="ListBullet"/>
        <w:ind w:left="360"/>
      </w:pPr>
      <w:r>
        <w:t>Separate calculations for different business divisions/sectors</w:t>
      </w:r>
    </w:p>
    <w:p>
      <w:pPr>
        <w:pStyle w:val="ListBullet"/>
        <w:ind w:left="360"/>
      </w:pPr>
      <w:r>
        <w:t>Requires clear segregation of activities</w:t>
      </w:r>
    </w:p>
    <w:p>
      <w:pPr>
        <w:pStyle w:val="ListNumber"/>
      </w:pPr>
      <w:r>
        <w:rPr>
          <w:b/>
        </w:rPr>
        <w:t>Input-Based Method</w:t>
      </w:r>
      <w:r>
        <w:t>:</w:t>
      </w:r>
    </w:p>
    <w:p>
      <w:pPr>
        <w:pStyle w:val="ListBullet"/>
        <w:ind w:left="360"/>
      </w:pPr>
      <w:r>
        <w:t>Recovery based on use of goods/services, not outputs</w:t>
      </w:r>
    </w:p>
    <w:p>
      <w:pPr>
        <w:pStyle w:val="ListBullet"/>
        <w:ind w:left="360"/>
      </w:pPr>
      <w:r>
        <w:t>Suitable where output-based methods distort</w:t>
      </w:r>
    </w:p>
    <w:p>
      <w:r>
        <w:rPr>
          <w:b/>
        </w:rPr>
        <w:t>Approval Required</w:t>
      </w:r>
      <w:r>
        <w:t>: Special methods require tax authority approval (UK: HMRC; EU: local tax authority).</w:t>
      </w:r>
    </w:p>
    <w:p>
      <w:pPr>
        <w:pStyle w:val="Heading3"/>
      </w:pPr>
      <w:r>
        <w:t>3.4 Recent Developments (2023-2025)</w:t>
      </w:r>
    </w:p>
    <w:p>
      <w:pPr>
        <w:pStyle w:val="Heading4"/>
      </w:pPr>
      <w:r>
        <w:t>3.4.1 EU VAT in Digital Age (ViDA) Proposals</w:t>
      </w:r>
    </w:p>
    <w:p>
      <w:r>
        <w:rPr>
          <w:b/>
        </w:rPr>
        <w:t>European Commission Proposals (December 2022):</w:t>
      </w:r>
    </w:p>
    <w:p>
      <w:pPr>
        <w:pStyle w:val="ListNumber"/>
      </w:pPr>
      <w:r>
        <w:rPr>
          <w:b/>
        </w:rPr>
        <w:t>Digital Reporting Requirements</w:t>
      </w:r>
      <w:r>
        <w:t>:</w:t>
      </w:r>
    </w:p>
    <w:p>
      <w:pPr>
        <w:pStyle w:val="ListBullet"/>
        <w:ind w:left="360"/>
      </w:pPr>
      <w:r>
        <w:t>E-invoicing mandatory across EU by 2028</w:t>
      </w:r>
    </w:p>
    <w:p>
      <w:pPr>
        <w:pStyle w:val="ListBullet"/>
        <w:ind w:left="360"/>
      </w:pPr>
      <w:r>
        <w:t>Real-time transaction reporting</w:t>
      </w:r>
    </w:p>
    <w:p>
      <w:pPr>
        <w:pStyle w:val="ListBullet"/>
        <w:ind w:left="360"/>
      </w:pPr>
      <w:r>
        <w:t>Impact on energy sector: Increased compliance burden</w:t>
      </w:r>
    </w:p>
    <w:p>
      <w:pPr>
        <w:pStyle w:val="ListNumber"/>
      </w:pPr>
      <w:r>
        <w:rPr>
          <w:b/>
        </w:rPr>
        <w:t>Single VAT Registration</w:t>
      </w:r>
      <w:r>
        <w:t>:</w:t>
      </w:r>
    </w:p>
    <w:p>
      <w:pPr>
        <w:pStyle w:val="ListBullet"/>
        <w:ind w:left="360"/>
      </w:pPr>
      <w:r>
        <w:t>One EU registration for all intra-EU supplies</w:t>
      </w:r>
    </w:p>
    <w:p>
      <w:pPr>
        <w:pStyle w:val="ListBullet"/>
        <w:ind w:left="360"/>
      </w:pPr>
      <w:r>
        <w:t>Simplified compliance for multi-state operators</w:t>
      </w:r>
    </w:p>
    <w:p>
      <w:pPr>
        <w:pStyle w:val="ListNumber"/>
      </w:pPr>
      <w:r>
        <w:rPr>
          <w:b/>
        </w:rPr>
        <w:t>Platform Economy Rules</w:t>
      </w:r>
      <w:r>
        <w:t>:</w:t>
      </w:r>
    </w:p>
    <w:p>
      <w:pPr>
        <w:pStyle w:val="ListBullet"/>
        <w:ind w:left="360"/>
      </w:pPr>
      <w:r>
        <w:t>Limited direct impact on traditional energy sector</w:t>
      </w:r>
    </w:p>
    <w:p>
      <w:pPr>
        <w:pStyle w:val="ListBullet"/>
        <w:ind w:left="360"/>
      </w:pPr>
      <w:r>
        <w:t>Potential implications for renewable energy marketplaces</w:t>
      </w:r>
    </w:p>
    <w:p>
      <w:pPr>
        <w:pStyle w:val="Heading4"/>
      </w:pPr>
      <w:r>
        <w:t>3.4.2 UK VAT Changes (2023-2025)</w:t>
      </w:r>
    </w:p>
    <w:p>
      <w:r>
        <w:rPr>
          <w:b/>
        </w:rPr>
        <w:t>Energy Sector Specific:</w:t>
      </w:r>
    </w:p>
    <w:p>
      <w:pPr>
        <w:pStyle w:val="ListNumber"/>
      </w:pPr>
      <w:r>
        <w:rPr>
          <w:b/>
        </w:rPr>
        <w:t>VAT on Energy-Saving Materials</w:t>
      </w:r>
      <w:r>
        <w:t xml:space="preserve"> (Finance Act 2024):</w:t>
      </w:r>
    </w:p>
    <w:p>
      <w:pPr>
        <w:pStyle w:val="ListBullet"/>
        <w:ind w:left="360"/>
      </w:pPr>
      <w:r>
        <w:t>Reduced rate (0%) for qualifying energy-saving materials extended to 2027</w:t>
      </w:r>
    </w:p>
    <w:p>
      <w:pPr>
        <w:pStyle w:val="ListBullet"/>
        <w:ind w:left="360"/>
      </w:pPr>
      <w:r>
        <w:t>Includes insulation, solar panels, heat pumps</w:t>
      </w:r>
    </w:p>
    <w:p>
      <w:pPr>
        <w:pStyle w:val="ListNumber"/>
      </w:pPr>
      <w:r>
        <w:rPr>
          <w:b/>
        </w:rPr>
        <w:t>Postponed VAT Accounting (PVA)</w:t>
      </w:r>
      <w:r>
        <w:t>:</w:t>
      </w:r>
    </w:p>
    <w:p>
      <w:pPr>
        <w:pStyle w:val="ListBullet"/>
        <w:ind w:left="360"/>
      </w:pPr>
      <w:r>
        <w:t>Import VAT accounting deferred (no upfront payment)</w:t>
      </w:r>
    </w:p>
    <w:p>
      <w:pPr>
        <w:pStyle w:val="ListBullet"/>
        <w:ind w:left="360"/>
      </w:pPr>
      <w:r>
        <w:t>Account for import VAT on VAT return</w:t>
      </w:r>
    </w:p>
    <w:p>
      <w:pPr>
        <w:pStyle w:val="ListBullet"/>
        <w:ind w:left="360"/>
      </w:pPr>
      <w:r>
        <w:t>Cashflow benefit for importers</w:t>
      </w:r>
    </w:p>
    <w:p>
      <w:pPr>
        <w:pStyle w:val="ListNumber"/>
      </w:pPr>
      <w:r>
        <w:rPr>
          <w:b/>
        </w:rPr>
        <w:t>Northern Ireland Protocol</w:t>
      </w:r>
      <w:r>
        <w:t>:</w:t>
      </w:r>
    </w:p>
    <w:p>
      <w:pPr>
        <w:pStyle w:val="ListBullet"/>
        <w:ind w:left="360"/>
      </w:pPr>
      <w:r>
        <w:t>Dual VAT territory considerations</w:t>
      </w:r>
    </w:p>
    <w:p>
      <w:pPr>
        <w:pStyle w:val="ListBullet"/>
        <w:ind w:left="360"/>
      </w:pPr>
      <w:r>
        <w:t>Goods moving GB-NI (Windsor Framework adjustments 2023-2024)</w:t>
      </w:r>
    </w:p>
    <w:p>
      <w:pPr>
        <w:pStyle w:val="Heading4"/>
      </w:pPr>
      <w:r>
        <w:t>3.4.3 Global Developments</w:t>
      </w:r>
    </w:p>
    <w:p>
      <w:r>
        <w:rPr>
          <w:b/>
        </w:rPr>
        <w:t>GCC VAT Harmonization</w:t>
      </w:r>
      <w:r>
        <w:t>:</w:t>
      </w:r>
    </w:p>
    <w:p>
      <w:pPr>
        <w:pStyle w:val="ListBullet"/>
      </w:pPr>
      <w:r>
        <w:t>UAE, Saudi Arabia, Bahrain, Oman: Different implementation stages</w:t>
      </w:r>
    </w:p>
    <w:p>
      <w:pPr>
        <w:pStyle w:val="ListBullet"/>
      </w:pPr>
      <w:r>
        <w:t>Cross-border supply challenges</w:t>
      </w:r>
    </w:p>
    <w:p>
      <w:pPr>
        <w:pStyle w:val="ListBullet"/>
      </w:pPr>
      <w:r>
        <w:t>Treaty absence creates double taxation risks</w:t>
      </w:r>
    </w:p>
    <w:p>
      <w:r>
        <w:rPr>
          <w:b/>
        </w:rPr>
        <w:t>Norway VAT Reform (2024)</w:t>
      </w:r>
      <w:r>
        <w:t>:</w:t>
      </w:r>
    </w:p>
    <w:p>
      <w:pPr>
        <w:pStyle w:val="ListBullet"/>
      </w:pPr>
      <w:r>
        <w:t>Simplification of refund procedures for non-resident businesses</w:t>
      </w:r>
    </w:p>
    <w:p>
      <w:pPr>
        <w:pStyle w:val="ListBullet"/>
      </w:pPr>
      <w:r>
        <w:t>Enhanced digital services</w:t>
      </w:r>
    </w:p>
    <w:p>
      <w:r>
        <w:rPr>
          <w:b/>
        </w:rPr>
        <w:t>Australia GST:</w:t>
      </w:r>
    </w:p>
    <w:p>
      <w:pPr>
        <w:pStyle w:val="ListBullet"/>
      </w:pPr>
      <w:r>
        <w:t>Expansion of offshore services GST scope</w:t>
      </w:r>
    </w:p>
    <w:p>
      <w:pPr>
        <w:pStyle w:val="ListBullet"/>
      </w:pPr>
      <w:r>
        <w:t>Mineral exploration exemption clarifications</w:t>
      </w:r>
    </w:p>
    <w:p>
      <w:pPr>
        <w:spacing w:before="120" w:after="120"/>
        <w:pBdr>
          <w:bottom w:val="single" w:sz="6" w:space="1" w:color="auto"/>
        </w:pBdr>
      </w:pPr>
    </w:p>
    <w:p>
      <w:pPr>
        <w:pStyle w:val="Heading2"/>
      </w:pPr>
      <w:r>
        <w:t>4. Application Methodology and Compliance Framework</w:t>
      </w:r>
    </w:p>
    <w:p>
      <w:pPr>
        <w:pStyle w:val="Heading3"/>
      </w:pPr>
      <w:r>
        <w:t>4.1 VAT Compliance Decision Tree</w:t>
      </w:r>
    </w:p>
    <w:p>
      <w:pPr>
        <w:shd w:fill="F0F0F0"/>
        <w:spacing w:after="0" w:line="240" w:lineRule="auto"/>
      </w:pPr>
      <w:r>
        <w:rPr>
          <w:rFonts w:ascii="Courier New" w:hAnsi="Courier New"/>
          <w:sz w:val="20"/>
        </w:rPr>
        <w:t>START: Analyze Transaction for VAT</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Is it a supply of goods or services?</w:t>
      </w:r>
    </w:p>
    <w:p>
      <w:pPr>
        <w:shd w:fill="F0F0F0"/>
        <w:spacing w:after="0" w:line="240" w:lineRule="auto"/>
      </w:pPr>
      <w:r>
        <w:rPr>
          <w:rFonts w:ascii="Courier New" w:hAnsi="Courier New"/>
          <w:sz w:val="20"/>
        </w:rPr>
        <w:t xml:space="preserve">    │   ├─ Goods → Apply goods place of supply rules</w:t>
      </w:r>
    </w:p>
    <w:p>
      <w:pPr>
        <w:shd w:fill="F0F0F0"/>
        <w:spacing w:after="0" w:line="240" w:lineRule="auto"/>
      </w:pPr>
      <w:r>
        <w:rPr>
          <w:rFonts w:ascii="Courier New" w:hAnsi="Courier New"/>
          <w:sz w:val="20"/>
        </w:rPr>
        <w:t xml:space="preserve">    │   └─ Services → Proceed to services rules</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Where is place of supply? (Services)</w:t>
      </w:r>
    </w:p>
    <w:p>
      <w:pPr>
        <w:shd w:fill="F0F0F0"/>
        <w:spacing w:after="0" w:line="240" w:lineRule="auto"/>
      </w:pPr>
      <w:r>
        <w:rPr>
          <w:rFonts w:ascii="Courier New" w:hAnsi="Courier New"/>
          <w:sz w:val="20"/>
        </w:rPr>
        <w:t xml:space="preserve">    │   ├─ B2B → Customer location (reverse charge likely)</w:t>
      </w:r>
    </w:p>
    <w:p>
      <w:pPr>
        <w:shd w:fill="F0F0F0"/>
        <w:spacing w:after="0" w:line="240" w:lineRule="auto"/>
      </w:pPr>
      <w:r>
        <w:rPr>
          <w:rFonts w:ascii="Courier New" w:hAnsi="Courier New"/>
          <w:sz w:val="20"/>
        </w:rPr>
        <w:t xml:space="preserve">    │   ├─ B2C → Supplier location (subject to exceptions)</w:t>
      </w:r>
    </w:p>
    <w:p>
      <w:pPr>
        <w:shd w:fill="F0F0F0"/>
        <w:spacing w:after="0" w:line="240" w:lineRule="auto"/>
      </w:pPr>
      <w:r>
        <w:rPr>
          <w:rFonts w:ascii="Courier New" w:hAnsi="Courier New"/>
          <w:sz w:val="20"/>
        </w:rPr>
        <w:t xml:space="preserve">    │   └─ Exceptions → Land-related (where land located)</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What is VAT treatment in supply jurisdiction?</w:t>
      </w:r>
    </w:p>
    <w:p>
      <w:pPr>
        <w:shd w:fill="F0F0F0"/>
        <w:spacing w:after="0" w:line="240" w:lineRule="auto"/>
      </w:pPr>
      <w:r>
        <w:rPr>
          <w:rFonts w:ascii="Courier New" w:hAnsi="Courier New"/>
          <w:sz w:val="20"/>
        </w:rPr>
        <w:t xml:space="preserve">    │   ├─ Standard-rated → Charge VAT at local rate</w:t>
      </w:r>
    </w:p>
    <w:p>
      <w:pPr>
        <w:shd w:fill="F0F0F0"/>
        <w:spacing w:after="0" w:line="240" w:lineRule="auto"/>
      </w:pPr>
      <w:r>
        <w:rPr>
          <w:rFonts w:ascii="Courier New" w:hAnsi="Courier New"/>
          <w:sz w:val="20"/>
        </w:rPr>
        <w:t xml:space="preserve">    │   ├─ Zero-rated → Charge 0%, maintain records</w:t>
      </w:r>
    </w:p>
    <w:p>
      <w:pPr>
        <w:shd w:fill="F0F0F0"/>
        <w:spacing w:after="0" w:line="240" w:lineRule="auto"/>
      </w:pPr>
      <w:r>
        <w:rPr>
          <w:rFonts w:ascii="Courier New" w:hAnsi="Courier New"/>
          <w:sz w:val="20"/>
        </w:rPr>
        <w:t xml:space="preserve">    │   ├─ Exempt → No VAT, input VAT restricted</w:t>
      </w:r>
    </w:p>
    <w:p>
      <w:pPr>
        <w:shd w:fill="F0F0F0"/>
        <w:spacing w:after="0" w:line="240" w:lineRule="auto"/>
      </w:pPr>
      <w:r>
        <w:rPr>
          <w:rFonts w:ascii="Courier New" w:hAnsi="Courier New"/>
          <w:sz w:val="20"/>
        </w:rPr>
        <w:t xml:space="preserve">    │   └─ Outside scope → No VAT implications</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Input VAT Recovery Assessment</w:t>
      </w:r>
    </w:p>
    <w:p>
      <w:pPr>
        <w:shd w:fill="F0F0F0"/>
        <w:spacing w:after="0" w:line="240" w:lineRule="auto"/>
      </w:pPr>
      <w:r>
        <w:rPr>
          <w:rFonts w:ascii="Courier New" w:hAnsi="Courier New"/>
          <w:sz w:val="20"/>
        </w:rPr>
        <w:t xml:space="preserve">    │   ├─ Fully taxable business → Full recovery</w:t>
      </w:r>
    </w:p>
    <w:p>
      <w:pPr>
        <w:shd w:fill="F0F0F0"/>
        <w:spacing w:after="0" w:line="240" w:lineRule="auto"/>
      </w:pPr>
      <w:r>
        <w:rPr>
          <w:rFonts w:ascii="Courier New" w:hAnsi="Courier New"/>
          <w:sz w:val="20"/>
        </w:rPr>
        <w:t xml:space="preserve">    │   ├─ Partially exempt → Calculate recovery %</w:t>
      </w:r>
    </w:p>
    <w:p>
      <w:pPr>
        <w:shd w:fill="F0F0F0"/>
        <w:spacing w:after="0" w:line="240" w:lineRule="auto"/>
      </w:pPr>
      <w:r>
        <w:rPr>
          <w:rFonts w:ascii="Courier New" w:hAnsi="Courier New"/>
          <w:sz w:val="20"/>
        </w:rPr>
        <w:t xml:space="preserve">    │   └─ Wholly exempt → No recovery</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 COMPLIANCE: Registration, invoicing, reporting</w:t>
      </w:r>
    </w:p>
    <w:p/>
    <w:p>
      <w:pPr>
        <w:pStyle w:val="Heading3"/>
      </w:pPr>
      <w:r>
        <w:t>4.2 Step-by-Step VAT Analysis Framework</w:t>
      </w:r>
    </w:p>
    <w:p>
      <w:r>
        <w:rPr>
          <w:b/>
        </w:rPr>
        <w:t>Step 1: Transaction Identification</w:t>
      </w:r>
    </w:p>
    <w:p>
      <w:pPr>
        <w:pStyle w:val="ListBullet"/>
      </w:pPr>
      <w:r>
        <w:t>Define supply: Goods vs. services</w:t>
      </w:r>
    </w:p>
    <w:p>
      <w:pPr>
        <w:pStyle w:val="ListBullet"/>
      </w:pPr>
      <w:r>
        <w:t>Identify supplier and customer jurisdictions</w:t>
      </w:r>
    </w:p>
    <w:p>
      <w:pPr>
        <w:pStyle w:val="ListBullet"/>
      </w:pPr>
      <w:r>
        <w:t>Determine B2B or B2C</w:t>
      </w:r>
    </w:p>
    <w:p>
      <w:r>
        <w:rPr>
          <w:b/>
        </w:rPr>
        <w:t>Step 2: Place of Supply Determination</w:t>
      </w:r>
    </w:p>
    <w:p>
      <w:pPr>
        <w:pStyle w:val="ListBullet"/>
      </w:pPr>
      <w:r>
        <w:t>Apply default rules (goods location, customer location for B2B services)</w:t>
      </w:r>
    </w:p>
    <w:p>
      <w:pPr>
        <w:pStyle w:val="ListBullet"/>
      </w:pPr>
      <w:r>
        <w:t>Check exceptions (land, transport, admission to events)</w:t>
      </w:r>
    </w:p>
    <w:p>
      <w:pPr>
        <w:pStyle w:val="ListBullet"/>
      </w:pPr>
      <w:r>
        <w:t>Document rationale for treatment</w:t>
      </w:r>
    </w:p>
    <w:p>
      <w:r>
        <w:rPr>
          <w:b/>
        </w:rPr>
        <w:t>Step 3: VAT Treatment</w:t>
      </w:r>
    </w:p>
    <w:p>
      <w:pPr>
        <w:pStyle w:val="ListBullet"/>
      </w:pPr>
      <w:r>
        <w:t>Standard-rated, zero-rated, exempt, or outside scope?</w:t>
      </w:r>
    </w:p>
    <w:p>
      <w:pPr>
        <w:pStyle w:val="ListBullet"/>
      </w:pPr>
      <w:r>
        <w:t>What rate applies?</w:t>
      </w:r>
    </w:p>
    <w:p>
      <w:pPr>
        <w:pStyle w:val="ListBullet"/>
      </w:pPr>
      <w:r>
        <w:t>Who accounts for VAT (supplier or reverse charge)?</w:t>
      </w:r>
    </w:p>
    <w:p>
      <w:r>
        <w:rPr>
          <w:b/>
        </w:rPr>
        <w:t>Step 4: Input VAT Recovery</w:t>
      </w:r>
    </w:p>
    <w:p>
      <w:pPr>
        <w:pStyle w:val="ListBullet"/>
      </w:pPr>
      <w:r>
        <w:t>Does transaction support taxable supplies?</w:t>
      </w:r>
    </w:p>
    <w:p>
      <w:pPr>
        <w:pStyle w:val="ListBullet"/>
      </w:pPr>
      <w:r>
        <w:t>Partial exemption restrictions?</w:t>
      </w:r>
    </w:p>
    <w:p>
      <w:pPr>
        <w:pStyle w:val="ListBullet"/>
      </w:pPr>
      <w:r>
        <w:t>Special disallowances (blocked input VAT)?</w:t>
      </w:r>
    </w:p>
    <w:p>
      <w:r>
        <w:rPr>
          <w:b/>
        </w:rPr>
        <w:t>Step 5: Compliance Requirements</w:t>
      </w:r>
    </w:p>
    <w:p>
      <w:pPr>
        <w:pStyle w:val="ListBullet"/>
      </w:pPr>
      <w:r>
        <w:t>Registration obligations in relevant jurisdictions</w:t>
      </w:r>
    </w:p>
    <w:p>
      <w:pPr>
        <w:pStyle w:val="ListBullet"/>
      </w:pPr>
      <w:r>
        <w:t>Invoice requirements (QR codes, e-invoicing)</w:t>
      </w:r>
    </w:p>
    <w:p>
      <w:pPr>
        <w:pStyle w:val="ListBullet"/>
      </w:pPr>
      <w:r>
        <w:t>Reporting deadlines (monthly, quarterly)</w:t>
      </w:r>
    </w:p>
    <w:p>
      <w:pPr>
        <w:pStyle w:val="ListBullet"/>
      </w:pPr>
      <w:r>
        <w:t>Record retention (typically 6 years)</w:t>
      </w:r>
    </w:p>
    <w:p>
      <w:pPr>
        <w:pStyle w:val="Heading3"/>
      </w:pPr>
      <w:r>
        <w:t>4.3 Compliance Calendar (UK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Period End</w:t>
            </w:r>
          </w:p>
        </w:tc>
        <w:tc>
          <w:tcPr>
            <w:tcW w:type="dxa" w:w="2880"/>
          </w:tcPr>
          <w:p>
            <w:r>
              <w:rPr>
                <w:b/>
              </w:rPr>
            </w:r>
            <w:r>
              <w:rPr>
                <w:b/>
              </w:rPr>
              <w:t>VAT Return Due</w:t>
            </w:r>
          </w:p>
        </w:tc>
        <w:tc>
          <w:tcPr>
            <w:tcW w:type="dxa" w:w="2880"/>
          </w:tcPr>
          <w:p>
            <w:r>
              <w:rPr>
                <w:b/>
              </w:rPr>
            </w:r>
            <w:r>
              <w:rPr>
                <w:b/>
              </w:rPr>
              <w:t>Payment Due</w:t>
            </w:r>
          </w:p>
        </w:tc>
      </w:tr>
      <w:tr>
        <w:tc>
          <w:tcPr>
            <w:tcW w:type="dxa" w:w="2880"/>
          </w:tcPr>
          <w:p>
            <w:r/>
            <w:r>
              <w:t>Monthly Returns</w:t>
            </w:r>
          </w:p>
        </w:tc>
        <w:tc>
          <w:tcPr>
            <w:tcW w:type="dxa" w:w="2880"/>
          </w:tcPr>
          <w:p>
            <w:r/>
            <w:r>
              <w:t>1 month + 7 days</w:t>
            </w:r>
          </w:p>
        </w:tc>
        <w:tc>
          <w:tcPr>
            <w:tcW w:type="dxa" w:w="2880"/>
          </w:tcPr>
          <w:p>
            <w:r/>
            <w:r>
              <w:t>Same day</w:t>
            </w:r>
          </w:p>
        </w:tc>
      </w:tr>
      <w:tr>
        <w:tc>
          <w:tcPr>
            <w:tcW w:type="dxa" w:w="2880"/>
          </w:tcPr>
          <w:p>
            <w:r/>
            <w:r>
              <w:t>Quarterly Returns</w:t>
            </w:r>
          </w:p>
        </w:tc>
        <w:tc>
          <w:tcPr>
            <w:tcW w:type="dxa" w:w="2880"/>
          </w:tcPr>
          <w:p>
            <w:r/>
            <w:r>
              <w:t>1 month + 7 days</w:t>
            </w:r>
          </w:p>
        </w:tc>
        <w:tc>
          <w:tcPr>
            <w:tcW w:type="dxa" w:w="2880"/>
          </w:tcPr>
          <w:p>
            <w:r/>
            <w:r>
              <w:t>Same day</w:t>
            </w:r>
          </w:p>
        </w:tc>
      </w:tr>
      <w:tr>
        <w:tc>
          <w:tcPr>
            <w:tcW w:type="dxa" w:w="2880"/>
          </w:tcPr>
          <w:p>
            <w:r/>
            <w:r>
              <w:t>Annual Accounting</w:t>
            </w:r>
          </w:p>
        </w:tc>
        <w:tc>
          <w:tcPr>
            <w:tcW w:type="dxa" w:w="2880"/>
          </w:tcPr>
          <w:p>
            <w:r/>
            <w:r>
              <w:t>2 months after year end</w:t>
            </w:r>
          </w:p>
        </w:tc>
        <w:tc>
          <w:tcPr>
            <w:tcW w:type="dxa" w:w="2880"/>
          </w:tcPr>
          <w:p>
            <w:r/>
            <w:r>
              <w:t>Instalments + balance</w:t>
            </w:r>
          </w:p>
        </w:tc>
      </w:tr>
    </w:tbl>
    <w:p/>
    <w:p>
      <w:r>
        <w:rPr>
          <w:b/>
        </w:rPr>
        <w:t>Key Deadlines:</w:t>
      </w:r>
    </w:p>
    <w:p>
      <w:pPr>
        <w:pStyle w:val="ListBullet"/>
      </w:pPr>
      <w:r>
        <w:rPr>
          <w:b/>
        </w:rPr>
        <w:t>EC Sales Lists</w:t>
      </w:r>
      <w:r>
        <w:t xml:space="preserve"> (if applicable): Due 14 days after period end (monthly if &gt;£35k)</w:t>
      </w:r>
    </w:p>
    <w:p>
      <w:pPr>
        <w:pStyle w:val="ListBullet"/>
      </w:pPr>
      <w:r>
        <w:rPr>
          <w:b/>
        </w:rPr>
        <w:t>Intrastat Returns</w:t>
      </w:r>
      <w:r>
        <w:t>: Due 21 days after month end (goods movements &gt;£250k)</w:t>
      </w:r>
    </w:p>
    <w:p>
      <w:pPr>
        <w:spacing w:before="120" w:after="120"/>
        <w:pBdr>
          <w:bottom w:val="single" w:sz="6" w:space="1" w:color="auto"/>
        </w:pBdr>
      </w:pPr>
    </w:p>
    <w:p>
      <w:pPr>
        <w:pStyle w:val="Heading2"/>
      </w:pPr>
      <w:r>
        <w:t>5. Worked Examples</w:t>
      </w:r>
    </w:p>
    <w:p>
      <w:pPr>
        <w:pStyle w:val="Heading3"/>
      </w:pPr>
      <w:r>
        <w:t>Example 1: VAT Recovery Calculation with Partial Exemption</w:t>
      </w:r>
    </w:p>
    <w:p>
      <w:r>
        <w:rPr>
          <w:b/>
        </w:rPr>
        <w:t>Fact Pattern:</w:t>
      </w:r>
    </w:p>
    <w:p>
      <w:r>
        <w:rPr>
          <w:b/>
        </w:rPr>
        <w:t>EnergyCo UK Ltd</w:t>
      </w:r>
      <w:r>
        <w:t xml:space="preserve"> is a UK-registered oil and gas company engaged in:</w:t>
      </w:r>
    </w:p>
    <w:p>
      <w:pPr>
        <w:pStyle w:val="ListNumber"/>
      </w:pPr>
      <w:r>
        <w:rPr>
          <w:b/>
        </w:rPr>
        <w:t>Upstream operations</w:t>
      </w:r>
      <w:r>
        <w:t>: Crude oil production from UK Continental Shelf (zero-rated sales)</w:t>
      </w:r>
    </w:p>
    <w:p>
      <w:pPr>
        <w:pStyle w:val="ListNumber"/>
      </w:pPr>
      <w:r>
        <w:rPr>
          <w:b/>
        </w:rPr>
        <w:t>Financial services</w:t>
      </w:r>
      <w:r>
        <w:t>: Provides loan guarantee services to joint venture partners (exempt supplies)</w:t>
      </w:r>
    </w:p>
    <w:p>
      <w:r>
        <w:rPr>
          <w:b/>
        </w:rPr>
        <w:t>Financial Year 2024 Data:</w:t>
      </w:r>
    </w:p>
    <w:p>
      <w:r>
        <w:rPr>
          <w:b/>
        </w:rPr>
        <w:t>Supplies (Outputs):</w:t>
      </w:r>
    </w:p>
    <w:p>
      <w:pPr>
        <w:pStyle w:val="ListBullet"/>
      </w:pPr>
      <w:r>
        <w:t>Zero-rated crude oil sales: £50,000,000</w:t>
      </w:r>
    </w:p>
    <w:p>
      <w:pPr>
        <w:pStyle w:val="ListBullet"/>
      </w:pPr>
      <w:r>
        <w:t>Exempt guarantee fee income: £500,000</w:t>
      </w:r>
    </w:p>
    <w:p>
      <w:pPr>
        <w:pStyle w:val="ListBullet"/>
      </w:pPr>
      <w:r>
        <w:t>Total supplies: £50,500,000</w:t>
      </w:r>
    </w:p>
    <w:p>
      <w:r>
        <w:rPr>
          <w:b/>
        </w:rPr>
        <w:t>Costs (Inputs) - VAT Incurred: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Cost Category</w:t>
            </w:r>
          </w:p>
        </w:tc>
        <w:tc>
          <w:tcPr>
            <w:tcW w:type="dxa" w:w="2160"/>
          </w:tcPr>
          <w:p>
            <w:r>
              <w:rPr>
                <w:b/>
              </w:rPr>
            </w:r>
            <w:r>
              <w:rPr>
                <w:b/>
              </w:rPr>
              <w:t>Net Amount (£)</w:t>
            </w:r>
          </w:p>
        </w:tc>
        <w:tc>
          <w:tcPr>
            <w:tcW w:type="dxa" w:w="2160"/>
          </w:tcPr>
          <w:p>
            <w:r>
              <w:rPr>
                <w:b/>
              </w:rPr>
            </w:r>
            <w:r>
              <w:rPr>
                <w:b/>
              </w:rPr>
              <w:t>VAT @ 20% (£)</w:t>
            </w:r>
          </w:p>
        </w:tc>
        <w:tc>
          <w:tcPr>
            <w:tcW w:type="dxa" w:w="2160"/>
          </w:tcPr>
          <w:p>
            <w:r>
              <w:rPr>
                <w:b/>
              </w:rPr>
            </w:r>
            <w:r>
              <w:rPr>
                <w:b/>
              </w:rPr>
              <w:t>Attribution</w:t>
            </w:r>
          </w:p>
        </w:tc>
      </w:tr>
      <w:tr>
        <w:tc>
          <w:tcPr>
            <w:tcW w:type="dxa" w:w="2160"/>
          </w:tcPr>
          <w:p>
            <w:r/>
            <w:r>
              <w:t>Drilling services (offshore - zero-rated)</w:t>
            </w:r>
          </w:p>
        </w:tc>
        <w:tc>
          <w:tcPr>
            <w:tcW w:type="dxa" w:w="2160"/>
          </w:tcPr>
          <w:p>
            <w:r/>
            <w:r>
              <w:t>10,000,000</w:t>
            </w:r>
          </w:p>
        </w:tc>
        <w:tc>
          <w:tcPr>
            <w:tcW w:type="dxa" w:w="2160"/>
          </w:tcPr>
          <w:p>
            <w:r/>
            <w:r>
              <w:t>0</w:t>
            </w:r>
          </w:p>
        </w:tc>
        <w:tc>
          <w:tcPr>
            <w:tcW w:type="dxa" w:w="2160"/>
          </w:tcPr>
          <w:p>
            <w:r/>
            <w:r>
              <w:t>Direct - Upstream</w:t>
            </w:r>
          </w:p>
        </w:tc>
      </w:tr>
      <w:tr>
        <w:tc>
          <w:tcPr>
            <w:tcW w:type="dxa" w:w="2160"/>
          </w:tcPr>
          <w:p>
            <w:r/>
            <w:r>
              <w:t>Consulting services</w:t>
            </w:r>
          </w:p>
        </w:tc>
        <w:tc>
          <w:tcPr>
            <w:tcW w:type="dxa" w:w="2160"/>
          </w:tcPr>
          <w:p>
            <w:r/>
            <w:r>
              <w:t>2,000,000</w:t>
            </w:r>
          </w:p>
        </w:tc>
        <w:tc>
          <w:tcPr>
            <w:tcW w:type="dxa" w:w="2160"/>
          </w:tcPr>
          <w:p>
            <w:r/>
            <w:r>
              <w:t>400,000</w:t>
            </w:r>
          </w:p>
        </w:tc>
        <w:tc>
          <w:tcPr>
            <w:tcW w:type="dxa" w:w="2160"/>
          </w:tcPr>
          <w:p>
            <w:r/>
            <w:r>
              <w:t>Direct - Upstream</w:t>
            </w:r>
          </w:p>
        </w:tc>
      </w:tr>
      <w:tr>
        <w:tc>
          <w:tcPr>
            <w:tcW w:type="dxa" w:w="2160"/>
          </w:tcPr>
          <w:p>
            <w:r/>
            <w:r>
              <w:t>Head office rent (opted to tax)</w:t>
            </w:r>
          </w:p>
        </w:tc>
        <w:tc>
          <w:tcPr>
            <w:tcW w:type="dxa" w:w="2160"/>
          </w:tcPr>
          <w:p>
            <w:r/>
            <w:r>
              <w:t>500,000</w:t>
            </w:r>
          </w:p>
        </w:tc>
        <w:tc>
          <w:tcPr>
            <w:tcW w:type="dxa" w:w="2160"/>
          </w:tcPr>
          <w:p>
            <w:r/>
            <w:r>
              <w:t>100,000</w:t>
            </w:r>
          </w:p>
        </w:tc>
        <w:tc>
          <w:tcPr>
            <w:tcW w:type="dxa" w:w="2160"/>
          </w:tcPr>
          <w:p>
            <w:r/>
            <w:r>
              <w:t>Indirect - Both</w:t>
            </w:r>
          </w:p>
        </w:tc>
      </w:tr>
      <w:tr>
        <w:tc>
          <w:tcPr>
            <w:tcW w:type="dxa" w:w="2160"/>
          </w:tcPr>
          <w:p>
            <w:r/>
            <w:r>
              <w:t>IT systems</w:t>
            </w:r>
          </w:p>
        </w:tc>
        <w:tc>
          <w:tcPr>
            <w:tcW w:type="dxa" w:w="2160"/>
          </w:tcPr>
          <w:p>
            <w:r/>
            <w:r>
              <w:t>300,000</w:t>
            </w:r>
          </w:p>
        </w:tc>
        <w:tc>
          <w:tcPr>
            <w:tcW w:type="dxa" w:w="2160"/>
          </w:tcPr>
          <w:p>
            <w:r/>
            <w:r>
              <w:t>60,000</w:t>
            </w:r>
          </w:p>
        </w:tc>
        <w:tc>
          <w:tcPr>
            <w:tcW w:type="dxa" w:w="2160"/>
          </w:tcPr>
          <w:p>
            <w:r/>
            <w:r>
              <w:t>Indirect - Both</w:t>
            </w:r>
          </w:p>
        </w:tc>
      </w:tr>
      <w:tr>
        <w:tc>
          <w:tcPr>
            <w:tcW w:type="dxa" w:w="2160"/>
          </w:tcPr>
          <w:p>
            <w:r/>
            <w:r>
              <w:t>Legal fees (corporate finance)</w:t>
            </w:r>
          </w:p>
        </w:tc>
        <w:tc>
          <w:tcPr>
            <w:tcW w:type="dxa" w:w="2160"/>
          </w:tcPr>
          <w:p>
            <w:r/>
            <w:r>
              <w:t>100,000</w:t>
            </w:r>
          </w:p>
        </w:tc>
        <w:tc>
          <w:tcPr>
            <w:tcW w:type="dxa" w:w="2160"/>
          </w:tcPr>
          <w:p>
            <w:r/>
            <w:r>
              <w:t>20,000</w:t>
            </w:r>
          </w:p>
        </w:tc>
        <w:tc>
          <w:tcPr>
            <w:tcW w:type="dxa" w:w="2160"/>
          </w:tcPr>
          <w:p>
            <w:r/>
            <w:r>
              <w:t>Direct - Exempt</w:t>
            </w:r>
          </w:p>
        </w:tc>
      </w:tr>
      <w:tr>
        <w:tc>
          <w:tcPr>
            <w:tcW w:type="dxa" w:w="2160"/>
          </w:tcPr>
          <w:p>
            <w:r/>
            <w:r>
              <w:t>Insurance (blocked input VAT)</w:t>
            </w:r>
          </w:p>
        </w:tc>
        <w:tc>
          <w:tcPr>
            <w:tcW w:type="dxa" w:w="2160"/>
          </w:tcPr>
          <w:p>
            <w:r/>
            <w:r>
              <w:t>50,000</w:t>
            </w:r>
          </w:p>
        </w:tc>
        <w:tc>
          <w:tcPr>
            <w:tcW w:type="dxa" w:w="2160"/>
          </w:tcPr>
          <w:p>
            <w:r/>
            <w:r>
              <w:t>10,000</w:t>
            </w:r>
          </w:p>
        </w:tc>
        <w:tc>
          <w:tcPr>
            <w:tcW w:type="dxa" w:w="2160"/>
          </w:tcPr>
          <w:p>
            <w:r/>
            <w:r>
              <w:t>Indirect - Blocked</w:t>
            </w:r>
          </w:p>
        </w:tc>
      </w:tr>
      <w:tr>
        <w:tc>
          <w:tcPr>
            <w:tcW w:type="dxa" w:w="2160"/>
          </w:tcPr>
          <w:p>
            <w:r/>
            <w:r>
              <w:rPr>
                <w:b/>
              </w:rPr>
              <w:t>Total Input VAT</w:t>
            </w:r>
          </w:p>
        </w:tc>
        <w:tc>
          <w:tcPr>
            <w:tcW w:type="dxa" w:w="2160"/>
          </w:tcPr>
          <w:p>
            <w:r/>
          </w:p>
        </w:tc>
        <w:tc>
          <w:tcPr>
            <w:tcW w:type="dxa" w:w="2160"/>
          </w:tcPr>
          <w:p>
            <w:r/>
            <w:r>
              <w:rPr>
                <w:b/>
              </w:rPr>
              <w:t>590,000</w:t>
            </w:r>
          </w:p>
        </w:tc>
        <w:tc>
          <w:tcPr>
            <w:tcW w:type="dxa" w:w="2160"/>
          </w:tcPr>
          <w:p>
            <w:r/>
          </w:p>
        </w:tc>
      </w:tr>
    </w:tbl>
    <w:p/>
    <w:p>
      <w:r>
        <w:rPr>
          <w:b/>
        </w:rPr>
        <w:t>Required:</w:t>
      </w:r>
    </w:p>
    <w:p>
      <w:r>
        <w:t>(a) Calculate recoverable input VAT under standard method</w:t>
      </w:r>
    </w:p>
    <w:p>
      <w:r>
        <w:t>(b) Apply de minimis test</w:t>
      </w:r>
    </w:p>
    <w:p>
      <w:r>
        <w:t>(c) Determine if special method would be beneficial</w:t>
      </w:r>
    </w:p>
    <w:p>
      <w:r>
        <w:rPr>
          <w:b/>
        </w:rPr>
        <w:t>Solution:</w:t>
      </w:r>
    </w:p>
    <w:p>
      <w:pPr>
        <w:pStyle w:val="Heading4"/>
      </w:pPr>
      <w:r>
        <w:t>Part (a): Standard Method Calculation</w:t>
      </w:r>
    </w:p>
    <w:p>
      <w:r>
        <w:rPr>
          <w:b/>
        </w:rPr>
        <w:t>Step 1: Calculate Recovery Percentage</w:t>
      </w:r>
    </w:p>
    <w:p>
      <w:pPr>
        <w:shd w:fill="F0F0F0"/>
        <w:spacing w:after="0" w:line="240" w:lineRule="auto"/>
      </w:pPr>
      <w:r>
        <w:rPr>
          <w:rFonts w:ascii="Courier New" w:hAnsi="Courier New"/>
          <w:sz w:val="20"/>
        </w:rPr>
        <w:t>Recovery % = Taxable Supplies / Total Supplies × 100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Taxable Supplies = Zero-rated sales = £50,000,000</w:t>
      </w:r>
    </w:p>
    <w:p>
      <w:pPr>
        <w:shd w:fill="F0F0F0"/>
        <w:spacing w:after="0" w:line="240" w:lineRule="auto"/>
      </w:pPr>
      <w:r>
        <w:rPr>
          <w:rFonts w:ascii="Courier New" w:hAnsi="Courier New"/>
          <w:sz w:val="20"/>
        </w:rPr>
        <w:t>Exempt Supplies = £500,000</w:t>
      </w:r>
    </w:p>
    <w:p>
      <w:pPr>
        <w:shd w:fill="F0F0F0"/>
        <w:spacing w:after="0" w:line="240" w:lineRule="auto"/>
      </w:pPr>
      <w:r>
        <w:rPr>
          <w:rFonts w:ascii="Courier New" w:hAnsi="Courier New"/>
          <w:sz w:val="20"/>
        </w:rPr>
        <w:t>Total Supplies = £50,500,000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Recovery % = £50,000,000 / £50,500,000 × 100 = 99.01%</w:t>
      </w:r>
    </w:p>
    <w:p/>
    <w:p>
      <w:r>
        <w:rPr>
          <w:b/>
        </w:rPr>
        <w:t>Step 2: Classify Input VAT</w:t>
      </w:r>
    </w:p>
    <w:p>
      <w:r>
        <w:rPr>
          <w:b/>
        </w:rPr>
        <w:t>Directly Attributable VAT:</w:t>
      </w:r>
    </w:p>
    <w:p>
      <w:pPr>
        <w:pStyle w:val="ListBullet"/>
      </w:pPr>
      <w:r>
        <w:t>Direct Upstream (fully recoverable): £0 + £400,000 = £400,000</w:t>
      </w:r>
    </w:p>
    <w:p>
      <w:pPr>
        <w:pStyle w:val="ListBullet"/>
      </w:pPr>
      <w:r>
        <w:t>Direct Exempt (non-recoverable): £20,000</w:t>
      </w:r>
    </w:p>
    <w:p>
      <w:r>
        <w:rPr>
          <w:b/>
        </w:rPr>
        <w:t>Indirectly Attributable VAT:</w:t>
      </w:r>
    </w:p>
    <w:p>
      <w:pPr>
        <w:pStyle w:val="ListBullet"/>
      </w:pPr>
      <w:r>
        <w:t>Head office rent: £100,000</w:t>
      </w:r>
    </w:p>
    <w:p>
      <w:pPr>
        <w:pStyle w:val="ListBullet"/>
      </w:pPr>
      <w:r>
        <w:t>IT systems: £60,000</w:t>
      </w:r>
    </w:p>
    <w:p>
      <w:pPr>
        <w:pStyle w:val="ListBullet"/>
      </w:pPr>
      <w:r>
        <w:t>Total indirect: £160,000</w:t>
      </w:r>
    </w:p>
    <w:p>
      <w:r>
        <w:rPr>
          <w:b/>
        </w:rPr>
        <w:t>Blocked Input VAT:</w:t>
      </w:r>
    </w:p>
    <w:p>
      <w:pPr>
        <w:pStyle w:val="ListBullet"/>
      </w:pPr>
      <w:r>
        <w:t>Insurance: £10,000 (not recoverable regardless)</w:t>
      </w:r>
    </w:p>
    <w:p>
      <w:r>
        <w:rPr>
          <w:b/>
        </w:rPr>
        <w:t>Step 3: Apply Standard Method to Indirect VAT</w:t>
      </w:r>
    </w:p>
    <w:p>
      <w:pPr>
        <w:shd w:fill="F0F0F0"/>
        <w:spacing w:after="0" w:line="240" w:lineRule="auto"/>
      </w:pPr>
      <w:r>
        <w:rPr>
          <w:rFonts w:ascii="Courier New" w:hAnsi="Courier New"/>
          <w:sz w:val="20"/>
        </w:rPr>
        <w:t>Recoverable Indirect VAT = £160,000 × 99.01% = £158,416</w:t>
      </w:r>
    </w:p>
    <w:p>
      <w:pPr>
        <w:shd w:fill="F0F0F0"/>
        <w:spacing w:after="0" w:line="240" w:lineRule="auto"/>
      </w:pPr>
      <w:r>
        <w:rPr>
          <w:rFonts w:ascii="Courier New" w:hAnsi="Courier New"/>
          <w:sz w:val="20"/>
        </w:rPr>
        <w:t>Non-recoverable Indirect VAT = £160,000 × 0.99% = £1,584</w:t>
      </w:r>
    </w:p>
    <w:p/>
    <w:p>
      <w:r>
        <w:rPr>
          <w:b/>
        </w:rPr>
        <w:t>Step 4: Total Recoverable VAT</w:t>
      </w:r>
    </w:p>
    <w:p>
      <w:pPr>
        <w:shd w:fill="F0F0F0"/>
        <w:spacing w:after="0" w:line="240" w:lineRule="auto"/>
      </w:pPr>
      <w:r>
        <w:rPr>
          <w:rFonts w:ascii="Courier New" w:hAnsi="Courier New"/>
          <w:sz w:val="20"/>
        </w:rPr>
        <w:t>Direct Upstream VAT:                    £400,000</w:t>
      </w:r>
    </w:p>
    <w:p>
      <w:pPr>
        <w:shd w:fill="F0F0F0"/>
        <w:spacing w:after="0" w:line="240" w:lineRule="auto"/>
      </w:pPr>
      <w:r>
        <w:rPr>
          <w:rFonts w:ascii="Courier New" w:hAnsi="Courier New"/>
          <w:sz w:val="20"/>
        </w:rPr>
        <w:t>Recoverable Indirect VAT:               £158,416</w:t>
      </w:r>
    </w:p>
    <w:p>
      <w:pPr>
        <w:shd w:fill="F0F0F0"/>
        <w:spacing w:after="0" w:line="240" w:lineRule="auto"/>
      </w:pPr>
      <w:r>
        <w:rPr>
          <w:rFonts w:ascii="Courier New" w:hAnsi="Courier New"/>
          <w:sz w:val="20"/>
        </w:rPr>
        <w:t xml:space="preserve">                                       __________</w:t>
      </w:r>
    </w:p>
    <w:p>
      <w:pPr>
        <w:shd w:fill="F0F0F0"/>
        <w:spacing w:after="0" w:line="240" w:lineRule="auto"/>
      </w:pPr>
      <w:r>
        <w:rPr>
          <w:rFonts w:ascii="Courier New" w:hAnsi="Courier New"/>
          <w:sz w:val="20"/>
        </w:rPr>
        <w:t>TOTAL RECOVERABLE INPUT VAT:            £558,416</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Non-Recoverable VAT:</w:t>
      </w:r>
    </w:p>
    <w:p>
      <w:pPr>
        <w:shd w:fill="F0F0F0"/>
        <w:spacing w:after="0" w:line="240" w:lineRule="auto"/>
      </w:pPr>
      <w:r>
        <w:rPr>
          <w:rFonts w:ascii="Courier New" w:hAnsi="Courier New"/>
          <w:sz w:val="20"/>
        </w:rPr>
        <w:t>Direct Exempt:                          £20,000</w:t>
      </w:r>
    </w:p>
    <w:p>
      <w:pPr>
        <w:shd w:fill="F0F0F0"/>
        <w:spacing w:after="0" w:line="240" w:lineRule="auto"/>
      </w:pPr>
      <w:r>
        <w:rPr>
          <w:rFonts w:ascii="Courier New" w:hAnsi="Courier New"/>
          <w:sz w:val="20"/>
        </w:rPr>
        <w:t>Non-recoverable Indirect:               £1,584</w:t>
      </w:r>
    </w:p>
    <w:p>
      <w:pPr>
        <w:shd w:fill="F0F0F0"/>
        <w:spacing w:after="0" w:line="240" w:lineRule="auto"/>
      </w:pPr>
      <w:r>
        <w:rPr>
          <w:rFonts w:ascii="Courier New" w:hAnsi="Courier New"/>
          <w:sz w:val="20"/>
        </w:rPr>
        <w:t>Blocked (Insurance):                    £10,000</w:t>
      </w:r>
    </w:p>
    <w:p>
      <w:pPr>
        <w:shd w:fill="F0F0F0"/>
        <w:spacing w:after="0" w:line="240" w:lineRule="auto"/>
      </w:pPr>
      <w:r>
        <w:rPr>
          <w:rFonts w:ascii="Courier New" w:hAnsi="Courier New"/>
          <w:sz w:val="20"/>
        </w:rPr>
        <w:t xml:space="preserve">                                       __________</w:t>
      </w:r>
    </w:p>
    <w:p>
      <w:pPr>
        <w:shd w:fill="F0F0F0"/>
        <w:spacing w:after="0" w:line="240" w:lineRule="auto"/>
      </w:pPr>
      <w:r>
        <w:rPr>
          <w:rFonts w:ascii="Courier New" w:hAnsi="Courier New"/>
          <w:sz w:val="20"/>
        </w:rPr>
        <w:t>TOTAL NON-RECOVERABLE (COST):           £31,584</w:t>
      </w:r>
    </w:p>
    <w:p/>
    <w:p>
      <w:pPr>
        <w:pStyle w:val="Heading4"/>
      </w:pPr>
      <w:r>
        <w:t>Part (b): De Minimis Test</w:t>
      </w:r>
    </w:p>
    <w:p>
      <w:r>
        <w:rPr>
          <w:b/>
        </w:rPr>
        <w:t>Annual De Minimis Limits (UK):</w:t>
      </w:r>
    </w:p>
    <w:p>
      <w:pPr>
        <w:pStyle w:val="ListNumber"/>
      </w:pPr>
      <w:r>
        <w:t>Exempt input tax ≤ £7,500 per annum, AND</w:t>
      </w:r>
    </w:p>
    <w:p>
      <w:pPr>
        <w:pStyle w:val="ListNumber"/>
      </w:pPr>
      <w:r>
        <w:t>Exempt input tax ≤ 50% of total input tax</w:t>
      </w:r>
    </w:p>
    <w:p>
      <w:r>
        <w:rPr>
          <w:b/>
        </w:rPr>
        <w:t>Calculation:</w:t>
      </w:r>
    </w:p>
    <w:p>
      <w:pPr>
        <w:shd w:fill="F0F0F0"/>
        <w:spacing w:after="0" w:line="240" w:lineRule="auto"/>
      </w:pPr>
      <w:r>
        <w:rPr>
          <w:rFonts w:ascii="Courier New" w:hAnsi="Courier New"/>
          <w:sz w:val="20"/>
        </w:rPr>
        <w:t>Exempt Input VAT = Direct Exempt + (Indirect × Exempt %)</w:t>
      </w:r>
    </w:p>
    <w:p>
      <w:pPr>
        <w:shd w:fill="F0F0F0"/>
        <w:spacing w:after="0" w:line="240" w:lineRule="auto"/>
      </w:pPr>
      <w:r>
        <w:rPr>
          <w:rFonts w:ascii="Courier New" w:hAnsi="Courier New"/>
          <w:sz w:val="20"/>
        </w:rPr>
        <w:t xml:space="preserve">                 = £20,000 + £1,584</w:t>
      </w:r>
    </w:p>
    <w:p>
      <w:pPr>
        <w:shd w:fill="F0F0F0"/>
        <w:spacing w:after="0" w:line="240" w:lineRule="auto"/>
      </w:pPr>
      <w:r>
        <w:rPr>
          <w:rFonts w:ascii="Courier New" w:hAnsi="Courier New"/>
          <w:sz w:val="20"/>
        </w:rPr>
        <w:t xml:space="preserve">                 = £21,584</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Test 1: £21,584 &gt; £7,500 ✗ FAILS</w:t>
      </w:r>
    </w:p>
    <w:p>
      <w:pPr>
        <w:shd w:fill="F0F0F0"/>
        <w:spacing w:after="0" w:line="240" w:lineRule="auto"/>
      </w:pPr>
      <w:r>
        <w:rPr>
          <w:rFonts w:ascii="Courier New" w:hAnsi="Courier New"/>
          <w:sz w:val="20"/>
        </w:rPr>
        <w:t>Test 2: £21,584 / £590,000 = 3.66% &lt; 50% ✓ PASSES</w:t>
      </w:r>
    </w:p>
    <w:p/>
    <w:p>
      <w:r>
        <w:rPr>
          <w:b/>
        </w:rPr>
        <w:t>Result</w:t>
      </w:r>
      <w:r>
        <w:t xml:space="preserve">: De minimis test </w:t>
      </w:r>
      <w:r>
        <w:rPr>
          <w:b/>
        </w:rPr>
        <w:t>FAILED</w:t>
      </w:r>
      <w:r>
        <w:t xml:space="preserve"> (Test 1 not met). Standard method must be applied; no full recovery allowed.</w:t>
      </w:r>
    </w:p>
    <w:p>
      <w:pPr>
        <w:pStyle w:val="Heading4"/>
      </w:pPr>
      <w:r>
        <w:t>Part (c): Special Method Analysis</w:t>
      </w:r>
    </w:p>
    <w:p>
      <w:r>
        <w:rPr>
          <w:b/>
        </w:rPr>
        <w:t>Current Position (Standard Method):</w:t>
      </w:r>
    </w:p>
    <w:p>
      <w:pPr>
        <w:pStyle w:val="ListBullet"/>
      </w:pPr>
      <w:r>
        <w:t>Recoverable: £558,416 (94.6% recovery rate)</w:t>
      </w:r>
    </w:p>
    <w:p>
      <w:pPr>
        <w:pStyle w:val="ListBullet"/>
      </w:pPr>
      <w:r>
        <w:t>Non-recoverable: £31,584 (5.4% cost)</w:t>
      </w:r>
    </w:p>
    <w:p>
      <w:r>
        <w:rPr>
          <w:b/>
        </w:rPr>
        <w:t>Alternative: Direct Attribution Plus Use-Based Apportionment</w:t>
      </w:r>
    </w:p>
    <w:p>
      <w:r>
        <w:t xml:space="preserve">If indirect costs (rent, IT) can be attributed based on </w:t>
      </w:r>
      <w:r>
        <w:rPr>
          <w:b/>
        </w:rPr>
        <w:t>usage metrics</w:t>
      </w:r>
      <w:r>
        <w:t>:</w:t>
      </w:r>
    </w:p>
    <w:p>
      <w:r>
        <w:t>Example allocation:</w:t>
      </w:r>
    </w:p>
    <w:p>
      <w:pPr>
        <w:pStyle w:val="ListBullet"/>
      </w:pPr>
      <w:r>
        <w:t>Head office rent: 95% upstream usage (floor space analysis)</w:t>
      </w:r>
    </w:p>
    <w:p>
      <w:pPr>
        <w:pStyle w:val="ListBullet"/>
      </w:pPr>
      <w:r>
        <w:t>IT systems: 98% upstream usage (user analysis)</w:t>
      </w:r>
    </w:p>
    <w:p>
      <w:r>
        <w:rPr>
          <w:b/>
        </w:rPr>
        <w:t>Revised Calculation:</w:t>
      </w:r>
    </w:p>
    <w:p>
      <w:pPr>
        <w:shd w:fill="F0F0F0"/>
        <w:spacing w:after="0" w:line="240" w:lineRule="auto"/>
      </w:pPr>
      <w:r>
        <w:rPr>
          <w:rFonts w:ascii="Courier New" w:hAnsi="Courier New"/>
          <w:sz w:val="20"/>
        </w:rPr>
        <w:t>Head office rent recovery: £100,000 × 95% = £95,000</w:t>
      </w:r>
    </w:p>
    <w:p>
      <w:pPr>
        <w:shd w:fill="F0F0F0"/>
        <w:spacing w:after="0" w:line="240" w:lineRule="auto"/>
      </w:pPr>
      <w:r>
        <w:rPr>
          <w:rFonts w:ascii="Courier New" w:hAnsi="Courier New"/>
          <w:sz w:val="20"/>
        </w:rPr>
        <w:t>IT systems recovery: £60,000 × 98% = £58,800</w:t>
      </w:r>
    </w:p>
    <w:p>
      <w:pPr>
        <w:shd w:fill="F0F0F0"/>
        <w:spacing w:after="0" w:line="240" w:lineRule="auto"/>
      </w:pPr>
      <w:r>
        <w:rPr>
          <w:rFonts w:ascii="Courier New" w:hAnsi="Courier New"/>
          <w:sz w:val="20"/>
        </w:rPr>
        <w:t>Total indirect recovery: £153,800 (vs. £158,416 standard method)</w:t>
      </w:r>
    </w:p>
    <w:p/>
    <w:p>
      <w:r>
        <w:rPr>
          <w:b/>
        </w:rPr>
        <w:t>Analysis</w:t>
      </w:r>
      <w:r>
        <w:t xml:space="preserve">: Standard method produces </w:t>
      </w:r>
      <w:r>
        <w:rPr>
          <w:b/>
        </w:rPr>
        <w:t>better recovery</w:t>
      </w:r>
      <w:r>
        <w:t xml:space="preserve"> (£158,416 vs. £153,800) due to high proportion of zero-rated supplies (99.01%). Special method not beneficial in this case.</w:t>
      </w:r>
    </w:p>
    <w:p>
      <w:r>
        <w:rPr>
          <w:b/>
        </w:rPr>
        <w:t>Recommendation</w:t>
      </w:r>
      <w:r>
        <w:t>: Maintain standard method unless indirect cost usage shifts significantly toward exempt activities.</w:t>
      </w:r>
    </w:p>
    <w:p>
      <w:pPr>
        <w:spacing w:before="120" w:after="120"/>
        <w:pBdr>
          <w:bottom w:val="single" w:sz="6" w:space="1" w:color="auto"/>
        </w:pBdr>
      </w:pPr>
    </w:p>
    <w:p>
      <w:pPr>
        <w:pStyle w:val="Heading3"/>
      </w:pPr>
      <w:r>
        <w:t>Example 2: Cross-Border Supply Chain VAT Analysis</w:t>
      </w:r>
    </w:p>
    <w:p>
      <w:r>
        <w:rPr>
          <w:b/>
        </w:rPr>
        <w:t>Fact Pattern:</w:t>
      </w:r>
    </w:p>
    <w:p>
      <w:r>
        <w:rPr>
          <w:b/>
        </w:rPr>
        <w:t>NorthSea Drilling AS</w:t>
      </w:r>
      <w:r>
        <w:t xml:space="preserve"> (Norwegian company) engages in a complex offshore drilling project with the following supply chain:</w:t>
      </w:r>
    </w:p>
    <w:p>
      <w:r>
        <w:rPr>
          <w:b/>
        </w:rPr>
        <w:t>Transaction Chain:</w:t>
      </w:r>
    </w:p>
    <w:p>
      <w:pPr>
        <w:pStyle w:val="ListNumber"/>
      </w:pPr>
      <w:r>
        <w:rPr>
          <w:b/>
        </w:rPr>
        <w:t>US Equipment Manufacturer</w:t>
      </w:r>
      <w:r>
        <w:t xml:space="preserve"> supplies drilling equipment</w:t>
      </w:r>
    </w:p>
    <w:p>
      <w:pPr>
        <w:pStyle w:val="ListBullet"/>
        <w:ind w:left="360"/>
      </w:pPr>
      <w:r>
        <w:t>Equipment value: $5,000,000 (£4,000,000 at prevailing rate)</w:t>
      </w:r>
    </w:p>
    <w:p>
      <w:pPr>
        <w:pStyle w:val="ListBullet"/>
        <w:ind w:left="360"/>
      </w:pPr>
      <w:r>
        <w:t>Shipped to Norway</w:t>
      </w:r>
    </w:p>
    <w:p>
      <w:pPr>
        <w:pStyle w:val="ListNumber"/>
      </w:pPr>
      <w:r>
        <w:rPr>
          <w:b/>
        </w:rPr>
        <w:t>NorthSea Drilling AS</w:t>
      </w:r>
      <w:r>
        <w:t xml:space="preserve"> (Norway) installs equipment on UK Continental Shelf rig</w:t>
      </w:r>
    </w:p>
    <w:p>
      <w:pPr>
        <w:pStyle w:val="ListBullet"/>
        <w:ind w:left="360"/>
      </w:pPr>
      <w:r>
        <w:t xml:space="preserve">Service to </w:t>
      </w:r>
      <w:r>
        <w:rPr>
          <w:b/>
        </w:rPr>
        <w:t>BritOil Ltd</w:t>
      </w:r>
      <w:r>
        <w:t xml:space="preserve"> (UK company)</w:t>
      </w:r>
    </w:p>
    <w:p>
      <w:pPr>
        <w:pStyle w:val="ListBullet"/>
        <w:ind w:left="360"/>
      </w:pPr>
      <w:r>
        <w:t>Service fee: £3,000,000</w:t>
      </w:r>
    </w:p>
    <w:p>
      <w:pPr>
        <w:pStyle w:val="ListNumber"/>
      </w:pPr>
      <w:r>
        <w:rPr>
          <w:b/>
        </w:rPr>
        <w:t>BritOil Ltd</w:t>
      </w:r>
      <w:r>
        <w:t xml:space="preserve"> exports crude oil to </w:t>
      </w:r>
      <w:r>
        <w:rPr>
          <w:b/>
        </w:rPr>
        <w:t>Netherlands Refinery BV</w:t>
      </w:r>
    </w:p>
    <w:p>
      <w:pPr>
        <w:pStyle w:val="ListBullet"/>
        <w:ind w:left="360"/>
      </w:pPr>
      <w:r>
        <w:t>Crude oil value: £10,000,000</w:t>
      </w:r>
    </w:p>
    <w:p>
      <w:pPr>
        <w:pStyle w:val="ListNumber"/>
      </w:pPr>
      <w:r>
        <w:rPr>
          <w:b/>
        </w:rPr>
        <w:t>Netherlands Refinery BV</w:t>
      </w:r>
      <w:r>
        <w:t xml:space="preserve"> refines and sells diesel within EU</w:t>
      </w:r>
    </w:p>
    <w:p>
      <w:pPr>
        <w:pStyle w:val="ListBullet"/>
        <w:ind w:left="360"/>
      </w:pPr>
      <w:r>
        <w:t>Diesel sales: €15,000,000 (£12,500,000)</w:t>
      </w:r>
    </w:p>
    <w:p>
      <w:r>
        <w:rPr>
          <w:b/>
        </w:rPr>
        <w:t>VAT Rates:</w:t>
      </w:r>
    </w:p>
    <w:p>
      <w:pPr>
        <w:pStyle w:val="ListBullet"/>
      </w:pPr>
      <w:r>
        <w:t>UK: 20%</w:t>
      </w:r>
    </w:p>
    <w:p>
      <w:pPr>
        <w:pStyle w:val="ListBullet"/>
      </w:pPr>
      <w:r>
        <w:t>Norway: 25% (but 0% for offshore petroleum services)</w:t>
      </w:r>
    </w:p>
    <w:p>
      <w:pPr>
        <w:pStyle w:val="ListBullet"/>
      </w:pPr>
      <w:r>
        <w:t>Netherlands: 21%</w:t>
      </w:r>
    </w:p>
    <w:p>
      <w:r>
        <w:rPr>
          <w:b/>
        </w:rPr>
        <w:t>Required:</w:t>
      </w:r>
    </w:p>
    <w:p>
      <w:r>
        <w:t>(a) Analyze VAT treatment at each supply stage</w:t>
      </w:r>
    </w:p>
    <w:p>
      <w:r>
        <w:t>(b) Calculate VAT positions for each party</w:t>
      </w:r>
    </w:p>
    <w:p>
      <w:r>
        <w:t>(c) Identify optimization opportunities</w:t>
      </w:r>
    </w:p>
    <w:p>
      <w:r>
        <w:t>(d) Determine total VAT recovered/payable by each party</w:t>
      </w:r>
    </w:p>
    <w:p>
      <w:r>
        <w:rPr>
          <w:b/>
        </w:rPr>
        <w:t>Solution:</w:t>
      </w:r>
    </w:p>
    <w:p>
      <w:pPr>
        <w:pStyle w:val="Heading4"/>
      </w:pPr>
      <w:r>
        <w:t>Stage 1: US Manufacturer → NorthSea Drilling AS (Norway)</w:t>
      </w:r>
    </w:p>
    <w:p>
      <w:r>
        <w:rPr>
          <w:b/>
        </w:rPr>
        <w:t>Transaction</w:t>
      </w:r>
      <w:r>
        <w:t>: Import of goods into Norway</w:t>
      </w:r>
    </w:p>
    <w:p>
      <w:r>
        <w:rPr>
          <w:b/>
        </w:rPr>
        <w:t>VAT Treatment:</w:t>
      </w:r>
    </w:p>
    <w:p>
      <w:pPr>
        <w:pStyle w:val="ListBullet"/>
      </w:pPr>
      <w:r>
        <w:t>US supplier: No Norwegian VAT (outside Norway VAT system)</w:t>
      </w:r>
    </w:p>
    <w:p>
      <w:pPr>
        <w:pStyle w:val="ListBullet"/>
      </w:pPr>
      <w:r>
        <w:t>Invoice: $5,000,000 (£4,000,000) - no VAT charged</w:t>
      </w:r>
    </w:p>
    <w:p>
      <w:r>
        <w:rPr>
          <w:b/>
        </w:rPr>
        <w:t>NorthSea Drilling AS position:</w:t>
      </w:r>
    </w:p>
    <w:p>
      <w:pPr>
        <w:shd w:fill="F0F0F0"/>
        <w:spacing w:after="0" w:line="240" w:lineRule="auto"/>
      </w:pPr>
      <w:r>
        <w:rPr>
          <w:rFonts w:ascii="Courier New" w:hAnsi="Courier New"/>
          <w:sz w:val="20"/>
        </w:rPr>
        <w:t>Import VAT payable (Norway): £4,000,000 × 25% = £1,000,000</w:t>
      </w:r>
    </w:p>
    <w:p>
      <w:pPr>
        <w:shd w:fill="F0F0F0"/>
        <w:spacing w:after="0" w:line="240" w:lineRule="auto"/>
      </w:pPr>
      <w:r>
        <w:rPr>
          <w:rFonts w:ascii="Courier New" w:hAnsi="Courier New"/>
          <w:sz w:val="20"/>
        </w:rPr>
        <w:t>(Can use postponed accounting if registered)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Recovery: Equipment used for offshore petroleum services (0% rated)</w:t>
      </w:r>
    </w:p>
    <w:p>
      <w:pPr>
        <w:shd w:fill="F0F0F0"/>
        <w:spacing w:after="0" w:line="240" w:lineRule="auto"/>
      </w:pPr>
      <w:r>
        <w:rPr>
          <w:rFonts w:ascii="Courier New" w:hAnsi="Courier New"/>
          <w:sz w:val="20"/>
        </w:rPr>
        <w:t>→ Full input VAT recovery available: £1,000,000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NET POSITION: £0 (self-accounting mechanism)</w:t>
      </w:r>
    </w:p>
    <w:p/>
    <w:p>
      <w:r>
        <w:rPr>
          <w:b/>
        </w:rPr>
        <w:t>Documentation Required:</w:t>
      </w:r>
    </w:p>
    <w:p>
      <w:pPr>
        <w:pStyle w:val="ListBullet"/>
      </w:pPr>
      <w:r>
        <w:t>Import customs declaration</w:t>
      </w:r>
    </w:p>
    <w:p>
      <w:pPr>
        <w:pStyle w:val="ListBullet"/>
      </w:pPr>
      <w:r>
        <w:t>Evidence of payment/postponed accounting</w:t>
      </w:r>
    </w:p>
    <w:p>
      <w:pPr>
        <w:pStyle w:val="ListBullet"/>
      </w:pPr>
      <w:r>
        <w:t>Link to zero-rated output supplies</w:t>
      </w:r>
    </w:p>
    <w:p>
      <w:pPr>
        <w:pStyle w:val="Heading4"/>
      </w:pPr>
      <w:r>
        <w:t>Stage 2: NorthSea Drilling AS → BritOil Ltd (UK)</w:t>
      </w:r>
    </w:p>
    <w:p>
      <w:r>
        <w:rPr>
          <w:b/>
        </w:rPr>
        <w:t>Transaction</w:t>
      </w:r>
      <w:r>
        <w:t>: Supply of drilling services on UK Continental Shelf</w:t>
      </w:r>
    </w:p>
    <w:p>
      <w:r>
        <w:rPr>
          <w:b/>
        </w:rPr>
        <w:t>Place of Supply Analysis:</w:t>
      </w:r>
    </w:p>
    <w:p>
      <w:r>
        <w:rPr>
          <w:b/>
        </w:rPr>
        <w:t>Option A</w:t>
      </w:r>
      <w:r>
        <w:t>: Services related to land (rig is fixed installation)</w:t>
      </w:r>
    </w:p>
    <w:p>
      <w:pPr>
        <w:pStyle w:val="ListBullet"/>
      </w:pPr>
      <w:r>
        <w:t>Place of supply: UK (where rig located)</w:t>
      </w:r>
    </w:p>
    <w:p>
      <w:pPr>
        <w:pStyle w:val="ListBullet"/>
      </w:pPr>
      <w:r>
        <w:t>NorthSea must charge UK VAT OR reverse charge applies</w:t>
      </w:r>
    </w:p>
    <w:p>
      <w:r>
        <w:rPr>
          <w:b/>
        </w:rPr>
        <w:t>Option B</w:t>
      </w:r>
      <w:r>
        <w:t>: B2B services - general rule</w:t>
      </w:r>
    </w:p>
    <w:p>
      <w:pPr>
        <w:pStyle w:val="ListBullet"/>
      </w:pPr>
      <w:r>
        <w:t>Place of supply: UK (customer location)</w:t>
      </w:r>
    </w:p>
    <w:p>
      <w:pPr>
        <w:pStyle w:val="ListBullet"/>
      </w:pPr>
      <w:r>
        <w:t>Reverse charge applies</w:t>
      </w:r>
    </w:p>
    <w:p>
      <w:r>
        <w:rPr>
          <w:b/>
        </w:rPr>
        <w:t>Option C</w:t>
      </w:r>
      <w:r>
        <w:t>: UK Designated Area zero-rating</w:t>
      </w:r>
    </w:p>
    <w:p>
      <w:pPr>
        <w:pStyle w:val="ListBullet"/>
      </w:pPr>
      <w:r>
        <w:t>If services qualify as offshore petroleum services</w:t>
      </w:r>
    </w:p>
    <w:p>
      <w:pPr>
        <w:pStyle w:val="ListBullet"/>
      </w:pPr>
      <w:r>
        <w:t>NorthSea can zero-rate (requires UK VAT registration)</w:t>
      </w:r>
    </w:p>
    <w:p>
      <w:r>
        <w:rPr>
          <w:b/>
        </w:rPr>
        <w:t>Assuming Option C applies (most beneficial):</w:t>
      </w:r>
    </w:p>
    <w:p>
      <w:r>
        <w:rPr>
          <w:b/>
        </w:rPr>
        <w:t>NorthSea Drilling AS:</w:t>
      </w:r>
    </w:p>
    <w:p>
      <w:pPr>
        <w:shd w:fill="F0F0F0"/>
        <w:spacing w:after="0" w:line="240" w:lineRule="auto"/>
      </w:pPr>
      <w:r>
        <w:rPr>
          <w:rFonts w:ascii="Courier New" w:hAnsi="Courier New"/>
          <w:sz w:val="20"/>
        </w:rPr>
        <w:t>Sales invoice: £3,000,000 + 0% VAT (zero-rated offshore services)</w:t>
      </w:r>
    </w:p>
    <w:p>
      <w:pPr>
        <w:shd w:fill="F0F0F0"/>
        <w:spacing w:after="0" w:line="240" w:lineRule="auto"/>
      </w:pPr>
      <w:r>
        <w:rPr>
          <w:rFonts w:ascii="Courier New" w:hAnsi="Courier New"/>
          <w:sz w:val="20"/>
        </w:rPr>
        <w:t>Output VAT: £0</w:t>
      </w:r>
    </w:p>
    <w:p>
      <w:pPr>
        <w:shd w:fill="F0F0F0"/>
        <w:spacing w:after="0" w:line="240" w:lineRule="auto"/>
      </w:pPr>
      <w:r>
        <w:rPr>
          <w:rFonts w:ascii="Courier New" w:hAnsi="Courier New"/>
          <w:sz w:val="20"/>
        </w:rPr>
        <w:t>Input VAT recovery: £1,000,000 (from Stage 1)</w:t>
      </w:r>
    </w:p>
    <w:p>
      <w:pPr>
        <w:shd w:fill="F0F0F0"/>
        <w:spacing w:after="0" w:line="240" w:lineRule="auto"/>
      </w:pPr>
      <w:r>
        <w:rPr>
          <w:rFonts w:ascii="Courier New" w:hAnsi="Courier New"/>
          <w:sz w:val="20"/>
        </w:rPr>
        <w:t>VAT Position: £1,000,000 REFUND due</w:t>
      </w:r>
    </w:p>
    <w:p/>
    <w:p>
      <w:r>
        <w:rPr>
          <w:b/>
        </w:rPr>
        <w:t>Requirements:</w:t>
      </w:r>
    </w:p>
    <w:p>
      <w:pPr>
        <w:pStyle w:val="ListBullet"/>
      </w:pPr>
      <w:r>
        <w:t>UK VAT registration (Group 8 zero-rating)</w:t>
      </w:r>
    </w:p>
    <w:p>
      <w:pPr>
        <w:pStyle w:val="ListBullet"/>
      </w:pPr>
      <w:r>
        <w:t>Certificate from BritOil confirming petroleum operations</w:t>
      </w:r>
    </w:p>
    <w:p>
      <w:pPr>
        <w:pStyle w:val="ListBullet"/>
      </w:pPr>
      <w:r>
        <w:t>Services performed in UK designated area</w:t>
      </w:r>
    </w:p>
    <w:p>
      <w:r>
        <w:rPr>
          <w:b/>
        </w:rPr>
        <w:t>BritOil Ltd:</w:t>
      </w:r>
    </w:p>
    <w:p>
      <w:pPr>
        <w:shd w:fill="F0F0F0"/>
        <w:spacing w:after="0" w:line="240" w:lineRule="auto"/>
      </w:pPr>
      <w:r>
        <w:rPr>
          <w:rFonts w:ascii="Courier New" w:hAnsi="Courier New"/>
          <w:sz w:val="20"/>
        </w:rPr>
        <w:t>Purchase: £3,000,000 zero-rated services</w:t>
      </w:r>
    </w:p>
    <w:p>
      <w:pPr>
        <w:shd w:fill="F0F0F0"/>
        <w:spacing w:after="0" w:line="240" w:lineRule="auto"/>
      </w:pPr>
      <w:r>
        <w:rPr>
          <w:rFonts w:ascii="Courier New" w:hAnsi="Courier New"/>
          <w:sz w:val="20"/>
        </w:rPr>
        <w:t>Input VAT: £0 (zero-rated, not subject to reverse charge)</w:t>
      </w:r>
    </w:p>
    <w:p>
      <w:pPr>
        <w:shd w:fill="F0F0F0"/>
        <w:spacing w:after="0" w:line="240" w:lineRule="auto"/>
      </w:pPr>
      <w:r>
        <w:rPr>
          <w:rFonts w:ascii="Courier New" w:hAnsi="Courier New"/>
          <w:sz w:val="20"/>
        </w:rPr>
        <w:t>Recoverable against future taxable supplies: N/A</w:t>
      </w:r>
    </w:p>
    <w:p/>
    <w:p>
      <w:r>
        <w:rPr>
          <w:b/>
        </w:rPr>
        <w:t>If Option B applied (reverse charge):</w:t>
      </w:r>
    </w:p>
    <w:p>
      <w:r>
        <w:rPr>
          <w:b/>
        </w:rPr>
        <w:t>NorthSea Drilling AS:</w:t>
      </w:r>
    </w:p>
    <w:p>
      <w:pPr>
        <w:shd w:fill="F0F0F0"/>
        <w:spacing w:after="0" w:line="240" w:lineRule="auto"/>
      </w:pPr>
      <w:r>
        <w:rPr>
          <w:rFonts w:ascii="Courier New" w:hAnsi="Courier New"/>
          <w:sz w:val="20"/>
        </w:rPr>
        <w:t>Invoice: £3,000,000 + "UK reverse charge applies"</w:t>
      </w:r>
    </w:p>
    <w:p>
      <w:pPr>
        <w:shd w:fill="F0F0F0"/>
        <w:spacing w:after="0" w:line="240" w:lineRule="auto"/>
      </w:pPr>
      <w:r>
        <w:rPr>
          <w:rFonts w:ascii="Courier New" w:hAnsi="Courier New"/>
          <w:sz w:val="20"/>
        </w:rPr>
        <w:t>No UK VAT registration required</w:t>
      </w:r>
    </w:p>
    <w:p/>
    <w:p>
      <w:r>
        <w:rPr>
          <w:b/>
        </w:rPr>
        <w:t>BritOil Ltd:</w:t>
      </w:r>
    </w:p>
    <w:p>
      <w:pPr>
        <w:shd w:fill="F0F0F0"/>
        <w:spacing w:after="0" w:line="240" w:lineRule="auto"/>
      </w:pPr>
      <w:r>
        <w:rPr>
          <w:rFonts w:ascii="Courier New" w:hAnsi="Courier New"/>
          <w:sz w:val="20"/>
        </w:rPr>
        <w:t>Self-account for UK VAT:</w:t>
      </w:r>
    </w:p>
    <w:p>
      <w:pPr>
        <w:shd w:fill="F0F0F0"/>
        <w:spacing w:after="0" w:line="240" w:lineRule="auto"/>
      </w:pPr>
      <w:r>
        <w:rPr>
          <w:rFonts w:ascii="Courier New" w:hAnsi="Courier New"/>
          <w:sz w:val="20"/>
        </w:rPr>
        <w:t>Output VAT (Box 1): £3,000,000 × 20% = £600,000</w:t>
      </w:r>
    </w:p>
    <w:p>
      <w:pPr>
        <w:shd w:fill="F0F0F0"/>
        <w:spacing w:after="0" w:line="240" w:lineRule="auto"/>
      </w:pPr>
      <w:r>
        <w:rPr>
          <w:rFonts w:ascii="Courier New" w:hAnsi="Courier New"/>
          <w:sz w:val="20"/>
        </w:rPr>
        <w:t>Input VAT (Box 4): £600,000 (if recoverable)</w:t>
      </w:r>
    </w:p>
    <w:p>
      <w:pPr>
        <w:shd w:fill="F0F0F0"/>
        <w:spacing w:after="0" w:line="240" w:lineRule="auto"/>
      </w:pPr>
      <w:r>
        <w:rPr>
          <w:rFonts w:ascii="Courier New" w:hAnsi="Courier New"/>
          <w:sz w:val="20"/>
        </w:rPr>
        <w:t>Net position: £0 (if full recovery)</w:t>
      </w:r>
    </w:p>
    <w:p/>
    <w:p>
      <w:pPr>
        <w:pStyle w:val="Heading4"/>
      </w:pPr>
      <w:r>
        <w:t>Stage 3: BritOil Ltd → Netherlands Refinery BV</w:t>
      </w:r>
    </w:p>
    <w:p>
      <w:r>
        <w:rPr>
          <w:b/>
        </w:rPr>
        <w:t>Transaction</w:t>
      </w:r>
      <w:r>
        <w:t>: Export of crude oil (goods)</w:t>
      </w:r>
    </w:p>
    <w:p>
      <w:r>
        <w:rPr>
          <w:b/>
        </w:rPr>
        <w:t>VAT Treatment:</w:t>
      </w:r>
    </w:p>
    <w:p>
      <w:pPr>
        <w:pStyle w:val="ListBullet"/>
      </w:pPr>
      <w:r>
        <w:t xml:space="preserve">Export outside UK: </w:t>
      </w:r>
      <w:r>
        <w:rPr>
          <w:b/>
        </w:rPr>
        <w:t>Zero-rated</w:t>
      </w:r>
      <w:r>
        <w:t xml:space="preserve"> (0% UK VAT)</w:t>
      </w:r>
    </w:p>
    <w:p>
      <w:pPr>
        <w:pStyle w:val="ListBullet"/>
      </w:pPr>
      <w:r>
        <w:t>Invoice: £10,000,000 + 0% VAT</w:t>
      </w:r>
    </w:p>
    <w:p>
      <w:r>
        <w:rPr>
          <w:b/>
        </w:rPr>
        <w:t>BritOil Ltd position:</w:t>
      </w:r>
    </w:p>
    <w:p>
      <w:pPr>
        <w:shd w:fill="F0F0F0"/>
        <w:spacing w:after="0" w:line="240" w:lineRule="auto"/>
      </w:pPr>
      <w:r>
        <w:rPr>
          <w:rFonts w:ascii="Courier New" w:hAnsi="Courier New"/>
          <w:sz w:val="20"/>
        </w:rPr>
        <w:t>Output VAT: £0 (zero-rated export)</w:t>
      </w:r>
    </w:p>
    <w:p>
      <w:pPr>
        <w:shd w:fill="F0F0F0"/>
        <w:spacing w:after="0" w:line="240" w:lineRule="auto"/>
      </w:pPr>
      <w:r>
        <w:rPr>
          <w:rFonts w:ascii="Courier New" w:hAnsi="Courier New"/>
          <w:sz w:val="20"/>
        </w:rPr>
        <w:t>Input VAT: Assume £1,500,000 on various UK costs (20% VAT)</w:t>
      </w:r>
    </w:p>
    <w:p>
      <w:pPr>
        <w:shd w:fill="F0F0F0"/>
        <w:spacing w:after="0" w:line="240" w:lineRule="auto"/>
      </w:pPr>
      <w:r>
        <w:rPr>
          <w:rFonts w:ascii="Courier New" w:hAnsi="Courier New"/>
          <w:sz w:val="20"/>
        </w:rPr>
        <w:t>VAT Return:</w:t>
      </w:r>
    </w:p>
    <w:p>
      <w:pPr>
        <w:shd w:fill="F0F0F0"/>
        <w:spacing w:after="0" w:line="240" w:lineRule="auto"/>
      </w:pPr>
      <w:r>
        <w:rPr>
          <w:rFonts w:ascii="Courier New" w:hAnsi="Courier New"/>
          <w:sz w:val="20"/>
        </w:rPr>
        <w:t>- Box 1 (Output VAT): £0</w:t>
      </w:r>
    </w:p>
    <w:p>
      <w:pPr>
        <w:shd w:fill="F0F0F0"/>
        <w:spacing w:after="0" w:line="240" w:lineRule="auto"/>
      </w:pPr>
      <w:r>
        <w:rPr>
          <w:rFonts w:ascii="Courier New" w:hAnsi="Courier New"/>
          <w:sz w:val="20"/>
        </w:rPr>
        <w:t>- Box 4 (Input VAT): £1,500,000</w:t>
      </w:r>
    </w:p>
    <w:p>
      <w:pPr>
        <w:shd w:fill="F0F0F0"/>
        <w:spacing w:after="0" w:line="240" w:lineRule="auto"/>
      </w:pPr>
      <w:r>
        <w:rPr>
          <w:rFonts w:ascii="Courier New" w:hAnsi="Courier New"/>
          <w:sz w:val="20"/>
        </w:rPr>
        <w:t>- Net: £1,500,000 REFUND</w:t>
      </w:r>
    </w:p>
    <w:p/>
    <w:p>
      <w:r>
        <w:rPr>
          <w:b/>
        </w:rPr>
        <w:t>Documentation:</w:t>
      </w:r>
    </w:p>
    <w:p>
      <w:pPr>
        <w:pStyle w:val="ListBullet"/>
      </w:pPr>
      <w:r>
        <w:t>Export customs declaration (since Brexit)</w:t>
      </w:r>
    </w:p>
    <w:p>
      <w:pPr>
        <w:pStyle w:val="ListBullet"/>
      </w:pPr>
      <w:r>
        <w:t>Evidence of export (bill of lading, transport documents)</w:t>
      </w:r>
    </w:p>
    <w:p>
      <w:pPr>
        <w:pStyle w:val="ListBullet"/>
      </w:pPr>
      <w:r>
        <w:t>Payment receipt from Netherlands buyer</w:t>
      </w:r>
    </w:p>
    <w:p>
      <w:r>
        <w:rPr>
          <w:b/>
        </w:rPr>
        <w:t>Netherlands Refinery BV:</w:t>
      </w:r>
    </w:p>
    <w:p>
      <w:pPr>
        <w:shd w:fill="F0F0F0"/>
        <w:spacing w:after="0" w:line="240" w:lineRule="auto"/>
      </w:pPr>
      <w:r>
        <w:rPr>
          <w:rFonts w:ascii="Courier New" w:hAnsi="Courier New"/>
          <w:sz w:val="20"/>
        </w:rPr>
        <w:t>Import VAT: £10,000,000 × 21% = £2,100,000 (€2,520,000)</w:t>
      </w:r>
    </w:p>
    <w:p>
      <w:pPr>
        <w:shd w:fill="F0F0F0"/>
        <w:spacing w:after="0" w:line="240" w:lineRule="auto"/>
      </w:pPr>
      <w:r>
        <w:rPr>
          <w:rFonts w:ascii="Courier New" w:hAnsi="Courier New"/>
          <w:sz w:val="20"/>
        </w:rPr>
        <w:t>(Payable on import OR reverse charge if registered)</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Recovery: Used for taxable supplies (diesel sales)</w:t>
      </w:r>
    </w:p>
    <w:p>
      <w:pPr>
        <w:shd w:fill="F0F0F0"/>
        <w:spacing w:after="0" w:line="240" w:lineRule="auto"/>
      </w:pPr>
      <w:r>
        <w:rPr>
          <w:rFonts w:ascii="Courier New" w:hAnsi="Courier New"/>
          <w:sz w:val="20"/>
        </w:rPr>
        <w:t>→ Full recovery available in Netherlands VAT return</w:t>
      </w:r>
    </w:p>
    <w:p/>
    <w:p>
      <w:pPr>
        <w:pStyle w:val="Heading4"/>
      </w:pPr>
      <w:r>
        <w:t>Stage 4: Netherlands Refinery BV → EU Customers</w:t>
      </w:r>
    </w:p>
    <w:p>
      <w:r>
        <w:rPr>
          <w:b/>
        </w:rPr>
        <w:t>Transaction</w:t>
      </w:r>
      <w:r>
        <w:t>: Sale of refined diesel within EU</w:t>
      </w:r>
    </w:p>
    <w:p>
      <w:r>
        <w:rPr>
          <w:b/>
        </w:rPr>
        <w:t>VAT Treatment:</w:t>
      </w:r>
    </w:p>
    <w:p>
      <w:pPr>
        <w:pStyle w:val="ListBullet"/>
      </w:pPr>
      <w:r>
        <w:t>If B2B (intra-Community supply): 0% rated (with VIES validation)</w:t>
      </w:r>
    </w:p>
    <w:p>
      <w:pPr>
        <w:pStyle w:val="ListBullet"/>
      </w:pPr>
      <w:r>
        <w:t>If B2C or domestic: 21% Netherlands VAT</w:t>
      </w:r>
    </w:p>
    <w:p>
      <w:r>
        <w:rPr>
          <w:b/>
        </w:rPr>
        <w:t>Assuming B2B intra-Community supplies:</w:t>
      </w:r>
    </w:p>
    <w:p>
      <w:pPr>
        <w:shd w:fill="F0F0F0"/>
        <w:spacing w:after="0" w:line="240" w:lineRule="auto"/>
      </w:pPr>
      <w:r>
        <w:rPr>
          <w:rFonts w:ascii="Courier New" w:hAnsi="Courier New"/>
          <w:sz w:val="20"/>
        </w:rPr>
        <w:t>Sales: €15,000,000 (£12,500,000) + 0% VAT</w:t>
      </w:r>
    </w:p>
    <w:p>
      <w:pPr>
        <w:shd w:fill="F0F0F0"/>
        <w:spacing w:after="0" w:line="240" w:lineRule="auto"/>
      </w:pPr>
      <w:r>
        <w:rPr>
          <w:rFonts w:ascii="Courier New" w:hAnsi="Courier New"/>
          <w:sz w:val="20"/>
        </w:rPr>
        <w:t>Output VAT: €0</w:t>
      </w:r>
    </w:p>
    <w:p>
      <w:pPr>
        <w:shd w:fill="F0F0F0"/>
        <w:spacing w:after="0" w:line="240" w:lineRule="auto"/>
      </w:pPr>
      <w:r>
        <w:rPr>
          <w:rFonts w:ascii="Courier New" w:hAnsi="Courier New"/>
          <w:sz w:val="20"/>
        </w:rPr>
        <w:t>Input VAT (from import): €2,520,000</w:t>
      </w:r>
    </w:p>
    <w:p>
      <w:pPr>
        <w:shd w:fill="F0F0F0"/>
        <w:spacing w:after="0" w:line="240" w:lineRule="auto"/>
      </w:pPr>
      <w:r>
        <w:rPr>
          <w:rFonts w:ascii="Courier New" w:hAnsi="Courier New"/>
          <w:sz w:val="20"/>
        </w:rPr>
        <w:t>Additional costs input VAT: Assume €500,000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Total input VAT: €3,020,000</w:t>
      </w:r>
    </w:p>
    <w:p>
      <w:pPr>
        <w:shd w:fill="F0F0F0"/>
        <w:spacing w:after="0" w:line="240" w:lineRule="auto"/>
      </w:pPr>
      <w:r>
        <w:rPr>
          <w:rFonts w:ascii="Courier New" w:hAnsi="Courier New"/>
          <w:sz w:val="20"/>
        </w:rPr>
        <w:t>Recoverable: €3,020,000 (against zero-rated supplies)</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VAT Position: €3,020,000 REFUND due</w:t>
      </w:r>
    </w:p>
    <w:p/>
    <w:p>
      <w:r>
        <w:rPr>
          <w:b/>
        </w:rPr>
        <w:t>Compliance:</w:t>
      </w:r>
    </w:p>
    <w:p>
      <w:pPr>
        <w:pStyle w:val="ListBullet"/>
      </w:pPr>
      <w:r>
        <w:t>EC Sales List submission (intra-EU B2B supplies)</w:t>
      </w:r>
    </w:p>
    <w:p>
      <w:pPr>
        <w:pStyle w:val="ListBullet"/>
      </w:pPr>
      <w:r>
        <w:t>VIES verification of customer VAT numbers</w:t>
      </w:r>
    </w:p>
    <w:p>
      <w:pPr>
        <w:pStyle w:val="ListBullet"/>
      </w:pPr>
      <w:r>
        <w:t>Evidence of transport to other EU states</w:t>
      </w:r>
    </w:p>
    <w:p>
      <w:pPr>
        <w:pStyle w:val="Heading4"/>
      </w:pPr>
      <w:r>
        <w:t>Summary Table: VAT Positions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Party</w:t>
            </w:r>
          </w:p>
        </w:tc>
        <w:tc>
          <w:tcPr>
            <w:tcW w:type="dxa" w:w="2160"/>
          </w:tcPr>
          <w:p>
            <w:r>
              <w:rPr>
                <w:b/>
              </w:rPr>
            </w:r>
            <w:r>
              <w:rPr>
                <w:b/>
              </w:rPr>
              <w:t>Output VAT</w:t>
            </w:r>
          </w:p>
        </w:tc>
        <w:tc>
          <w:tcPr>
            <w:tcW w:type="dxa" w:w="2160"/>
          </w:tcPr>
          <w:p>
            <w:r>
              <w:rPr>
                <w:b/>
              </w:rPr>
            </w:r>
            <w:r>
              <w:rPr>
                <w:b/>
              </w:rPr>
              <w:t>Input VAT</w:t>
            </w:r>
          </w:p>
        </w:tc>
        <w:tc>
          <w:tcPr>
            <w:tcW w:type="dxa" w:w="2160"/>
          </w:tcPr>
          <w:p>
            <w:r>
              <w:rPr>
                <w:b/>
              </w:rPr>
            </w:r>
            <w:r>
              <w:rPr>
                <w:b/>
              </w:rPr>
              <w:t>Net Position</w:t>
            </w:r>
          </w:p>
        </w:tc>
      </w:tr>
      <w:tr>
        <w:tc>
          <w:tcPr>
            <w:tcW w:type="dxa" w:w="2160"/>
          </w:tcPr>
          <w:p>
            <w:r/>
            <w:r>
              <w:rPr>
                <w:b/>
              </w:rPr>
              <w:t>US Manufacturer</w:t>
            </w:r>
          </w:p>
        </w:tc>
        <w:tc>
          <w:tcPr>
            <w:tcW w:type="dxa" w:w="2160"/>
          </w:tcPr>
          <w:p>
            <w:r/>
            <w:r>
              <w:t>$0</w:t>
            </w:r>
          </w:p>
        </w:tc>
        <w:tc>
          <w:tcPr>
            <w:tcW w:type="dxa" w:w="2160"/>
          </w:tcPr>
          <w:p>
            <w:r/>
            <w:r>
              <w:t>N/A</w:t>
            </w:r>
          </w:p>
        </w:tc>
        <w:tc>
          <w:tcPr>
            <w:tcW w:type="dxa" w:w="2160"/>
          </w:tcPr>
          <w:p>
            <w:r/>
            <w:r>
              <w:t>No VAT impact</w:t>
            </w:r>
          </w:p>
        </w:tc>
      </w:tr>
      <w:tr>
        <w:tc>
          <w:tcPr>
            <w:tcW w:type="dxa" w:w="2160"/>
          </w:tcPr>
          <w:p>
            <w:r/>
            <w:r>
              <w:rPr>
                <w:b/>
              </w:rPr>
              <w:t>NorthSea Drilling AS</w:t>
            </w:r>
          </w:p>
        </w:tc>
        <w:tc>
          <w:tcPr>
            <w:tcW w:type="dxa" w:w="2160"/>
          </w:tcPr>
          <w:p>
            <w:r/>
            <w:r>
              <w:t>£0 (zero-rated)</w:t>
            </w:r>
          </w:p>
        </w:tc>
        <w:tc>
          <w:tcPr>
            <w:tcW w:type="dxa" w:w="2160"/>
          </w:tcPr>
          <w:p>
            <w:r/>
            <w:r>
              <w:t>£1,000,000</w:t>
            </w:r>
          </w:p>
        </w:tc>
        <w:tc>
          <w:tcPr>
            <w:tcW w:type="dxa" w:w="2160"/>
          </w:tcPr>
          <w:p>
            <w:r/>
            <w:r>
              <w:t>£1,000,000 refund</w:t>
            </w:r>
          </w:p>
        </w:tc>
      </w:tr>
      <w:tr>
        <w:tc>
          <w:tcPr>
            <w:tcW w:type="dxa" w:w="2160"/>
          </w:tcPr>
          <w:p>
            <w:r/>
            <w:r>
              <w:rPr>
                <w:b/>
              </w:rPr>
              <w:t>BritOil Ltd</w:t>
            </w:r>
          </w:p>
        </w:tc>
        <w:tc>
          <w:tcPr>
            <w:tcW w:type="dxa" w:w="2160"/>
          </w:tcPr>
          <w:p>
            <w:r/>
            <w:r>
              <w:t>£0 (zero-rated export)</w:t>
            </w:r>
          </w:p>
        </w:tc>
        <w:tc>
          <w:tcPr>
            <w:tcW w:type="dxa" w:w="2160"/>
          </w:tcPr>
          <w:p>
            <w:r/>
            <w:r>
              <w:t>£1,500,000</w:t>
            </w:r>
          </w:p>
        </w:tc>
        <w:tc>
          <w:tcPr>
            <w:tcW w:type="dxa" w:w="2160"/>
          </w:tcPr>
          <w:p>
            <w:r/>
            <w:r>
              <w:t>£1,500,000 refund</w:t>
            </w:r>
          </w:p>
        </w:tc>
      </w:tr>
      <w:tr>
        <w:tc>
          <w:tcPr>
            <w:tcW w:type="dxa" w:w="2160"/>
          </w:tcPr>
          <w:p>
            <w:r/>
            <w:r>
              <w:rPr>
                <w:b/>
              </w:rPr>
              <w:t>Netherlands Refinery BV</w:t>
            </w:r>
          </w:p>
        </w:tc>
        <w:tc>
          <w:tcPr>
            <w:tcW w:type="dxa" w:w="2160"/>
          </w:tcPr>
          <w:p>
            <w:r/>
            <w:r>
              <w:t>€0 (0% intra-EU)</w:t>
            </w:r>
          </w:p>
        </w:tc>
        <w:tc>
          <w:tcPr>
            <w:tcW w:type="dxa" w:w="2160"/>
          </w:tcPr>
          <w:p>
            <w:r/>
            <w:r>
              <w:t>€3,020,000</w:t>
            </w:r>
          </w:p>
        </w:tc>
        <w:tc>
          <w:tcPr>
            <w:tcW w:type="dxa" w:w="2160"/>
          </w:tcPr>
          <w:p>
            <w:r/>
            <w:r>
              <w:t>€3,020,000 refund</w:t>
            </w:r>
          </w:p>
        </w:tc>
      </w:tr>
    </w:tbl>
    <w:p/>
    <w:p>
      <w:pPr>
        <w:pStyle w:val="Heading4"/>
      </w:pPr>
      <w:r>
        <w:t>Part (c): Optimization Opportunities</w:t>
      </w:r>
    </w:p>
    <w:p>
      <w:r>
        <w:rPr>
          <w:b/>
        </w:rPr>
        <w:t>1. Registration Strategy:</w:t>
      </w:r>
    </w:p>
    <w:p>
      <w:pPr>
        <w:pStyle w:val="ListBullet"/>
      </w:pPr>
      <w:r>
        <w:rPr>
          <w:b/>
        </w:rPr>
        <w:t>NorthSea Drilling</w:t>
      </w:r>
      <w:r>
        <w:t>: UK VAT registration essential to access zero-rating (otherwise reverse charge creates cash flow delay for BritOil)</w:t>
      </w:r>
    </w:p>
    <w:p>
      <w:pPr>
        <w:pStyle w:val="ListBullet"/>
      </w:pPr>
      <w:r>
        <w:rPr>
          <w:b/>
        </w:rPr>
        <w:t>Alternative</w:t>
      </w:r>
      <w:r>
        <w:t>: Fixed establishment in UK if substantial ongoing operations</w:t>
      </w:r>
    </w:p>
    <w:p>
      <w:r>
        <w:rPr>
          <w:b/>
        </w:rPr>
        <w:t>2. Postponed VAT Accounting:</w:t>
      </w:r>
    </w:p>
    <w:p>
      <w:pPr>
        <w:pStyle w:val="ListBullet"/>
      </w:pPr>
      <w:r>
        <w:rPr>
          <w:b/>
        </w:rPr>
        <w:t>NorthSea Drilling</w:t>
      </w:r>
      <w:r>
        <w:t>: Use Norwegian postponed import VAT accounting (no cash outlay)</w:t>
      </w:r>
    </w:p>
    <w:p>
      <w:pPr>
        <w:pStyle w:val="ListBullet"/>
      </w:pPr>
      <w:r>
        <w:rPr>
          <w:b/>
        </w:rPr>
        <w:t>Netherlands Refinery</w:t>
      </w:r>
      <w:r>
        <w:t>: Use EU reverse charge on acquisition (Intra-Community Acquisition)</w:t>
      </w:r>
    </w:p>
    <w:p>
      <w:r>
        <w:rPr>
          <w:b/>
        </w:rPr>
        <w:t>3. Cash Flow Management:</w:t>
      </w:r>
    </w:p>
    <w:p>
      <w:pPr>
        <w:pStyle w:val="ListBullet"/>
      </w:pPr>
      <w:r>
        <w:t xml:space="preserve">All parties in </w:t>
      </w:r>
      <w:r>
        <w:rPr>
          <w:b/>
        </w:rPr>
        <w:t>net refund positions</w:t>
      </w:r>
      <w:r>
        <w:t xml:space="preserve"> → accelerate refund claims</w:t>
      </w:r>
    </w:p>
    <w:p>
      <w:pPr>
        <w:pStyle w:val="ListBullet"/>
      </w:pPr>
      <w:r>
        <w:t>Consider group registration (if applicable) to net off intra-group supplies</w:t>
      </w:r>
    </w:p>
    <w:p>
      <w:r>
        <w:rPr>
          <w:b/>
        </w:rPr>
        <w:t>4. Documentation:</w:t>
      </w:r>
    </w:p>
    <w:p>
      <w:pPr>
        <w:pStyle w:val="ListBullet"/>
      </w:pPr>
      <w:r>
        <w:t>Maintain comprehensive evidence (export declarations, offshore certificates)</w:t>
      </w:r>
    </w:p>
    <w:p>
      <w:pPr>
        <w:pStyle w:val="ListBullet"/>
      </w:pPr>
      <w:r>
        <w:t>VIES validation to ensure zero-rating eligibility</w:t>
      </w:r>
    </w:p>
    <w:p>
      <w:r>
        <w:rPr>
          <w:b/>
        </w:rPr>
        <w:t>5. Transfer Pricing Alignment:</w:t>
      </w:r>
    </w:p>
    <w:p>
      <w:pPr>
        <w:pStyle w:val="ListBullet"/>
      </w:pPr>
      <w:r>
        <w:t>Ensure VAT treatment consistent with transfer pricing (arms-length pricing)</w:t>
      </w:r>
    </w:p>
    <w:p>
      <w:pPr>
        <w:pStyle w:val="ListBullet"/>
      </w:pPr>
      <w:r>
        <w:t>Related party transactions: Document business reasons for structure</w:t>
      </w:r>
    </w:p>
    <w:p>
      <w:pPr>
        <w:pStyle w:val="Heading4"/>
      </w:pPr>
      <w:r>
        <w:t>Part (d): Total VAT Impact by Party</w:t>
      </w:r>
    </w:p>
    <w:p>
      <w:r>
        <w:rPr>
          <w:b/>
        </w:rPr>
        <w:t>NorthSea Drilling AS (Norway):</w:t>
      </w:r>
    </w:p>
    <w:p>
      <w:pPr>
        <w:shd w:fill="F0F0F0"/>
        <w:spacing w:after="0" w:line="240" w:lineRule="auto"/>
      </w:pPr>
      <w:r>
        <w:rPr>
          <w:rFonts w:ascii="Courier New" w:hAnsi="Courier New"/>
          <w:sz w:val="20"/>
        </w:rPr>
        <w:t>Import VAT on equipment:              £1,000,000 (postponed accounting)</w:t>
      </w:r>
    </w:p>
    <w:p>
      <w:pPr>
        <w:shd w:fill="F0F0F0"/>
        <w:spacing w:after="0" w:line="240" w:lineRule="auto"/>
      </w:pPr>
      <w:r>
        <w:rPr>
          <w:rFonts w:ascii="Courier New" w:hAnsi="Courier New"/>
          <w:sz w:val="20"/>
        </w:rPr>
        <w:t>VAT on UK services:                   £0 (zero-rated)</w:t>
      </w:r>
    </w:p>
    <w:p>
      <w:pPr>
        <w:shd w:fill="F0F0F0"/>
        <w:spacing w:after="0" w:line="240" w:lineRule="auto"/>
      </w:pPr>
      <w:r>
        <w:rPr>
          <w:rFonts w:ascii="Courier New" w:hAnsi="Courier New"/>
          <w:sz w:val="20"/>
        </w:rPr>
        <w:t>Recoverable input VAT:                £1,000,000</w:t>
      </w:r>
    </w:p>
    <w:p>
      <w:pPr>
        <w:shd w:fill="F0F0F0"/>
        <w:spacing w:after="0" w:line="240" w:lineRule="auto"/>
      </w:pPr>
      <w:r>
        <w:rPr>
          <w:rFonts w:ascii="Courier New" w:hAnsi="Courier New"/>
          <w:sz w:val="20"/>
        </w:rPr>
        <w:t>Net cash flow impact:                 £0 (or +£1,000,000 refund if paid upfront)</w:t>
      </w:r>
    </w:p>
    <w:p/>
    <w:p>
      <w:r>
        <w:rPr>
          <w:b/>
        </w:rPr>
        <w:t>BritOil Ltd (UK):</w:t>
      </w:r>
    </w:p>
    <w:p>
      <w:pPr>
        <w:shd w:fill="F0F0F0"/>
        <w:spacing w:after="0" w:line="240" w:lineRule="auto"/>
      </w:pPr>
      <w:r>
        <w:rPr>
          <w:rFonts w:ascii="Courier New" w:hAnsi="Courier New"/>
          <w:sz w:val="20"/>
        </w:rPr>
        <w:t>Input VAT on services (Stage 2):     £0 (zero-rated supply received)</w:t>
      </w:r>
    </w:p>
    <w:p>
      <w:pPr>
        <w:shd w:fill="F0F0F0"/>
        <w:spacing w:after="0" w:line="240" w:lineRule="auto"/>
      </w:pPr>
      <w:r>
        <w:rPr>
          <w:rFonts w:ascii="Courier New" w:hAnsi="Courier New"/>
          <w:sz w:val="20"/>
        </w:rPr>
        <w:t>Input VAT on UK costs:                £1,500,000</w:t>
      </w:r>
    </w:p>
    <w:p>
      <w:pPr>
        <w:shd w:fill="F0F0F0"/>
        <w:spacing w:after="0" w:line="240" w:lineRule="auto"/>
      </w:pPr>
      <w:r>
        <w:rPr>
          <w:rFonts w:ascii="Courier New" w:hAnsi="Courier New"/>
          <w:sz w:val="20"/>
        </w:rPr>
        <w:t>Output VAT on exports:                £0 (zero-rated)</w:t>
      </w:r>
    </w:p>
    <w:p>
      <w:pPr>
        <w:shd w:fill="F0F0F0"/>
        <w:spacing w:after="0" w:line="240" w:lineRule="auto"/>
      </w:pPr>
      <w:r>
        <w:rPr>
          <w:rFonts w:ascii="Courier New" w:hAnsi="Courier New"/>
          <w:sz w:val="20"/>
        </w:rPr>
        <w:t>Net VAT refund claim:                 £1,500,000</w:t>
      </w:r>
    </w:p>
    <w:p>
      <w:pPr>
        <w:shd w:fill="F0F0F0"/>
        <w:spacing w:after="0" w:line="240" w:lineRule="auto"/>
      </w:pPr>
      <w:r>
        <w:rPr>
          <w:rFonts w:ascii="Courier New" w:hAnsi="Courier New"/>
          <w:sz w:val="20"/>
        </w:rPr>
        <w:t>Timeline:                             1 month + 7 days after period end</w:t>
      </w:r>
    </w:p>
    <w:p/>
    <w:p>
      <w:r>
        <w:rPr>
          <w:b/>
        </w:rPr>
        <w:t>Netherlands Refinery BV:</w:t>
      </w:r>
    </w:p>
    <w:p>
      <w:pPr>
        <w:shd w:fill="F0F0F0"/>
        <w:spacing w:after="0" w:line="240" w:lineRule="auto"/>
      </w:pPr>
      <w:r>
        <w:rPr>
          <w:rFonts w:ascii="Courier New" w:hAnsi="Courier New"/>
          <w:sz w:val="20"/>
        </w:rPr>
        <w:t>Import VAT on crude oil:              €2,520,000 (£2,100,000)</w:t>
      </w:r>
    </w:p>
    <w:p>
      <w:pPr>
        <w:shd w:fill="F0F0F0"/>
        <w:spacing w:after="0" w:line="240" w:lineRule="auto"/>
      </w:pPr>
      <w:r>
        <w:rPr>
          <w:rFonts w:ascii="Courier New" w:hAnsi="Courier New"/>
          <w:sz w:val="20"/>
        </w:rPr>
        <w:t>Input VAT on refining costs:          €500,000 (£416,667)</w:t>
      </w:r>
    </w:p>
    <w:p>
      <w:pPr>
        <w:shd w:fill="F0F0F0"/>
        <w:spacing w:after="0" w:line="240" w:lineRule="auto"/>
      </w:pPr>
      <w:r>
        <w:rPr>
          <w:rFonts w:ascii="Courier New" w:hAnsi="Courier New"/>
          <w:sz w:val="20"/>
        </w:rPr>
        <w:t>Output VAT (intra-EU B2B):            €0</w:t>
      </w:r>
    </w:p>
    <w:p>
      <w:pPr>
        <w:shd w:fill="F0F0F0"/>
        <w:spacing w:after="0" w:line="240" w:lineRule="auto"/>
      </w:pPr>
      <w:r>
        <w:rPr>
          <w:rFonts w:ascii="Courier New" w:hAnsi="Courier New"/>
          <w:sz w:val="20"/>
        </w:rPr>
        <w:t>Net VAT refund:                       €3,020,000 (£2,516,667)</w:t>
      </w:r>
    </w:p>
    <w:p/>
    <w:p>
      <w:r>
        <w:rPr>
          <w:b/>
        </w:rPr>
        <w:t>Total VAT Revenue to Authorities: €0</w:t>
      </w:r>
      <w:r>
        <w:t xml:space="preserve"> (VAT neutral as designed)</w:t>
      </w:r>
    </w:p>
    <w:p>
      <w:r>
        <w:rPr>
          <w:b/>
        </w:rPr>
        <w:t>Commercial Impact:</w:t>
      </w:r>
    </w:p>
    <w:p>
      <w:pPr>
        <w:pStyle w:val="ListBullet"/>
      </w:pPr>
      <w:r>
        <w:t>Cash flow timing: Refunds take 1-3 months depending on jurisdiction</w:t>
      </w:r>
    </w:p>
    <w:p>
      <w:pPr>
        <w:pStyle w:val="ListBullet"/>
      </w:pPr>
      <w:r>
        <w:t>Working capital requirement: Bridging finance may be needed</w:t>
      </w:r>
    </w:p>
    <w:p>
      <w:pPr>
        <w:pStyle w:val="ListBullet"/>
      </w:pPr>
      <w:r>
        <w:t>Administrative cost: Multiple VAT registrations and compliance burden</w:t>
      </w:r>
    </w:p>
    <w:p>
      <w:r>
        <w:rPr>
          <w:b/>
        </w:rPr>
        <w:t>Key Takeaways:</w:t>
      </w:r>
    </w:p>
    <w:p>
      <w:pPr>
        <w:pStyle w:val="ListNumber"/>
      </w:pPr>
      <w:r>
        <w:t>Zero-rating of international supplies ensures VAT neutrality across supply chain</w:t>
      </w:r>
    </w:p>
    <w:p>
      <w:pPr>
        <w:pStyle w:val="ListNumber"/>
      </w:pPr>
      <w:r>
        <w:t>Proper documentation critical to claim zero-rating and refunds</w:t>
      </w:r>
    </w:p>
    <w:p>
      <w:pPr>
        <w:pStyle w:val="ListNumber"/>
      </w:pPr>
      <w:r>
        <w:t>Multiple VAT registrations necessary but can be optimized through strategic structuring</w:t>
      </w:r>
    </w:p>
    <w:p>
      <w:pPr>
        <w:pStyle w:val="ListNumber"/>
      </w:pPr>
      <w:r>
        <w:t>Cash flow management essential given refund cycles</w:t>
      </w:r>
    </w:p>
    <w:p>
      <w:pPr>
        <w:spacing w:before="120" w:after="120"/>
        <w:pBdr>
          <w:bottom w:val="single" w:sz="6" w:space="1" w:color="auto"/>
        </w:pBdr>
      </w:pPr>
    </w:p>
    <w:p>
      <w:pPr>
        <w:pStyle w:val="Heading2"/>
      </w:pPr>
      <w:r>
        <w:t>6. Key Examination Points and Summary</w:t>
      </w:r>
    </w:p>
    <w:p>
      <w:pPr>
        <w:pStyle w:val="Heading3"/>
      </w:pPr>
      <w:r>
        <w:t>6.1 Critical Concepts for ADIT Candidates</w:t>
      </w:r>
    </w:p>
    <w:p>
      <w:pPr>
        <w:pStyle w:val="ListNumber"/>
      </w:pPr>
      <w:r>
        <w:rPr>
          <w:b/>
        </w:rPr>
        <w:t>Distinguish zero-rating from exemption</w:t>
      </w:r>
      <w:r>
        <w:t>: Zero-rating allows input VAT recovery; exemption does not</w:t>
      </w:r>
    </w:p>
    <w:p>
      <w:pPr>
        <w:pStyle w:val="ListNumber"/>
      </w:pPr>
      <w:r>
        <w:rPr>
          <w:b/>
        </w:rPr>
        <w:t>Master place of supply rules</w:t>
      </w:r>
      <w:r>
        <w:t>: Different rules for goods, B2B services, B2C services, and exceptions</w:t>
      </w:r>
    </w:p>
    <w:p>
      <w:pPr>
        <w:pStyle w:val="ListNumber"/>
      </w:pPr>
      <w:r>
        <w:rPr>
          <w:b/>
        </w:rPr>
        <w:t>Understand reverse charge mechanism</w:t>
      </w:r>
      <w:r>
        <w:t>: Customer self-accounts for VAT on cross-border B2B services</w:t>
      </w:r>
    </w:p>
    <w:p>
      <w:pPr>
        <w:pStyle w:val="ListNumber"/>
      </w:pPr>
      <w:r>
        <w:rPr>
          <w:b/>
        </w:rPr>
        <w:t>Partial exemption calculations</w:t>
      </w:r>
      <w:r>
        <w:t>: Standard method vs. special methods for mixed supplies</w:t>
      </w:r>
    </w:p>
    <w:p>
      <w:pPr>
        <w:pStyle w:val="ListNumber"/>
      </w:pPr>
      <w:r>
        <w:rPr>
          <w:b/>
        </w:rPr>
        <w:t>Offshore petroleum services</w:t>
      </w:r>
      <w:r>
        <w:t>: Specific zero-rating provisions in UK, Norway, and other jurisdictions</w:t>
      </w:r>
    </w:p>
    <w:p>
      <w:pPr>
        <w:pStyle w:val="ListNumber"/>
      </w:pPr>
      <w:r>
        <w:rPr>
          <w:b/>
        </w:rPr>
        <w:t>Cross-border VAT planning</w:t>
      </w:r>
      <w:r>
        <w:t>: Refund mechanisms, cash flow optimization, registration strategies</w:t>
      </w:r>
    </w:p>
    <w:p>
      <w:pPr>
        <w:pStyle w:val="Heading3"/>
      </w:pPr>
      <w:r>
        <w:t>6.2 Common Pitfalls</w:t>
      </w:r>
    </w:p>
    <w:p>
      <w:pPr>
        <w:pStyle w:val="ListBullet"/>
      </w:pPr>
      <w:r>
        <w:rPr>
          <w:b/>
        </w:rPr>
        <w:t>Confusing place of supply with place of performance</w:t>
      </w:r>
      <w:r>
        <w:t>: Services may be taxable in jurisdiction other than where performed</w:t>
      </w:r>
    </w:p>
    <w:p>
      <w:pPr>
        <w:pStyle w:val="ListBullet"/>
      </w:pPr>
      <w:r>
        <w:rPr>
          <w:b/>
        </w:rPr>
        <w:t>Assuming all exports are zero-rated</w:t>
      </w:r>
      <w:r>
        <w:t>: Must meet strict evidence requirements</w:t>
      </w:r>
    </w:p>
    <w:p>
      <w:pPr>
        <w:pStyle w:val="ListBullet"/>
      </w:pPr>
      <w:r>
        <w:rPr>
          <w:b/>
        </w:rPr>
        <w:t>Ignoring partial exemption restrictions</w:t>
      </w:r>
      <w:r>
        <w:t>: Even small exempt income can restrict input VAT recovery if exceeds de minimis</w:t>
      </w:r>
    </w:p>
    <w:p>
      <w:pPr>
        <w:pStyle w:val="ListBullet"/>
      </w:pPr>
      <w:r>
        <w:rPr>
          <w:b/>
        </w:rPr>
        <w:t>Failure to maintain documentation</w:t>
      </w:r>
      <w:r>
        <w:t>: Zero-rating and exemptions require robust evidence</w:t>
      </w:r>
    </w:p>
    <w:p>
      <w:pPr>
        <w:pStyle w:val="ListBullet"/>
      </w:pPr>
      <w:r>
        <w:rPr>
          <w:b/>
        </w:rPr>
        <w:t>Overlooking reverse charge obligations</w:t>
      </w:r>
      <w:r>
        <w:t>: Can result in penalties for late self-accounting</w:t>
      </w:r>
    </w:p>
    <w:p>
      <w:pPr>
        <w:pStyle w:val="Heading3"/>
      </w:pPr>
      <w:r>
        <w:t>6.3 Recent Trends and Future Developments</w:t>
      </w:r>
    </w:p>
    <w:p>
      <w:r>
        <w:rPr>
          <w:b/>
        </w:rPr>
        <w:t>Digitalization:</w:t>
      </w:r>
    </w:p>
    <w:p>
      <w:pPr>
        <w:pStyle w:val="ListBullet"/>
      </w:pPr>
      <w:r>
        <w:t>E-invoicing mandates spreading across EU (ViDA proposals)</w:t>
      </w:r>
    </w:p>
    <w:p>
      <w:pPr>
        <w:pStyle w:val="ListBullet"/>
      </w:pPr>
      <w:r>
        <w:t>Real-time reporting requirements in some jurisdictions</w:t>
      </w:r>
    </w:p>
    <w:p>
      <w:pPr>
        <w:pStyle w:val="ListBullet"/>
      </w:pPr>
      <w:r>
        <w:t>Blockchain applications for VAT compliance</w:t>
      </w:r>
    </w:p>
    <w:p>
      <w:r>
        <w:rPr>
          <w:b/>
        </w:rPr>
        <w:t>Energy Transition:</w:t>
      </w:r>
    </w:p>
    <w:p>
      <w:pPr>
        <w:pStyle w:val="ListBullet"/>
      </w:pPr>
      <w:r>
        <w:t>VAT treatment of renewable energy installations</w:t>
      </w:r>
    </w:p>
    <w:p>
      <w:pPr>
        <w:pStyle w:val="ListBullet"/>
      </w:pPr>
      <w:r>
        <w:t>Carbon capture and storage (CCS) VAT implications</w:t>
      </w:r>
    </w:p>
    <w:p>
      <w:pPr>
        <w:pStyle w:val="ListBullet"/>
      </w:pPr>
      <w:r>
        <w:t>Hydrogen production and distribution VAT rules</w:t>
      </w:r>
    </w:p>
    <w:p>
      <w:r>
        <w:rPr>
          <w:b/>
        </w:rPr>
        <w:t>Post-Brexit:</w:t>
      </w:r>
    </w:p>
    <w:p>
      <w:pPr>
        <w:pStyle w:val="ListBullet"/>
      </w:pPr>
      <w:r>
        <w:t>Ongoing UK-EU VAT coordination challenges</w:t>
      </w:r>
    </w:p>
    <w:p>
      <w:pPr>
        <w:pStyle w:val="ListBullet"/>
      </w:pPr>
      <w:r>
        <w:t>Northern Ireland Protocol specific rules</w:t>
      </w:r>
    </w:p>
    <w:p>
      <w:pPr>
        <w:pStyle w:val="ListBullet"/>
      </w:pPr>
      <w:r>
        <w:t>Divergence in VAT treatment emerging</w:t>
      </w:r>
    </w:p>
    <w:p>
      <w:pPr>
        <w:pStyle w:val="Heading3"/>
      </w:pPr>
      <w:r>
        <w:t>6.4 Compliance Best Practices</w:t>
      </w:r>
    </w:p>
    <w:p>
      <w:pPr>
        <w:pStyle w:val="ListNumber"/>
      </w:pPr>
      <w:r>
        <w:rPr>
          <w:b/>
        </w:rPr>
        <w:t>Maintain comprehensive VAT matrix</w:t>
      </w:r>
      <w:r>
        <w:t>: Document place of supply determinations for all transaction types</w:t>
      </w:r>
    </w:p>
    <w:p>
      <w:pPr>
        <w:pStyle w:val="ListNumber"/>
      </w:pPr>
      <w:r>
        <w:rPr>
          <w:b/>
        </w:rPr>
        <w:t>Regular partial exemption reviews</w:t>
      </w:r>
      <w:r>
        <w:t>: Monitor de minimis position and optimize recovery methods</w:t>
      </w:r>
    </w:p>
    <w:p>
      <w:pPr>
        <w:pStyle w:val="ListNumber"/>
      </w:pPr>
      <w:r>
        <w:rPr>
          <w:b/>
        </w:rPr>
        <w:t>Transfer pricing-VAT alignment</w:t>
      </w:r>
      <w:r>
        <w:t>: Ensure consistent treatment across tax disciplines</w:t>
      </w:r>
    </w:p>
    <w:p>
      <w:pPr>
        <w:pStyle w:val="ListNumber"/>
      </w:pPr>
      <w:r>
        <w:rPr>
          <w:b/>
        </w:rPr>
        <w:t>Centralized VAT compliance function</w:t>
      </w:r>
      <w:r>
        <w:t>: Manage multiple registrations and filings efficiently</w:t>
      </w:r>
    </w:p>
    <w:p>
      <w:pPr>
        <w:pStyle w:val="ListNumber"/>
      </w:pPr>
      <w:r>
        <w:rPr>
          <w:b/>
        </w:rPr>
        <w:t>Engage with tax authorities</w:t>
      </w:r>
      <w:r>
        <w:t>: Seek rulings for complex structures proactively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