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73: Tax Aspects of CCUS</w:t>
      </w:r>
    </w:p>
    <w:p>
      <w:pPr>
        <w:pStyle w:val="Heading2"/>
      </w:pPr>
      <w:r>
        <w:t>1. Introduction</w:t>
      </w:r>
    </w:p>
    <w:p>
      <w:r>
        <w:t>Carbon Capture, Utilization and Storage (**CCUS**) technology represents a critical tool in achieving climate neutrality targets, particularly for hard-to-abate sectors such as cement, steel, and chemicals production. Given the substantial capital investment required for CCUS infrastructure—often exceeding USD 1 billion for large-scale facilities—tax policy plays a decisive role in determining project viability. This chapter examines the international tax framework supporting CCUS deployment, focusing on investment incentives, cost recovery mechanisms, and cross-border taxation challenges relevant to multinational energy companies.</w:t>
      </w:r>
    </w:p>
    <w:p>
      <w:pPr>
        <w:pStyle w:val="Heading2"/>
      </w:pPr>
      <w:r>
        <w:t>2. Tax Incentives for CCUS Investment</w:t>
      </w:r>
    </w:p>
    <w:p>
      <w:pPr>
        <w:pStyle w:val="Heading3"/>
      </w:pPr>
      <w:r>
        <w:t>2.1 Section 45Q Tax Credit (United States)</w:t>
      </w:r>
    </w:p>
    <w:p>
      <w:r>
        <w:t>The Section 45Q tax credit, significantly enhanced by the Inflation Reduction Act 2022, provides the most generous CCUS incentive globally:</w:t>
      </w:r>
    </w:p>
    <w:p>
      <w:r>
        <w:t>**Credit Structure (2025 values):**</w:t>
      </w:r>
    </w:p>
    <w:p>
      <w:r>
        <w:t>| CO₂ Disposition | Base Credit | Direct Pay/Transfer |</w:t>
      </w:r>
    </w:p>
    <w:p>
      <w:r>
        <w:t>|----------------|-------------|---------------------|</w:t>
      </w:r>
    </w:p>
    <w:p>
      <w:r>
        <w:t>| Permanent geological storage | USD 85/tonne | Available |</w:t>
      </w:r>
    </w:p>
    <w:p>
      <w:r>
        <w:t>| EOR with storage | USD 60/tonne | Available |</w:t>
      </w:r>
    </w:p>
    <w:p>
      <w:r>
        <w:t>| Utilization | USD 60/tonne | Available |</w:t>
      </w:r>
    </w:p>
    <w:p>
      <w:r>
        <w:t>**Key Features:**</w:t>
      </w:r>
    </w:p>
    <w:p>
      <w:pPr>
        <w:pStyle w:val="ListBullet"/>
      </w:pPr>
      <w:r>
        <w:t>**Eligibility period**: 12 years from facility commencement</w:t>
      </w:r>
    </w:p>
    <w:p>
      <w:pPr>
        <w:pStyle w:val="ListBullet"/>
      </w:pPr>
      <w:r>
        <w:t>**Phase-in inflation adjustment**: Credits indexed to inflation after 2027</w:t>
      </w:r>
    </w:p>
    <w:p>
      <w:pPr>
        <w:pStyle w:val="ListBullet"/>
      </w:pPr>
      <w:r>
        <w:t>**Direct pay option**: Allows entities without tax liability to receive cash refunds (critical for joint ventures with tax-exempt partners)</w:t>
      </w:r>
    </w:p>
    <w:p>
      <w:pPr>
        <w:pStyle w:val="ListBullet"/>
      </w:pPr>
      <w:r>
        <w:t>**Transferability**: Credits may be sold to unrelated third parties, creating new financing structures</w:t>
      </w:r>
    </w:p>
    <w:p>
      <w:pPr>
        <w:pStyle w:val="ListBullet"/>
      </w:pPr>
      <w:r>
        <w:t>**Minimum capture thresholds**: 18,750 tonnes/year (direct air capture), 12,500 tonnes/year (other facilities)</w:t>
      </w:r>
    </w:p>
    <w:p>
      <w:r>
        <w:t>**Tax Planning Considerations:**</w:t>
      </w:r>
    </w:p>
    <w:p>
      <w:pPr>
        <w:pStyle w:val="ListBullet"/>
      </w:pPr>
      <w:r>
        <w:t>**Partnership structures**: Allocation of 45Q credits among partners requires careful consideration of IRC §704(b) substantial economic effect rules</w:t>
      </w:r>
    </w:p>
    <w:p>
      <w:pPr>
        <w:pStyle w:val="ListBullet"/>
      </w:pPr>
      <w:r>
        <w:t>**Recapture provisions**: Credits subject to recapture if stored CO₂ leaks within three years</w:t>
      </w:r>
    </w:p>
    <w:p>
      <w:pPr>
        <w:pStyle w:val="ListBullet"/>
      </w:pPr>
      <w:r>
        <w:t>**Foreign tax credit interaction**: 45Q credits are specified credits under IRC §904(h), limiting foreign tax credit utilization</w:t>
      </w:r>
    </w:p>
    <w:p>
      <w:pPr>
        <w:pStyle w:val="Heading3"/>
      </w:pPr>
      <w:r>
        <w:t>2.2 Investment Tax Credits and Accelerated Depreciation</w:t>
      </w:r>
    </w:p>
    <w:p>
      <w:r>
        <w:t>**United Kingdom – Capital Allowances:**</w:t>
      </w:r>
    </w:p>
    <w:p>
      <w:pPr>
        <w:pStyle w:val="ListBullet"/>
      </w:pPr>
      <w:r>
        <w:t>**First Year Allowances**: 100% super-deduction for qualifying CCUS equipment (available through March 2026)</w:t>
      </w:r>
    </w:p>
    <w:p>
      <w:pPr>
        <w:pStyle w:val="ListBullet"/>
      </w:pPr>
      <w:r>
        <w:t>**Annual Investment Allowance**: £1 million annual allowance for plant and machinery</w:t>
      </w:r>
    </w:p>
    <w:p>
      <w:pPr>
        <w:pStyle w:val="ListBullet"/>
      </w:pPr>
      <w:r>
        <w:t>**Long-life asset treatment**: CCUS pipelines and storage facilities qualify for 6% writing-down allowances</w:t>
      </w:r>
    </w:p>
    <w:p>
      <w:r>
        <w:t>**Norway – Tax Depreciation:**</w:t>
      </w:r>
    </w:p>
    <w:p>
      <w:pPr>
        <w:pStyle w:val="ListBullet"/>
      </w:pPr>
      <w:r>
        <w:t>**Immediate expensing**: CCUS equipment on Norwegian continental shelf eligible for 100% first-year depreciation under Petroleum Tax Act</w:t>
      </w:r>
    </w:p>
    <w:p>
      <w:pPr>
        <w:pStyle w:val="ListBullet"/>
      </w:pPr>
      <w:r>
        <w:t>**Uplift allowance**: 24% risk allowance on uplifted basis (5.2% annually for four years)</w:t>
      </w:r>
    </w:p>
    <w:p>
      <w:pPr>
        <w:pStyle w:val="ListBullet"/>
      </w:pPr>
      <w:r>
        <w:t>**Effective rate**: Combined 78% tax rate (56% special tax + 22% ordinary tax) makes depreciation timing highly valuable</w:t>
      </w:r>
    </w:p>
    <w:p>
      <w:r>
        <w:t>**Canada – Investment Tax Credit (Budget 2024):**</w:t>
      </w:r>
    </w:p>
    <w:p>
      <w:pPr>
        <w:pStyle w:val="ListBullet"/>
      </w:pPr>
      <w:r>
        <w:t>**Credit rate**: 37.5% for eligible CCUS equipment</w:t>
      </w:r>
    </w:p>
    <w:p>
      <w:pPr>
        <w:pStyle w:val="ListBullet"/>
      </w:pPr>
      <w:r>
        <w:t>**Qualifying expenditures**: Capture, compression, pipeline transport, and storage infrastructure</w:t>
      </w:r>
    </w:p>
    <w:p>
      <w:pPr>
        <w:pStyle w:val="ListBullet"/>
      </w:pPr>
      <w:r>
        <w:t>**Phase-out**: Credit reduces to 18.75% after 2030, eliminated by 2040</w:t>
      </w:r>
    </w:p>
    <w:p>
      <w:pPr>
        <w:pStyle w:val="Heading3"/>
      </w:pPr>
      <w:r>
        <w:t>2.3 Operating Subsidies and Price Support</w:t>
      </w:r>
    </w:p>
    <w:p>
      <w:r>
        <w:t>Several jurisdictions provide operational support beyond capital incentives:</w:t>
      </w:r>
    </w:p>
    <w:p>
      <w:r>
        <w:t>**UK CCUS Cluster Sequencing Programme:**</w:t>
      </w:r>
    </w:p>
    <w:p>
      <w:pPr>
        <w:pStyle w:val="ListBullet"/>
      </w:pPr>
      <w:r>
        <w:t>**Dispatchable Power Agreement (DPA)**: Revenue support for CCUS-equipped power generation</w:t>
      </w:r>
    </w:p>
    <w:p>
      <w:pPr>
        <w:pStyle w:val="ListBullet"/>
      </w:pPr>
      <w:r>
        <w:t>**Industrial Carbon Capture Contract (ICC)**: Guaranteed price per tonne captured for industrial emitters</w:t>
      </w:r>
    </w:p>
    <w:p>
      <w:pPr>
        <w:pStyle w:val="ListBullet"/>
      </w:pPr>
      <w:r>
        <w:t>**Tax treatment**: Payments taxable as ordinary income; taxpayers should evaluate whether payments constitute subsidies requiring basis reduction under CTA 2010</w:t>
      </w:r>
    </w:p>
    <w:p>
      <w:r>
        <w:t>**Netherlands SDE++ Scheme:**</w:t>
      </w:r>
    </w:p>
    <w:p>
      <w:pPr>
        <w:pStyle w:val="ListBullet"/>
      </w:pPr>
      <w:r>
        <w:t>**Subsidy structure**: Covers gap between CO₂ capture costs and ETS price</w:t>
      </w:r>
    </w:p>
    <w:p>
      <w:pPr>
        <w:pStyle w:val="ListBullet"/>
      </w:pPr>
      <w:r>
        <w:t>**Tax implications**: Reduces deductible project costs; creates timing differences for deferred tax accounting</w:t>
      </w:r>
    </w:p>
    <w:p>
      <w:pPr>
        <w:pStyle w:val="Heading2"/>
      </w:pPr>
      <w:r>
        <w:t>3. Transfer Pricing for CCUS Infrastructure</w:t>
      </w:r>
    </w:p>
    <w:p>
      <w:pPr>
        <w:pStyle w:val="Heading3"/>
      </w:pPr>
      <w:r>
        <w:t>3.1 Shared Infrastructure Arrangements</w:t>
      </w:r>
    </w:p>
    <w:p>
      <w:r>
        <w:t>CCUS projects frequently involve multiple parties sharing capture, transport, or storage infrastructure. Transfer pricing analysis must address:</w:t>
      </w:r>
    </w:p>
    <w:p>
      <w:r>
        <w:t>**Cost Contribution Arrangements (CCAs):**</w:t>
      </w:r>
    </w:p>
    <w:p>
      <w:r>
        <w:t>Under OECD Transfer Pricing Guidelines Chapter VIII, CCAs allow multiple parties to share CCUS development costs and benefits:</w:t>
      </w:r>
    </w:p>
    <w:p>
      <w:pPr>
        <w:pStyle w:val="ListBullet"/>
      </w:pPr>
      <w:r>
        <w:t>**Participant analysis**: Each participant must reasonably expect benefits commensurate with contributions</w:t>
      </w:r>
    </w:p>
    <w:p>
      <w:pPr>
        <w:pStyle w:val="ListBullet"/>
      </w:pPr>
      <w:r>
        <w:t>**Allocation keys**: Common methods include captured CO₂ volume, proportional emissions, or reserved capacity</w:t>
      </w:r>
    </w:p>
    <w:p>
      <w:pPr>
        <w:pStyle w:val="ListBullet"/>
      </w:pPr>
      <w:r>
        <w:t>**Buy-in/buy-out payments**: Required when participant joins existing infrastructure or exits arrangement</w:t>
      </w:r>
    </w:p>
    <w:p>
      <w:r>
        <w:t>**Service Fee Arrangements:**</w:t>
      </w:r>
    </w:p>
    <w:p>
      <w:r>
        <w:t>When one entity operates CCUS infrastructure for affiliated users:</w:t>
      </w:r>
    </w:p>
    <w:p>
      <w:pPr>
        <w:pStyle w:val="ListBullet"/>
      </w:pPr>
      <w:r>
        <w:t>**Method selection**: Cost-plus method typically appropriate for routine infrastructure operation</w:t>
      </w:r>
    </w:p>
    <w:p>
      <w:pPr>
        <w:pStyle w:val="ListBullet"/>
      </w:pPr>
      <w:r>
        <w:t>**Benchmarking challenges**: Limited comparable uncontrolled prices given nascent CCUS market</w:t>
      </w:r>
    </w:p>
    <w:p>
      <w:pPr>
        <w:pStyle w:val="ListBullet"/>
      </w:pPr>
      <w:r>
        <w:t>**Risk allocation**: Operational risks, geological storage risks, and regulatory compliance risks must align with compensation</w:t>
      </w:r>
    </w:p>
    <w:p>
      <w:pPr>
        <w:pStyle w:val="Heading3"/>
      </w:pPr>
      <w:r>
        <w:t>3.2 Intangible Property Considerations</w:t>
      </w:r>
    </w:p>
    <w:p>
      <w:r>
        <w:t>CCUS technology development creates valuable intangibles requiring transfer pricing attention:</w:t>
      </w:r>
    </w:p>
    <w:p>
      <w:r>
        <w:t>**Qualifying Intangibles:**</w:t>
      </w:r>
    </w:p>
    <w:p>
      <w:pPr>
        <w:pStyle w:val="ListBullet"/>
      </w:pPr>
      <w:r>
        <w:t>Proprietary capture technology (e.g., novel solvents, membrane systems)</w:t>
      </w:r>
    </w:p>
    <w:p>
      <w:pPr>
        <w:pStyle w:val="ListBullet"/>
      </w:pPr>
      <w:r>
        <w:t>Subsurface characterization data for storage sites</w:t>
      </w:r>
    </w:p>
    <w:p>
      <w:pPr>
        <w:pStyle w:val="ListBullet"/>
      </w:pPr>
      <w:r>
        <w:t>Monitoring and verification methodologies</w:t>
      </w:r>
    </w:p>
    <w:p>
      <w:r>
        <w:t>**DEMPE Analysis:**</w:t>
      </w:r>
    </w:p>
    <w:p>
      <w:r>
        <w:t>Development, Enhancement, Maintenance, Protection, and Exploitation functions determine economic ownership under BEPS Actions 8-10:</w:t>
      </w:r>
    </w:p>
    <w:p>
      <w:pPr>
        <w:pStyle w:val="ListBullet"/>
      </w:pPr>
      <w:r>
        <w:t>**Technology developer**: Retains returns associated with R&amp;D risk-bearing</w:t>
      </w:r>
    </w:p>
    <w:p>
      <w:pPr>
        <w:pStyle w:val="ListBullet"/>
      </w:pPr>
      <w:r>
        <w:t>**Licensed user**: Pays arm's-length royalty, typically 2-8% of avoided carbon costs or revenue enhanced by CCUS deployment</w:t>
      </w:r>
    </w:p>
    <w:p>
      <w:pPr>
        <w:pStyle w:val="ListBullet"/>
      </w:pPr>
      <w:r>
        <w:t>**Cost-sharing**: Alternative structure where multiple parties jointly develop technology</w:t>
      </w:r>
    </w:p>
    <w:p>
      <w:pPr>
        <w:pStyle w:val="Heading2"/>
      </w:pPr>
      <w:r>
        <w:t>4. International Tax Implications</w:t>
      </w:r>
    </w:p>
    <w:p>
      <w:pPr>
        <w:pStyle w:val="Heading3"/>
      </w:pPr>
      <w:r>
        <w:t>4.1 Permanent Establishment Risk</w:t>
      </w:r>
    </w:p>
    <w:p>
      <w:r>
        <w:t>**Pipeline Infrastructure:**</w:t>
      </w:r>
    </w:p>
    <w:p>
      <w:r>
        <w:t>CCUS pipelines crossing international borders create PE exposure:</w:t>
      </w:r>
    </w:p>
    <w:p>
      <w:r>
        <w:t>**OECD Model Article 5(1):**</w:t>
      </w:r>
    </w:p>
    <w:p>
      <w:pPr>
        <w:pStyle w:val="ListBullet"/>
      </w:pPr>
      <w:r>
        <w:t>**Fixed place of business**: Pipeline route may constitute PE if taxpayer has right of use and business activities conducted through facility</w:t>
      </w:r>
    </w:p>
    <w:p>
      <w:pPr>
        <w:pStyle w:val="ListBullet"/>
      </w:pPr>
      <w:r>
        <w:t>**Preparatory/auxiliary exception**: Article 5(4) unlikely to apply as CO₂ transport represents core business activity</w:t>
      </w:r>
    </w:p>
    <w:p>
      <w:pPr>
        <w:pStyle w:val="ListBullet"/>
      </w:pPr>
      <w:r>
        <w:t>**Agency PE**: Third-party pipeline operators should be evaluated under Article 5(5) dependent agent rules</w:t>
      </w:r>
    </w:p>
    <w:p>
      <w:r>
        <w:t>**Norway-UK Cross-Border Storage:**</w:t>
      </w:r>
    </w:p>
    <w:p>
      <w:r>
        <w:t>Projects capturing CO₂ in UK and storing in Norwegian North Sea:</w:t>
      </w:r>
    </w:p>
    <w:p>
      <w:pPr>
        <w:pStyle w:val="ListBullet"/>
      </w:pPr>
      <w:r>
        <w:t>**Norwegian taxing rights**: Storage activities likely create Norwegian PE subject to 78% marginal rate</w:t>
      </w:r>
    </w:p>
    <w:p>
      <w:pPr>
        <w:pStyle w:val="ListBullet"/>
      </w:pPr>
      <w:r>
        <w:t>**Treaty relief**: Norway-UK treaty provides foreign tax credit relief for UK taxpayers</w:t>
      </w:r>
    </w:p>
    <w:p>
      <w:pPr>
        <w:pStyle w:val="ListBullet"/>
      </w:pPr>
      <w:r>
        <w:t>**Documentation**: Maintain contemporaneous records of cross-border CO₂ movements for audit defense</w:t>
      </w:r>
    </w:p>
    <w:p>
      <w:pPr>
        <w:pStyle w:val="Heading3"/>
      </w:pPr>
      <w:r>
        <w:t>4.2 Withholding Tax on Cross-Border Payments</w:t>
      </w:r>
    </w:p>
    <w:p>
      <w:r>
        <w:t>**Service Fees:**</w:t>
      </w:r>
    </w:p>
    <w:p>
      <w:r>
        <w:t>Payments for CCUS services to non-resident providers may trigger withholding:</w:t>
      </w:r>
    </w:p>
    <w:p>
      <w:pPr>
        <w:pStyle w:val="ListBullet"/>
      </w:pPr>
      <w:r>
        <w:t>**Business profits article**: Treaty Article 7 exempts if no PE in source state</w:t>
      </w:r>
    </w:p>
    <w:p>
      <w:pPr>
        <w:pStyle w:val="ListBullet"/>
      </w:pPr>
      <w:r>
        <w:t>**Technical services**: Some treaties (e.g., India, Brazil) impose withholding on technical service fees regardless of PE</w:t>
      </w:r>
    </w:p>
    <w:p>
      <w:pPr>
        <w:pStyle w:val="ListBullet"/>
      </w:pPr>
      <w:r>
        <w:t>**Domestic law**: UK charges 20% withholding on "royalties or other sums" for IP use; carefully structure to avoid characterization as royalty</w:t>
      </w:r>
    </w:p>
    <w:p>
      <w:r>
        <w:t>**Royalties for CCUS Technology:**</w:t>
      </w:r>
    </w:p>
    <w:p>
      <w:pPr>
        <w:pStyle w:val="ListBullet"/>
      </w:pPr>
      <w:r>
        <w:t>**Treaty rates**: Typically 0-15% depending on bilateral treaty</w:t>
      </w:r>
    </w:p>
    <w:p>
      <w:pPr>
        <w:pStyle w:val="ListBullet"/>
      </w:pPr>
      <w:r>
        <w:t>**Hybrid mismatches**: ATAD 2 denies deductions for payments not included in recipient's income; relevant for payments to hybrid entities in non-EU jurisdictions</w:t>
      </w:r>
    </w:p>
    <w:p>
      <w:pPr>
        <w:pStyle w:val="Heading3"/>
      </w:pPr>
      <w:r>
        <w:t>4.3 Tax Credit Export and Monetization</w:t>
      </w:r>
    </w:p>
    <w:p>
      <w:r>
        <w:t>**Section 45Q Credit Transferability:**</w:t>
      </w:r>
    </w:p>
    <w:p>
      <w:r>
        <w:t>IRS Notice 2023-XX permits one-time credit transfers:</w:t>
      </w:r>
    </w:p>
    <w:p>
      <w:r>
        <w:t>**Cross-Border Implications:**</w:t>
      </w:r>
    </w:p>
    <w:p>
      <w:pPr>
        <w:pStyle w:val="ListBullet"/>
      </w:pPr>
      <w:r>
        <w:t>**Foreign buyers**: Non-US entities may purchase 45Q credits, but must have US tax liability to utilize</w:t>
      </w:r>
    </w:p>
    <w:p>
      <w:pPr>
        <w:pStyle w:val="ListBullet"/>
      </w:pPr>
      <w:r>
        <w:t>**Withholding**: No withholding on credit sale proceeds (treated as tax attribute, not ordinary income)</w:t>
      </w:r>
    </w:p>
    <w:p>
      <w:pPr>
        <w:pStyle w:val="ListBullet"/>
      </w:pPr>
      <w:r>
        <w:t>**Transfer pricing**: Related-party credit sales must reflect fair market value</w:t>
      </w:r>
    </w:p>
    <w:p>
      <w:r>
        <w:t>**Analogous Structures:**</w:t>
      </w:r>
    </w:p>
    <w:p>
      <w:pPr>
        <w:pStyle w:val="ListBullet"/>
      </w:pPr>
      <w:r>
        <w:t>**UK Contract for Difference**: CfD payments to foreign investors subject to 20% withholding unless treaty relief</w:t>
      </w:r>
    </w:p>
    <w:p>
      <w:pPr>
        <w:pStyle w:val="ListBullet"/>
      </w:pPr>
      <w:r>
        <w:t>**Norwegian uplift**: Non-resident licensees may utilize uplift only against Norwegian petroleum income</w:t>
      </w:r>
    </w:p>
    <w:p>
      <w:pPr>
        <w:pStyle w:val="Heading2"/>
      </w:pPr>
      <w:r>
        <w:t>5. Tax Accounting for CCUS Projects</w:t>
      </w:r>
    </w:p>
    <w:p>
      <w:pPr>
        <w:pStyle w:val="Heading3"/>
      </w:pPr>
      <w:r>
        <w:t>5.1 Revenue Recognition – ASC 606</w:t>
      </w:r>
    </w:p>
    <w:p>
      <w:r>
        <w:t>**45Q Credit Revenue:**</w:t>
      </w:r>
    </w:p>
    <w:p>
      <w:r>
        <w:t>Performance obligation satisfied when CO₂ permanently stored (or utilized):</w:t>
      </w:r>
    </w:p>
    <w:p>
      <w:pPr>
        <w:pStyle w:val="ListBullet"/>
      </w:pPr>
      <w:r>
        <w:t>**Transaction price**: Credit value per tonne indexed for inflation</w:t>
      </w:r>
    </w:p>
    <w:p>
      <w:pPr>
        <w:pStyle w:val="ListBullet"/>
      </w:pPr>
      <w:r>
        <w:t>**Variable consideration**: Estimate credits subject to recapture using expected value method</w:t>
      </w:r>
    </w:p>
    <w:p>
      <w:pPr>
        <w:pStyle w:val="ListBullet"/>
      </w:pPr>
      <w:r>
        <w:t>**Contract modification**: Direct pay election vs. credit transfer creates different accounting</w:t>
      </w:r>
    </w:p>
    <w:p>
      <w:r>
        <w:t>**Subsidy Income (IFRS 15/IAS 20):**</w:t>
      </w:r>
    </w:p>
    <w:p>
      <w:r>
        <w:t>Government grants for CCUS projects:</w:t>
      </w:r>
    </w:p>
    <w:p>
      <w:pPr>
        <w:pStyle w:val="ListBullet"/>
      </w:pPr>
      <w:r>
        <w:t>**Recognition**: Income approach (recognize in P&amp;L systematically) vs. offset approach (reduce asset cost)</w:t>
      </w:r>
    </w:p>
    <w:p>
      <w:pPr>
        <w:pStyle w:val="ListBullet"/>
      </w:pPr>
      <w:r>
        <w:t>**Conditionality**: Income recognized when conditions reasonably certain to be met</w:t>
      </w:r>
    </w:p>
    <w:p>
      <w:pPr>
        <w:pStyle w:val="ListBullet"/>
      </w:pPr>
      <w:r>
        <w:t>**Presentation**: Disclose accounting policy choice and grant amounts in financial statement notes</w:t>
      </w:r>
    </w:p>
    <w:p>
      <w:pPr>
        <w:pStyle w:val="Heading3"/>
      </w:pPr>
      <w:r>
        <w:t>5.2 Deferred Tax – IAS 12</w:t>
      </w:r>
    </w:p>
    <w:p>
      <w:r>
        <w:t>**Temporary Differences:**</w:t>
      </w:r>
    </w:p>
    <w:p>
      <w:r>
        <w:t>Book-tax differences arise from:</w:t>
      </w:r>
    </w:p>
    <w:p>
      <w:pPr>
        <w:pStyle w:val="ListBullet"/>
      </w:pPr>
      <w:r>
        <w:t>**Accelerated tax depreciation**: Creates deductible temporary differences; recognize deferred tax assets</w:t>
      </w:r>
    </w:p>
    <w:p>
      <w:pPr>
        <w:pStyle w:val="ListBullet"/>
      </w:pPr>
      <w:r>
        <w:t>**Capitalized borrowing costs**: Different capitalization rules for tax vs. GAAP</w:t>
      </w:r>
    </w:p>
    <w:p>
      <w:pPr>
        <w:pStyle w:val="ListBullet"/>
      </w:pPr>
      <w:r>
        <w:t>**Government grants**: If offset against asset cost for tax but recognized as income for book, creates taxable temporary difference</w:t>
      </w:r>
    </w:p>
    <w:p>
      <w:r>
        <w:t>**Example Calculation:**</w:t>
      </w:r>
    </w:p>
    <w:p>
      <w:r>
        <w:t>CCUS facility with USD 500 million cost:</w:t>
      </w:r>
    </w:p>
    <w:p>
      <w:pPr>
        <w:pStyle w:val="ListBullet"/>
      </w:pPr>
      <w:r>
        <w:t>**Tax basis**: USD 0 (100% first-year depreciation)</w:t>
      </w:r>
    </w:p>
    <w:p>
      <w:pPr>
        <w:pStyle w:val="ListBullet"/>
      </w:pPr>
      <w:r>
        <w:t>**Book basis**: USD 450 million (after USD 50 million government grant offset)</w:t>
      </w:r>
    </w:p>
    <w:p>
      <w:pPr>
        <w:pStyle w:val="ListBullet"/>
      </w:pPr>
      <w:r>
        <w:t>**Taxable temporary difference**: USD 450 million</w:t>
      </w:r>
    </w:p>
    <w:p>
      <w:pPr>
        <w:pStyle w:val="ListBullet"/>
      </w:pPr>
      <w:r>
        <w:t>**Deferred tax liability**: USD 450 million × 21% = USD 94.5 million</w:t>
      </w:r>
    </w:p>
    <w:p>
      <w:pPr>
        <w:pStyle w:val="Heading2"/>
      </w:pPr>
      <w:r>
        <w:t>6. State Aid and Subsidy Control</w:t>
      </w:r>
    </w:p>
    <w:p>
      <w:pPr>
        <w:pStyle w:val="Heading3"/>
      </w:pPr>
      <w:r>
        <w:t>6.1 EU State Aid Rules (Pre-Brexit UK Projects)</w:t>
      </w:r>
    </w:p>
    <w:p>
      <w:r>
        <w:t>CCUS subsidies must comply with Article 107 TFEU:</w:t>
      </w:r>
    </w:p>
    <w:p>
      <w:r>
        <w:t>**General Block Exemption Regulation (GBER):**</w:t>
      </w:r>
    </w:p>
    <w:p>
      <w:r>
        <w:t>Environmental aid for CCUS qualifies if:</w:t>
      </w:r>
    </w:p>
    <w:p>
      <w:pPr>
        <w:pStyle w:val="ListBullet"/>
      </w:pPr>
      <w:r>
        <w:t>**Aid intensity**: Maximum 30% of eligible costs (45% for SMEs)</w:t>
      </w:r>
    </w:p>
    <w:p>
      <w:pPr>
        <w:pStyle w:val="ListBullet"/>
      </w:pPr>
      <w:r>
        <w:t>**Eligible costs**: Additional investment costs vs. baseline technology</w:t>
      </w:r>
    </w:p>
    <w:p>
      <w:pPr>
        <w:pStyle w:val="ListBullet"/>
      </w:pPr>
      <w:r>
        <w:t>**Notification threshold**: EUR 15 million per undertaking</w:t>
      </w:r>
    </w:p>
    <w:p>
      <w:r>
        <w:t>**Important Environmental Projects (IPCEI):**</w:t>
      </w:r>
    </w:p>
    <w:p>
      <w:r>
        <w:t>Large-scale CCUS projects may qualify under Article 107(3)(b):</w:t>
      </w:r>
    </w:p>
    <w:p>
      <w:pPr>
        <w:pStyle w:val="ListBullet"/>
      </w:pPr>
      <w:r>
        <w:t>**Common European interest**: Cross-border CO₂ networks</w:t>
      </w:r>
    </w:p>
    <w:p>
      <w:pPr>
        <w:pStyle w:val="ListBullet"/>
      </w:pPr>
      <w:r>
        <w:t>**Notification required**: Pre-clearance by European Commission</w:t>
      </w:r>
    </w:p>
    <w:p>
      <w:pPr>
        <w:pStyle w:val="ListBullet"/>
      </w:pPr>
      <w:r>
        <w:t>**Tax implications**: State aid creates taxable income; recipient must evaluate whether EUR 200,000 de minimis exception applies</w:t>
      </w:r>
    </w:p>
    <w:p>
      <w:pPr>
        <w:pStyle w:val="Heading3"/>
      </w:pPr>
      <w:r>
        <w:t>6.2 UK Subsidy Control Act 2022</w:t>
      </w:r>
    </w:p>
    <w:p>
      <w:r>
        <w:t>Post-Brexit subsidy framework:</w:t>
      </w:r>
    </w:p>
    <w:p>
      <w:r>
        <w:t>**Subsidy Control Principles:**</w:t>
      </w:r>
    </w:p>
    <w:p>
      <w:pPr>
        <w:pStyle w:val="ListBullet"/>
      </w:pPr>
      <w:r>
        <w:t>Pursue specific policy objective (climate change mitigation)</w:t>
      </w:r>
    </w:p>
    <w:p>
      <w:pPr>
        <w:pStyle w:val="ListBullet"/>
      </w:pPr>
      <w:r>
        <w:t>Proportionate and necessary</w:t>
      </w:r>
    </w:p>
    <w:p>
      <w:pPr>
        <w:pStyle w:val="ListBullet"/>
      </w:pPr>
      <w:r>
        <w:t>Minimize distortion to competition/investment</w:t>
      </w:r>
    </w:p>
    <w:p>
      <w:pPr>
        <w:pStyle w:val="ListBullet"/>
      </w:pPr>
      <w:r>
        <w:t>Transparency requirements</w:t>
      </w:r>
    </w:p>
    <w:p>
      <w:r>
        <w:t>**Tax Subsidies:**</w:t>
      </w:r>
    </w:p>
    <w:p>
      <w:r>
        <w:t>Enhanced capital allowances constitute subsidies requiring assessment under:</w:t>
      </w:r>
    </w:p>
    <w:p>
      <w:pPr>
        <w:pStyle w:val="ListBullet"/>
      </w:pPr>
      <w:r>
        <w:t>**Prohibited subsidies**: Export subsidies, unlimited guarantees</w:t>
      </w:r>
    </w:p>
    <w:p>
      <w:pPr>
        <w:pStyle w:val="ListBullet"/>
      </w:pPr>
      <w:r>
        <w:t>**Streamlined route**: Below GBP 315,000 over three years</w:t>
      </w:r>
    </w:p>
    <w:p>
      <w:pPr>
        <w:pStyle w:val="ListBullet"/>
      </w:pPr>
      <w:r>
        <w:t>**Tax authority coordination**: HMRC must consult CMA for subsidies above GBP 10 million</w:t>
      </w:r>
    </w:p>
    <w:p>
      <w:pPr>
        <w:pStyle w:val="Heading2"/>
      </w:pPr>
      <w:r>
        <w:t>Worked Example 1: Section 45Q Credit Analysis and Project Economics</w:t>
      </w:r>
    </w:p>
    <w:p>
      <w:r>
        <w:t>**Scenario:**</w:t>
      </w:r>
    </w:p>
    <w:p>
      <w:r>
        <w:t>PetroCorp USA is evaluating a post-combustion CO₂ capture facility at its Louisiana refinery. The project will capture 2 million tonnes CO₂ annually for enhanced oil recovery (EOR) with geological storage verification. Key financial parameters:</w:t>
      </w:r>
    </w:p>
    <w:p>
      <w:pPr>
        <w:pStyle w:val="ListBullet"/>
      </w:pPr>
      <w:r>
        <w:t>**Capital cost**: USD 400 million (capture: USD 280 million; compression/transport: USD 120 million)</w:t>
      </w:r>
    </w:p>
    <w:p>
      <w:pPr>
        <w:pStyle w:val="ListBullet"/>
      </w:pPr>
      <w:r>
        <w:t>**Operating costs**: USD 45 million annually</w:t>
      </w:r>
    </w:p>
    <w:p>
      <w:pPr>
        <w:pStyle w:val="ListBullet"/>
      </w:pPr>
      <w:r>
        <w:t>**Project life**: 15 years (12 years Section 45Q eligibility + 3 years post-credit operation)</w:t>
      </w:r>
    </w:p>
    <w:p>
      <w:pPr>
        <w:pStyle w:val="ListBullet"/>
      </w:pPr>
      <w:r>
        <w:t>**Discount rate**: 8% (PetroCorp's WACC)</w:t>
      </w:r>
    </w:p>
    <w:p>
      <w:pPr>
        <w:pStyle w:val="ListBullet"/>
      </w:pPr>
      <w:r>
        <w:t>**Tax rate**: 21% federal (Louisiana provides 100% federal conformity, no separate state credit)</w:t>
      </w:r>
    </w:p>
    <w:p>
      <w:pPr>
        <w:pStyle w:val="ListBullet"/>
      </w:pPr>
      <w:r>
        <w:t>**45Q credit**: USD 60/tonne for EOR with storage (2025 value)</w:t>
      </w:r>
    </w:p>
    <w:p>
      <w:pPr>
        <w:pStyle w:val="ListBullet"/>
      </w:pPr>
      <w:r>
        <w:t>**Inflation**: 2.5% annually (for credit indexation starting 2027)</w:t>
      </w:r>
    </w:p>
    <w:p>
      <w:r>
        <w:t>**Required:**</w:t>
      </w:r>
    </w:p>
    <w:p>
      <w:pPr>
        <w:pStyle w:val="ListBullet"/>
      </w:pPr>
      <w:r>
        <w:t>Calculate 12-year nominal 45Q credits including inflation adjustment</w:t>
      </w:r>
    </w:p>
    <w:p>
      <w:pPr>
        <w:pStyle w:val="ListBullet"/>
      </w:pPr>
      <w:r>
        <w:t>Determine after-tax project NPV with and without 45Q credits</w:t>
      </w:r>
    </w:p>
    <w:p>
      <w:pPr>
        <w:pStyle w:val="ListBullet"/>
      </w:pPr>
      <w:r>
        <w:t>Evaluate alternative of selling credits using transferability provisions</w:t>
      </w:r>
    </w:p>
    <w:p>
      <w:pPr>
        <w:pStyle w:val="Heading3"/>
      </w:pPr>
      <w:r>
        <w:t>Solution Part 1: 45Q Credit Calculation</w:t>
      </w:r>
    </w:p>
    <w:p>
      <w:r>
        <w:t>**Annual Credit Volumes and Values:**</w:t>
      </w:r>
    </w:p>
    <w:p>
      <w:r>
        <w:t>| Year | CO₂ Captured (tonnes) | Credit Rate (USD/tonne) | Total Credit (USD million) |</w:t>
      </w:r>
    </w:p>
    <w:p>
      <w:r>
        <w:t>|------|----------------------|------------------------|---------------------------|</w:t>
      </w:r>
    </w:p>
    <w:p>
      <w:r>
        <w:t>| 1-2 (2025-2026) | 2,000,000 | 60.00 | 120.0 |</w:t>
      </w:r>
    </w:p>
    <w:p>
      <w:r>
        <w:t>| 3 (2027) | 2,000,000 | 61.50 | 123.0 |</w:t>
      </w:r>
    </w:p>
    <w:p>
      <w:r>
        <w:t>| 4 (2028) | 2,000,000 | 63.04 | 126.1 |</w:t>
      </w:r>
    </w:p>
    <w:p>
      <w:r>
        <w:t>| 5 (2029) | 2,000,000 | 64.61 | 129.2 |</w:t>
      </w:r>
    </w:p>
    <w:p>
      <w:r>
        <w:t>| 6 (2030) | 2,000,000 | 66.23 | 132.5 |</w:t>
      </w:r>
    </w:p>
    <w:p>
      <w:r>
        <w:t>| 7 (2031) | 2,000,000 | 67.88 | 135.8 |</w:t>
      </w:r>
    </w:p>
    <w:p>
      <w:r>
        <w:t>| 8 (2032) | 2,000,000 | 69.58 | 139.2 |</w:t>
      </w:r>
    </w:p>
    <w:p>
      <w:r>
        <w:t>| 9 (2033) | 2,000,000 | 71.32 | 142.6 |</w:t>
      </w:r>
    </w:p>
    <w:p>
      <w:r>
        <w:t>| 10 (2034) | 2,000,000 | 73.10 | 146.2 |</w:t>
      </w:r>
    </w:p>
    <w:p>
      <w:r>
        <w:t>| 11 (2035) | 2,000,000 | 74.93 | 149.9 |</w:t>
      </w:r>
    </w:p>
    <w:p>
      <w:r>
        <w:t>| 12 (2036) | 2,000,000 | 76.80 | 153.6 |</w:t>
      </w:r>
    </w:p>
    <w:p>
      <w:r>
        <w:t>**Total Nominal 45Q Credits (12 years)**: USD 1,597.9 million</w:t>
      </w:r>
    </w:p>
    <w:p>
      <w:r>
        <w:t>**Notes:**</w:t>
      </w:r>
    </w:p>
    <w:p>
      <w:pPr>
        <w:pStyle w:val="ListBullet"/>
      </w:pPr>
      <w:r>
        <w:t>Years 1-2: Base credit of USD 60/tonne</w:t>
      </w:r>
    </w:p>
    <w:p>
      <w:pPr>
        <w:pStyle w:val="ListBullet"/>
      </w:pPr>
      <w:r>
        <w:t>Year 3 onwards: 2.5% annual inflation adjustment applied</w:t>
      </w:r>
    </w:p>
    <w:p>
      <w:pPr>
        <w:pStyle w:val="ListBullet"/>
      </w:pPr>
      <w:r>
        <w:t>Years 13-15: No credits (post-eligibility period)</w:t>
      </w:r>
    </w:p>
    <w:p>
      <w:pPr>
        <w:pStyle w:val="Heading3"/>
      </w:pPr>
      <w:r>
        <w:t>Solution Part 2: Project NPV Analysis</w:t>
      </w:r>
    </w:p>
    <w:p>
      <w:r>
        <w:t>**After-Tax Cash Flows (USD millions):**</w:t>
      </w:r>
    </w:p>
    <w:p>
      <w:r>
        <w:t>**Scenario A: With 45Q Credits (Direct Utilization)**</w:t>
      </w:r>
    </w:p>
    <w:p>
      <w:r>
        <w:t>| Year | Revenue (45Q) | Operating Costs | EBITDA | Depreciation | Taxable Income | Tax (21%) | Tax Credits | Net Tax | After-Tax CF | PV Factor | PV |</w:t>
      </w:r>
    </w:p>
    <w:p>
      <w:r>
        <w:t>|------|--------------|----------------|---------|--------------|----------------|-----------|-------------|---------|--------------|-----------|-----|</w:t>
      </w:r>
    </w:p>
    <w:p>
      <w:r>
        <w:t>| 0 | - | (400.0) | (400.0) | - | - | - | - | - | (400.0) | 1.000 | (400.0) |</w:t>
      </w:r>
    </w:p>
    <w:p>
      <w:r>
        <w:t>| 1 | 120.0 | (45.0) | 75.0 | 80.0 | (5.0) | 1.1 | 120.0 | (118.9) | 193.9 | 0.926 | 179.5 |</w:t>
      </w:r>
    </w:p>
    <w:p>
      <w:r>
        <w:t>| 2 | 120.0 | (45.0) | 75.0 | 128.0 | (53.0) | 11.1 | 120.0 | (108.9) | 183.9 | 0.857 | 157.6 |</w:t>
      </w:r>
    </w:p>
    <w:p>
      <w:r>
        <w:t>| 3 | 123.0 | (45.0) | 78.0 | 76.8 | 1.2 | (0.3) | 123.0 | (122.8) | 200.8 | 0.794 | 159.4 |</w:t>
      </w:r>
    </w:p>
    <w:p>
      <w:r>
        <w:t>| 4 | 126.1 | (45.0) | 81.1 | 46.1 | 35.0 | (7.4) | 126.1 | (118.8) | 199.9 | 0.735 | 147.0 |</w:t>
      </w:r>
    </w:p>
    <w:p>
      <w:r>
        <w:t>| 5 | 129.2 | (45.0) | 84.2 | 46.1 | 38.1 | (8.0) | 129.2 | (121.2) | 205.4 | 0.681 | 139.9 |</w:t>
      </w:r>
    </w:p>
    <w:p>
      <w:r>
        <w:t>| 6 | 132.5 | (45.0) | 87.5 | 23.0 | 64.5 | (13.5) | 132.5 | (118.9) | 206.4 | 0.630 | 130.0 |</w:t>
      </w:r>
    </w:p>
    <w:p>
      <w:r>
        <w:t>| 7 | 135.8 | (45.0) | 90.8 | - | 90.8 | (19.1) | 135.8 | (116.7) | 207.5 | 0.583 | 121.0 |</w:t>
      </w:r>
    </w:p>
    <w:p>
      <w:r>
        <w:t>| 8 | 139.2 | (45.0) | 94.2 | - | 94.2 | (19.8) | 139.2 | (119.4) | 213.6 | 0.540 | 115.4 |</w:t>
      </w:r>
    </w:p>
    <w:p>
      <w:r>
        <w:t>| 9 | 142.6 | (45.0) | 97.6 | - | 97.6 | (20.5) | 142.6 | (122.1) | 219.7 | 0.500 | 109.9 |</w:t>
      </w:r>
    </w:p>
    <w:p>
      <w:r>
        <w:t>| 10 | 146.2 | (45.0) | 101.2 | - | 101.2 | (21.3) | 146.2 | (125.0) | 226.2 | 0.463 | 104.7 |</w:t>
      </w:r>
    </w:p>
    <w:p>
      <w:r>
        <w:t>| 11 | 149.9 | (45.0) | 104.9 | - | 104.9 | (22.0) | 149.9 | (127.9) | 232.8 | 0.429 | 99.8 |</w:t>
      </w:r>
    </w:p>
    <w:p>
      <w:r>
        <w:t>| 12 | 153.6 | (45.0) | 108.6 | - | 108.6 | (22.8) | 153.6 | (130.8) | 239.4 | 0.397 | 95.0 |</w:t>
      </w:r>
    </w:p>
    <w:p>
      <w:r>
        <w:t>| 13 | - | (45.0) | (45.0) | - | (45.0) | 9.5 | - | 9.5 | (35.5) | 0.368 | (13.1) |</w:t>
      </w:r>
    </w:p>
    <w:p>
      <w:r>
        <w:t>| 14 | - | (45.0) | (45.0) | - | (45.0) | 9.5 | - | 9.5 | (35.5) | 0.340 | (12.1) |</w:t>
      </w:r>
    </w:p>
    <w:p>
      <w:r>
        <w:t>| 15 | - | (45.0) | (45.0) | - | (45.0) | 9.5 | - | 9.5 | (35.5) | 0.315 | (11.2) |</w:t>
      </w:r>
    </w:p>
    <w:p>
      <w:r>
        <w:t>**NPV (with 45Q)**: USD 1,522.8 million</w:t>
      </w:r>
    </w:p>
    <w:p>
      <w:r>
        <w:t>**Notes:**</w:t>
      </w:r>
    </w:p>
    <w:p>
      <w:pPr>
        <w:pStyle w:val="ListBullet"/>
      </w:pPr>
      <w:r>
        <w:t>Depreciation: 5-year MACRS (20%, 32%, 19.2%, 11.52%, 11.52%, 5.76% for Years 1-6)</w:t>
      </w:r>
    </w:p>
    <w:p>
      <w:pPr>
        <w:pStyle w:val="ListBullet"/>
      </w:pPr>
      <w:r>
        <w:t>Tax calculation: Tax liability before credits minus 45Q credits utilized</w:t>
      </w:r>
    </w:p>
    <w:p>
      <w:pPr>
        <w:pStyle w:val="ListBullet"/>
      </w:pPr>
      <w:r>
        <w:t>Negative tax values represent tax benefit/refunds from excess credits</w:t>
      </w:r>
    </w:p>
    <w:p>
      <w:pPr>
        <w:pStyle w:val="ListBullet"/>
      </w:pPr>
      <w:r>
        <w:t>Years 13-15: Operating losses create tax benefits at 21%</w:t>
      </w:r>
    </w:p>
    <w:p>
      <w:r>
        <w:t>**Scenario B: Without 45Q Credits (Baseline)**</w:t>
      </w:r>
    </w:p>
    <w:p>
      <w:r>
        <w:t>| Year | Operating Costs | Taxable Income | Tax (21%) | After-Tax CF | PV Factor | PV |</w:t>
      </w:r>
    </w:p>
    <w:p>
      <w:r>
        <w:t>|------|----------------|----------------|-----------|--------------|-----------|-----|</w:t>
      </w:r>
    </w:p>
    <w:p>
      <w:r>
        <w:t>| 0 | (400.0) | - | - | (400.0) | 1.000 | (400.0) |</w:t>
      </w:r>
    </w:p>
    <w:p>
      <w:r>
        <w:t>| 1-15 | (45.0) | (45.0) | 9.5 | (35.5) | Various | (329.6) |</w:t>
      </w:r>
    </w:p>
    <w:p>
      <w:r>
        <w:t>**NPV (without 45Q)**: USD (729.6) million</w:t>
      </w:r>
    </w:p>
    <w:p>
      <w:r>
        <w:t>**Project Economics Summary:**</w:t>
      </w:r>
    </w:p>
    <w:p>
      <w:r>
        <w:t>| Metric | With 45Q | Without 45Q | Incremental Impact |</w:t>
      </w:r>
    </w:p>
    <w:p>
      <w:r>
        <w:t>|--------|----------|-------------|-------------------|</w:t>
      </w:r>
    </w:p>
    <w:p>
      <w:r>
        <w:t>| NPV @ 8% | USD 1,522.8M | USD (729.6)M | USD 2,252.4M |</w:t>
      </w:r>
    </w:p>
    <w:p>
      <w:r>
        <w:t>| IRR | 38.4% | Negative | N/A |</w:t>
      </w:r>
    </w:p>
    <w:p>
      <w:r>
        <w:t>| Payback Period | 3.2 years | Never | N/A |</w:t>
      </w:r>
    </w:p>
    <w:p>
      <w:r>
        <w:t>**Conclusion:** The 45Q credit transforms an economically unviable project (negative NPV) into a highly attractive investment (38.4% IRR). The credit's value (USD 2.25 billion NPV equivalent) exceeds the initial capital cost, demonstrating the subsidy's effectiveness.</w:t>
      </w:r>
    </w:p>
    <w:p>
      <w:pPr>
        <w:pStyle w:val="Heading3"/>
      </w:pPr>
      <w:r>
        <w:t>Solution Part 3: Credit Transfer Alternative</w:t>
      </w:r>
    </w:p>
    <w:p>
      <w:r>
        <w:t>**Transfer Pricing Analysis:**</w:t>
      </w:r>
    </w:p>
    <w:p>
      <w:r>
        <w:t>PetroCorp considers selling Year 1 credits (USD 120 million face value) to TechCo, a large technology company with substantial federal tax liability seeking to offset income.</w:t>
      </w:r>
    </w:p>
    <w:p>
      <w:r>
        <w:t>**Market for 45Q Credits (2025):**</w:t>
      </w:r>
    </w:p>
    <w:p>
      <w:pPr>
        <w:pStyle w:val="ListBullet"/>
      </w:pPr>
      <w:r>
        <w:t>**Observed transactions**: USD 0.90-0.95 per USD 1.00 face value</w:t>
      </w:r>
    </w:p>
    <w:p>
      <w:pPr>
        <w:pStyle w:val="ListBullet"/>
      </w:pPr>
      <w:r>
        <w:t>**Discount factors**: Credit timing (1-year delay for IRS processing), counterparty risk, transfer complexity</w:t>
      </w:r>
    </w:p>
    <w:p>
      <w:pPr>
        <w:pStyle w:val="ListBullet"/>
      </w:pPr>
      <w:r>
        <w:t>**Assume market price**: USD 0.92 per dollar</w:t>
      </w:r>
    </w:p>
    <w:p>
      <w:r>
        <w:t>**Transfer Analysis:**</w:t>
      </w:r>
    </w:p>
    <w:p>
      <w:r>
        <w:t>| Item | Direct Utilization | Credit Transfer |</w:t>
      </w:r>
    </w:p>
    <w:p>
      <w:r>
        <w:t>|------|-------------------|-----------------|</w:t>
      </w:r>
    </w:p>
    <w:p>
      <w:r>
        <w:t>| Face value (Year 1) | USD 120.0M | USD 120.0M |</w:t>
      </w:r>
    </w:p>
    <w:p>
      <w:r>
        <w:t>| Cash received (Year 1) | - | USD 110.4M (120.0 × 0.92) |</w:t>
      </w:r>
    </w:p>
    <w:p>
      <w:r>
        <w:t>| Tax benefit timing | Year 1 tax return | Immediate cash |</w:t>
      </w:r>
    </w:p>
    <w:p>
      <w:r>
        <w:t>| PV of Year 1 credit @ 8% | USD 111.0M | USD 110.4M |</w:t>
      </w:r>
    </w:p>
    <w:p>
      <w:r>
        <w:t>| Net advantage | USD 0.6M | - |</w:t>
      </w:r>
    </w:p>
    <w:p>
      <w:r>
        <w:t>**Analysis:**</w:t>
      </w:r>
    </w:p>
    <w:p>
      <w:pPr>
        <w:pStyle w:val="ListBullet"/>
      </w:pPr>
      <w:r>
        <w:t>**Direct utilization PV**: USD 120.0M / 1.08 = USD 111.0M (assuming credit utilized on Year 1 tax return filed in Year 2)</w:t>
      </w:r>
    </w:p>
    <w:p>
      <w:pPr>
        <w:pStyle w:val="ListBullet"/>
      </w:pPr>
      <w:r>
        <w:t>**Transfer proceeds**: USD 110.4M received immediately</w:t>
      </w:r>
    </w:p>
    <w:p>
      <w:pPr>
        <w:pStyle w:val="ListBullet"/>
      </w:pPr>
      <w:r>
        <w:t>**Marginal difference**: USD 0.6M favors direct utilization</w:t>
      </w:r>
    </w:p>
    <w:p>
      <w:r>
        <w:t>**However, transfer may be preferable if:**</w:t>
      </w:r>
    </w:p>
    <w:p>
      <w:pPr>
        <w:pStyle w:val="ListBullet"/>
      </w:pPr>
      <w:r>
        <w:t>PetroCorp faces NOL position (delaying credit utilization beyond Year 2)</w:t>
      </w:r>
    </w:p>
    <w:p>
      <w:pPr>
        <w:pStyle w:val="ListBullet"/>
      </w:pPr>
      <w:r>
        <w:t>Discount rate exceeds 8.5% (breakeven: 120.0 / 110.4 - 1)</w:t>
      </w:r>
    </w:p>
    <w:p>
      <w:pPr>
        <w:pStyle w:val="ListBullet"/>
      </w:pPr>
      <w:r>
        <w:t>Credit AMT limitations reduce direct utilization value</w:t>
      </w:r>
    </w:p>
    <w:p>
      <w:pPr>
        <w:pStyle w:val="ListBullet"/>
      </w:pPr>
      <w:r>
        <w:t>PetroCorp prioritizes balance sheet deleveraging over NPV maximization</w:t>
      </w:r>
    </w:p>
    <w:p>
      <w:r>
        <w:t>**Recommendation:** Direct utilization preferable given PetroCorp's strong tax position, but transfer provides valuable optionality for future years if tax profile changes.</w:t>
      </w:r>
    </w:p>
    <w:p>
      <w:r>
        <w:t>---</w:t>
      </w:r>
    </w:p>
    <w:p>
      <w:pPr>
        <w:pStyle w:val="Heading2"/>
      </w:pPr>
      <w:r>
        <w:t>Worked Example 2: Transfer Pricing for Shared CCUS Infrastructure</w:t>
      </w:r>
    </w:p>
    <w:p>
      <w:r>
        <w:t>**Scenario:**</w:t>
      </w:r>
    </w:p>
    <w:p>
      <w:r>
        <w:t>EuroOil NV (Netherlands) and NordicPetro ASA (Norway) plan a joint CCUS project:</w:t>
      </w:r>
    </w:p>
    <w:p>
      <w:pPr>
        <w:pStyle w:val="ListBullet"/>
      </w:pPr>
      <w:r>
        <w:t>**Capture facilities**: Both companies build separate capture units at their respective refineries</w:t>
      </w:r>
    </w:p>
    <w:p>
      <w:pPr>
        <w:pStyle w:val="ListBullet"/>
      </w:pPr>
      <w:r>
        <w:t>**Shared infrastructure**: Common 450 km offshore pipeline (NL to Norwegian North Sea) and shared geological storage facility</w:t>
      </w:r>
    </w:p>
    <w:p>
      <w:pPr>
        <w:pStyle w:val="ListBullet"/>
      </w:pPr>
      <w:r>
        <w:t>**Infrastructure ownership**: Special purpose vehicle "North Sea Carbon Storage BV" (NSCS), owned 60% EuroOil, 40% NordicPetro</w:t>
      </w:r>
    </w:p>
    <w:p>
      <w:pPr>
        <w:pStyle w:val="ListBullet"/>
      </w:pPr>
      <w:r>
        <w:t>**Infrastructure cost**: EUR 800 million (pipeline: EUR 500 million, storage: EUR 300 million)</w:t>
      </w:r>
    </w:p>
    <w:p>
      <w:pPr>
        <w:pStyle w:val="ListBullet"/>
      </w:pPr>
      <w:r>
        <w:t>**Operating period**: 20 years</w:t>
      </w:r>
    </w:p>
    <w:p>
      <w:pPr>
        <w:pStyle w:val="ListBullet"/>
      </w:pPr>
      <w:r>
        <w:t>**Projected volumes**:</w:t>
      </w:r>
    </w:p>
    <w:p>
      <w:r>
        <w:t xml:space="preserve">  - EuroOil: 3.0 million tonnes CO₂/year</w:t>
      </w:r>
    </w:p>
    <w:p>
      <w:r>
        <w:t xml:space="preserve">  - NordicPetro: 2.0 million tonnes CO₂/year</w:t>
      </w:r>
    </w:p>
    <w:p>
      <w:r>
        <w:t xml:space="preserve">  - Total: 5.0 million tonnes CO₂/year</w:t>
      </w:r>
    </w:p>
    <w:p>
      <w:r>
        <w:t>**Tax Considerations:**</w:t>
      </w:r>
    </w:p>
    <w:p>
      <w:pPr>
        <w:pStyle w:val="ListBullet"/>
      </w:pPr>
      <w:r>
        <w:t>Netherlands corporate tax rate: 25.8%</w:t>
      </w:r>
    </w:p>
    <w:p>
      <w:pPr>
        <w:pStyle w:val="ListBullet"/>
      </w:pPr>
      <w:r>
        <w:t>Norway petroleum tax rate: 78% (56% special tax + 22% ordinary)</w:t>
      </w:r>
    </w:p>
    <w:p>
      <w:pPr>
        <w:pStyle w:val="ListBullet"/>
      </w:pPr>
      <w:r>
        <w:t>Netherlands-Norway tax treaty: Permanent establishment rules apply</w:t>
      </w:r>
    </w:p>
    <w:p>
      <w:pPr>
        <w:pStyle w:val="ListBullet"/>
      </w:pPr>
      <w:r>
        <w:t>Both jurisdictions require arm's-length pricing per OECD Guidelines</w:t>
      </w:r>
    </w:p>
    <w:p>
      <w:r>
        <w:t>**Required:**</w:t>
      </w:r>
    </w:p>
    <w:p>
      <w:pPr>
        <w:pStyle w:val="ListBullet"/>
      </w:pPr>
      <w:r>
        <w:t>Evaluate alternative transfer pricing methods for infrastructure cost allocation</w:t>
      </w:r>
    </w:p>
    <w:p>
      <w:pPr>
        <w:pStyle w:val="ListBullet"/>
      </w:pPr>
      <w:r>
        <w:t>Determine arm's-length service fees for storage services</w:t>
      </w:r>
    </w:p>
    <w:p>
      <w:pPr>
        <w:pStyle w:val="ListBullet"/>
      </w:pPr>
      <w:r>
        <w:t>Analyze tax implications under alternative ownership structures</w:t>
      </w:r>
    </w:p>
    <w:p>
      <w:pPr>
        <w:pStyle w:val="ListBullet"/>
      </w:pPr>
      <w:r>
        <w:t>Calculate effective tax rates and recommend optimal structure</w:t>
      </w:r>
    </w:p>
    <w:p>
      <w:pPr>
        <w:pStyle w:val="Heading3"/>
      </w:pPr>
      <w:r>
        <w:t>Solution Part 1: Transfer Pricing Method Selection</w:t>
      </w:r>
    </w:p>
    <w:p>
      <w:r>
        <w:t>**Alternative Methods Analysis:**</w:t>
      </w:r>
    </w:p>
    <w:p>
      <w:r>
        <w:t>**Method A: Cost Contribution Arrangement (CCA)**</w:t>
      </w:r>
    </w:p>
    <w:p>
      <w:r>
        <w:t>Participants share costs based on expected benefit allocation:</w:t>
      </w:r>
    </w:p>
    <w:p>
      <w:r>
        <w:t>| Participant | CO₂ Volume (Mtpa) | Percentage | Infrastructure Share (EUR M) | Annual Share (EUR M) |</w:t>
      </w:r>
    </w:p>
    <w:p>
      <w:r>
        <w:t>|-------------|------------------|------------|----------------------------|---------------------|</w:t>
      </w:r>
    </w:p>
    <w:p>
      <w:r>
        <w:t>| EuroOil | 3.0 | 60% | 480 | 24.0 |</w:t>
      </w:r>
    </w:p>
    <w:p>
      <w:r>
        <w:t>| NordicPetro | 2.0 | 40% | 320 | 16.0 |</w:t>
      </w:r>
    </w:p>
    <w:p>
      <w:r>
        <w:t>| **Total** | **5.0** | **100%** | **800** | **40.0** |</w:t>
      </w:r>
    </w:p>
    <w:p>
      <w:r>
        <w:t>**Calculation:** EUR 800M / 20 years = EUR 40M annual amortization</w:t>
      </w:r>
    </w:p>
    <w:p>
      <w:r>
        <w:t>**CCA Characteristics:**</w:t>
      </w:r>
    </w:p>
    <w:p>
      <w:pPr>
        <w:pStyle w:val="ListBullet"/>
      </w:pPr>
      <w:r>
        <w:t>**Benefits**: Aligned with OECD TPG Chapter VIII; each party obtains proportional share of capacity rights</w:t>
      </w:r>
    </w:p>
    <w:p>
      <w:pPr>
        <w:pStyle w:val="ListBullet"/>
      </w:pPr>
      <w:r>
        <w:t>**Risks**: Requires contemporaneous documentation of participant contributions and expected benefits</w:t>
      </w:r>
    </w:p>
    <w:p>
      <w:pPr>
        <w:pStyle w:val="ListBullet"/>
      </w:pPr>
      <w:r>
        <w:t>**Balancing payments**: If actual volumes deviate from 60:40 split, true-up payments required</w:t>
      </w:r>
    </w:p>
    <w:p>
      <w:r>
        <w:t>**Method B: Tolling/Service Fee Arrangement**</w:t>
      </w:r>
    </w:p>
    <w:p>
      <w:r>
        <w:t>NSCS charges each user a fee per tonne of CO₂ stored:</w:t>
      </w:r>
    </w:p>
    <w:p>
      <w:r>
        <w:t>**Cost Buildup Analysis:**</w:t>
      </w:r>
    </w:p>
    <w:p>
      <w:r>
        <w:t>| Cost Component | Annual Cost (EUR M) | Unit Cost (EUR/tonne) |</w:t>
      </w:r>
    </w:p>
    <w:p>
      <w:r>
        <w:t>|----------------|--------------------|-----------------------|</w:t>
      </w:r>
    </w:p>
    <w:p>
      <w:r>
        <w:t>| Depreciation (EUR 800M / 20y) | 40.0 | 8.00 |</w:t>
      </w:r>
    </w:p>
    <w:p>
      <w:r>
        <w:t>| Operating costs (estimate) | 15.0 | 3.00 |</w:t>
      </w:r>
    </w:p>
    <w:p>
      <w:r>
        <w:t>| Insurance and monitoring | 5.0 | 1.00 |</w:t>
      </w:r>
    </w:p>
    <w:p>
      <w:r>
        <w:t>| **Total Cost** | **60.0** | **12.00** |</w:t>
      </w:r>
    </w:p>
    <w:p>
      <w:r>
        <w:t>| Markup (15% cost-plus) | 9.0 | 1.80 |</w:t>
      </w:r>
    </w:p>
    <w:p>
      <w:r>
        <w:t>| **Arm's-Length Fee** | **69.0** | **13.80** |</w:t>
      </w:r>
    </w:p>
    <w:p>
      <w:r>
        <w:t>**Fee charged to each user:** EUR 13.80/tonne</w:t>
      </w:r>
    </w:p>
    <w:p>
      <w:r>
        <w:t>**Benchmarking Analysis:**</w:t>
      </w:r>
    </w:p>
    <w:p>
      <w:r>
        <w:t>Limited public comparables for CCUS transport/storage, but analogous services:</w:t>
      </w:r>
    </w:p>
    <w:p>
      <w:r>
        <w:t>| Comparable | Service | Geography | Fee Range (EUR/tonne CO₂) |</w:t>
      </w:r>
    </w:p>
    <w:p>
      <w:r>
        <w:t>|------------|---------|-----------|--------------------------|</w:t>
      </w:r>
    </w:p>
    <w:p>
      <w:r>
        <w:t>| Porthos Project | Rotterdam CCUS | Netherlands | EUR 30-40 (all-in) |</w:t>
      </w:r>
    </w:p>
    <w:p>
      <w:r>
        <w:t>| Northern Lights | Norway storage | Norway | EUR 80-100 (capture + storage) |</w:t>
      </w:r>
    </w:p>
    <w:p>
      <w:r>
        <w:t>| Aramis Project | Dutch offshore | Netherlands | Not disclosed |</w:t>
      </w:r>
    </w:p>
    <w:p>
      <w:r>
        <w:t>**Analysis:** EUR 13.80/tonne for transport + storage falls within lower quartile of observed pricing, appropriate given:</w:t>
      </w:r>
    </w:p>
    <w:p>
      <w:pPr>
        <w:pStyle w:val="ListBullet"/>
      </w:pPr>
      <w:r>
        <w:t>Shared infrastructure reduces per-unit costs</w:t>
      </w:r>
    </w:p>
    <w:p>
      <w:pPr>
        <w:pStyle w:val="ListBullet"/>
      </w:pPr>
      <w:r>
        <w:t>Related-party arrangement eliminates commercial margin</w:t>
      </w:r>
    </w:p>
    <w:p>
      <w:pPr>
        <w:pStyle w:val="ListBullet"/>
      </w:pPr>
      <w:r>
        <w:t>% cost-plus markup reflects low-risk service provision (no commodity price or volume risk)</w:t>
      </w:r>
    </w:p>
    <w:p>
      <w:r>
        <w:t>**Method C: Buy-In to Existing Infrastructure**</w:t>
      </w:r>
    </w:p>
    <w:p>
      <w:r>
        <w:t>If NordicPetro joins project after EuroOil has funded development:</w:t>
      </w:r>
    </w:p>
    <w:p>
      <w:r>
        <w:t>**Buy-in payment calculation:**</w:t>
      </w:r>
    </w:p>
    <w:p>
      <w:r>
        <w:t>EuroOil incurs EUR 800M development costs during Years 1-2. NordicPetro joins in Year 3, acquiring 40% interest.</w:t>
      </w:r>
    </w:p>
    <w:p>
      <w:r>
        <w:t>| Item | Calculation | Amount (EUR M) |</w:t>
      </w:r>
    </w:p>
    <w:p>
      <w:r>
        <w:t>|------|-------------|----------------|</w:t>
      </w:r>
    </w:p>
    <w:p>
      <w:r>
        <w:t>| Historical cost | 40% × EUR 800M | 320.0 |</w:t>
      </w:r>
    </w:p>
    <w:p>
      <w:r>
        <w:t>| Return on invested capital | 40% × EUR 800M × [(1.08)^2 - 1] | 53.2 |</w:t>
      </w:r>
    </w:p>
    <w:p>
      <w:r>
        <w:t>| Development risk premium (10%) | 40% × EUR 800M × 10% | 32.0 |</w:t>
      </w:r>
    </w:p>
    <w:p>
      <w:r>
        <w:t>| **Total Buy-In Payment** | | **405.2** |</w:t>
      </w:r>
    </w:p>
    <w:p>
      <w:r>
        <w:t>**OECD TPG Guidance:** Buy-in payment compensates for time-value of money (8% discount rate) and development risk borne solely by EuroOil.</w:t>
      </w:r>
    </w:p>
    <w:p>
      <w:pPr>
        <w:pStyle w:val="Heading3"/>
      </w:pPr>
      <w:r>
        <w:t>Solution Part 2: Recommended Structure and Tax Analysis</w:t>
      </w:r>
    </w:p>
    <w:p>
      <w:r>
        <w:t>**Recommended Approach: Cost Contribution Arrangement**</w:t>
      </w:r>
    </w:p>
    <w:p>
      <w:r>
        <w:t>**Rationale:**</w:t>
      </w:r>
    </w:p>
    <w:p>
      <w:pPr>
        <w:pStyle w:val="ListBullet"/>
      </w:pPr>
      <w:r>
        <w:t>**Economic substance**: Reflects joint development and proportional benefit sharing</w:t>
      </w:r>
    </w:p>
    <w:p>
      <w:pPr>
        <w:pStyle w:val="ListBullet"/>
      </w:pPr>
      <w:r>
        <w:t>**Tax efficiency**: Avoids profit element in cross-border payments (reduces withholding tax exposure)</w:t>
      </w:r>
    </w:p>
    <w:p>
      <w:pPr>
        <w:pStyle w:val="ListBullet"/>
      </w:pPr>
      <w:r>
        <w:t>**Simplicity**: No ongoing fee negotiations or benchmark updates required</w:t>
      </w:r>
    </w:p>
    <w:p>
      <w:pPr>
        <w:pStyle w:val="ListBullet"/>
      </w:pPr>
      <w:r>
        <w:t>**Audit defensibility**: Strong OECD TPG Chapter VIII support</w:t>
      </w:r>
    </w:p>
    <w:p>
      <w:r>
        <w:t>**Tax Implications Under CCA:**</w:t>
      </w:r>
    </w:p>
    <w:p>
      <w:r>
        <w:t>**Netherlands Tax Treatment (EuroOil):**</w:t>
      </w:r>
    </w:p>
    <w:p>
      <w:r>
        <w:t>| Year | Capital Contribution | Depreciation (10% SL) | Tax Benefit @ 25.8% | Cash Flow |</w:t>
      </w:r>
    </w:p>
    <w:p>
      <w:r>
        <w:t>|------|---------------------|----------------------|---------------------|-----------|</w:t>
      </w:r>
    </w:p>
    <w:p>
      <w:r>
        <w:t>| 1-2 | (240) | - | - | (240) |</w:t>
      </w:r>
    </w:p>
    <w:p>
      <w:r>
        <w:t>| 3-22 | - | 24 | 6.2 | 6.2 |</w:t>
      </w:r>
    </w:p>
    <w:p>
      <w:r>
        <w:t>**Norway Tax Treatment (NordicPetro):**</w:t>
      </w:r>
    </w:p>
    <w:p>
      <w:r>
        <w:t>| Year | Capital Contribution | Depreciation (100% + Uplift) | Tax Benefit @ 78% | Cash Flow |</w:t>
      </w:r>
    </w:p>
    <w:p>
      <w:r>
        <w:t>|------|---------------------|----------------------------|-------------------|-----------|</w:t>
      </w:r>
    </w:p>
    <w:p>
      <w:r>
        <w:t>| 1-2 | (160) | - | - | (160) |</w:t>
      </w:r>
    </w:p>
    <w:p>
      <w:r>
        <w:t>| 3 | - | 198.4 (160 × 1.24) | 154.8 | 154.8 |</w:t>
      </w:r>
    </w:p>
    <w:p>
      <w:r>
        <w:t>| 4-22 | - | Uplift remaining | ~8.0/year | ~8.0/year |</w:t>
      </w:r>
    </w:p>
    <w:p>
      <w:r>
        <w:t>**Notes:**</w:t>
      </w:r>
    </w:p>
    <w:p>
      <w:pPr>
        <w:pStyle w:val="ListBullet"/>
      </w:pPr>
      <w:r>
        <w:t>Netherlands: 10-year straight-line depreciation typical for infrastructure</w:t>
      </w:r>
    </w:p>
    <w:p>
      <w:pPr>
        <w:pStyle w:val="ListBullet"/>
      </w:pPr>
      <w:r>
        <w:t>Norway: Immediate expensing + 24% uplift (5.2% per year for 4 years) significantly enhances economics</w:t>
      </w:r>
    </w:p>
    <w:p>
      <w:pPr>
        <w:pStyle w:val="ListBullet"/>
      </w:pPr>
      <w:r>
        <w:t>Norway effective subsidy: 78% × 24% = 18.7% of qualifying costs</w:t>
      </w:r>
    </w:p>
    <w:p>
      <w:r>
        <w:t>**Effective After-Tax Cost Comparison:**</w:t>
      </w:r>
    </w:p>
    <w:p>
      <w:r>
        <w:t>| Participant | Nominal Cost | Tax Benefit (NPV @ 8%) | After-Tax Cost | Effective Rate |</w:t>
      </w:r>
    </w:p>
    <w:p>
      <w:r>
        <w:t>|-------------|--------------|----------------------|----------------|----------------|</w:t>
      </w:r>
    </w:p>
    <w:p>
      <w:r>
        <w:t>| EuroOil (NL) | EUR 480M | EUR 94M | EUR 386M | 19.6% |</w:t>
      </w:r>
    </w:p>
    <w:p>
      <w:r>
        <w:t>| NordicPetro (NO) | EUR 320M | EUR 155M | EUR 165M | 48.4% |</w:t>
      </w:r>
    </w:p>
    <w:p>
      <w:r>
        <w:t>**Key Insight:** Norwegian tax regime's immediate expensing and uplift dramatically reduce after-tax project cost, subsidizing 48.4% of nominal investment. This asymmetry may justify NordicPetro accepting smaller ownership percentage despite equal bargaining power.</w:t>
      </w:r>
    </w:p>
    <w:p>
      <w:pPr>
        <w:pStyle w:val="Heading3"/>
      </w:pPr>
      <w:r>
        <w:t>Solution Part 3: Permanent Establishment Analysis</w:t>
      </w:r>
    </w:p>
    <w:p>
      <w:r>
        <w:t>**Storage Facility in Norwegian Waters:**</w:t>
      </w:r>
    </w:p>
    <w:p>
      <w:r>
        <w:t>**OECD Model Article 5(1) – Fixed Place of Business:**</w:t>
      </w:r>
    </w:p>
    <w:p>
      <w:pPr>
        <w:pStyle w:val="ListBullet"/>
      </w:pPr>
      <w:r>
        <w:t>**Fixed place**: Geological storage reservoir constitutes fixed place in Norwegian territory</w:t>
      </w:r>
    </w:p>
    <w:p>
      <w:pPr>
        <w:pStyle w:val="ListBullet"/>
      </w:pPr>
      <w:r>
        <w:t>**At disposal**: NSCS has legal right to use storage formation under Norwegian license</w:t>
      </w:r>
    </w:p>
    <w:p>
      <w:pPr>
        <w:pStyle w:val="ListBullet"/>
      </w:pPr>
      <w:r>
        <w:t>**Business activity**: Core activity of CO₂ storage conducted through facility</w:t>
      </w:r>
    </w:p>
    <w:p>
      <w:r>
        <w:t>**Conclusion:** Norwegian PE exists for NSCS BV</w:t>
      </w:r>
    </w:p>
    <w:p>
      <w:r>
        <w:t>**Article 5(4) Preparatory/Auxiliary Exception:**</w:t>
      </w:r>
    </w:p>
    <w:p>
      <w:r>
        <w:t>Does NOT apply because:</w:t>
      </w:r>
    </w:p>
    <w:p>
      <w:pPr>
        <w:pStyle w:val="ListBullet"/>
      </w:pPr>
      <w:r>
        <w:t>Storage is not preparatory to main business; it IS the main business</w:t>
      </w:r>
    </w:p>
    <w:p>
      <w:pPr>
        <w:pStyle w:val="ListBullet"/>
      </w:pPr>
      <w:r>
        <w:t>Exception intended for supporting activities (information gathering, purchasing), not principal revenue-generating operations</w:t>
      </w:r>
    </w:p>
    <w:p>
      <w:r>
        <w:t>**Tax Implications:**</w:t>
      </w:r>
    </w:p>
    <w:p>
      <w:r>
        <w:t>| Entity | PE Jurisdiction | Taxable Income Attribution | Tax Rate |</w:t>
      </w:r>
    </w:p>
    <w:p>
      <w:r>
        <w:t>|--------|----------------|---------------------------|----------|</w:t>
      </w:r>
    </w:p>
    <w:p>
      <w:r>
        <w:t>| NSCS BV | Norway | 100% of storage profits | 78% |</w:t>
      </w:r>
    </w:p>
    <w:p>
      <w:r>
        <w:t>| NSCS BV | Netherlands | Nil (treaty exemption) | - |</w:t>
      </w:r>
    </w:p>
    <w:p>
      <w:r>
        <w:t>**Income Attribution (AOA – Authorized OECD Approach):**</w:t>
      </w:r>
    </w:p>
    <w:p>
      <w:r>
        <w:t>Under OECD PE profit attribution rules:</w:t>
      </w:r>
    </w:p>
    <w:p>
      <w:pPr>
        <w:pStyle w:val="ListBullet"/>
      </w:pPr>
      <w:r>
        <w:t>**Functionally separate enterprise**: Treat Norwegian PE as if it were separate entity</w:t>
      </w:r>
    </w:p>
    <w:p>
      <w:pPr>
        <w:pStyle w:val="ListBullet"/>
      </w:pPr>
      <w:r>
        <w:t>**Pricing**: Charge Dutch head office arm's-length fee for CO₂ delivered to storage site</w:t>
      </w:r>
    </w:p>
    <w:p>
      <w:pPr>
        <w:pStyle w:val="ListBullet"/>
      </w:pPr>
      <w:r>
        <w:t>**Capital allocation**: Attribute EUR 300M storage costs to PE (vs. EUR 500M pipeline costs to Dutch head office)</w:t>
      </w:r>
    </w:p>
    <w:p>
      <w:r>
        <w:t>**Simplified Illustration (Year 10 operations):**</w:t>
      </w:r>
    </w:p>
    <w:p>
      <w:r>
        <w:t>| Item | Norwegian PE | Dutch Head Office |</w:t>
      </w:r>
    </w:p>
    <w:p>
      <w:r>
        <w:t>|------|--------------|-------------------|</w:t>
      </w:r>
    </w:p>
    <w:p>
      <w:r>
        <w:t>| Revenue (storage fees) | EUR 30M (5Mt × EUR 6/t) | EUR 39M (5Mt × EUR 7.80/t transport) |</w:t>
      </w:r>
    </w:p>
    <w:p>
      <w:r>
        <w:t>| Operating costs | (5M) | (10M) |</w:t>
      </w:r>
    </w:p>
    <w:p>
      <w:r>
        <w:t>| Depreciation | (15M) | (25M) |</w:t>
      </w:r>
    </w:p>
    <w:p>
      <w:r>
        <w:t>| **Taxable Income** | **EUR 10M** | **EUR 4M** |</w:t>
      </w:r>
    </w:p>
    <w:p>
      <w:r>
        <w:t>| Tax rate | 78% | 25.8% |</w:t>
      </w:r>
    </w:p>
    <w:p>
      <w:r>
        <w:t>| **Tax liability** | **EUR 7.8M** | **EUR 1.0M** |</w:t>
      </w:r>
    </w:p>
    <w:p>
      <w:r>
        <w:t>**Total Tax:** EUR 8.8M on EUR 14M global income = 62.9% effective rate</w:t>
      </w:r>
    </w:p>
    <w:p>
      <w:r>
        <w:t>**Foreign Tax Credit (Netherlands):**</w:t>
      </w:r>
    </w:p>
    <w:p>
      <w:pPr>
        <w:pStyle w:val="ListBullet"/>
      </w:pPr>
      <w:r>
        <w:t>**Creditable tax**: EUR 7.8M Norwegian tax on PE income</w:t>
      </w:r>
    </w:p>
    <w:p>
      <w:pPr>
        <w:pStyle w:val="ListBullet"/>
      </w:pPr>
      <w:r>
        <w:t>**FTC limitation**: Lesser of (a) foreign tax paid or (b) NL tax on foreign income</w:t>
      </w:r>
    </w:p>
    <w:p>
      <w:pPr>
        <w:pStyle w:val="ListBullet"/>
      </w:pPr>
      <w:r>
        <w:t>**Calculation**: EUR 10M × 25.8% = EUR 2.58M limitation</w:t>
      </w:r>
    </w:p>
    <w:p>
      <w:pPr>
        <w:pStyle w:val="ListBullet"/>
      </w:pPr>
      <w:r>
        <w:t>**Excess foreign tax**: EUR 5.22M (not creditable)</w:t>
      </w:r>
    </w:p>
    <w:p>
      <w:r>
        <w:t>**Key Challenge:** Norwegian 78% rate vastly exceeds Dutch 25.8% rate, creating excess FTC that provides no benefit. This favors operating storage via Norwegian subsidiary (vs. PE) to obtain participation exemption treatment.</w:t>
      </w:r>
    </w:p>
    <w:p>
      <w:pPr>
        <w:pStyle w:val="Heading3"/>
      </w:pPr>
      <w:r>
        <w:t>Solution Part 4: Alternative Structure Recommendation</w:t>
      </w:r>
    </w:p>
    <w:p>
      <w:r>
        <w:t>**Optimized Structure: Norwegian Storage Subsidiary**</w:t>
      </w:r>
    </w:p>
    <w:p>
      <w:r>
        <w:t>Replace NSCS BV with:</w:t>
      </w:r>
    </w:p>
    <w:p>
      <w:pPr>
        <w:pStyle w:val="ListBullet"/>
      </w:pPr>
      <w:r>
        <w:t>**NSCS Transport BV** (Netherlands): Owns pipeline, charges EUR 7.80/tonne transport fee</w:t>
      </w:r>
    </w:p>
    <w:p>
      <w:pPr>
        <w:pStyle w:val="ListBullet"/>
      </w:pPr>
      <w:r>
        <w:t>**NSCS Storage AS** (Norway): Owns geological storage, charges EUR 6.00/tonne storage fee</w:t>
      </w:r>
    </w:p>
    <w:p>
      <w:r>
        <w:t>**Tax Treatment:**</w:t>
      </w:r>
    </w:p>
    <w:p>
      <w:r>
        <w:t>**Dutch Parent (EuroOil perspective):**</w:t>
      </w:r>
    </w:p>
    <w:p>
      <w:pPr>
        <w:pStyle w:val="ListBullet"/>
      </w:pPr>
      <w:r>
        <w:t>**Dividend from NSCS Storage AS**: Exempt under NL participation exemption (&gt;5% shareholding in active subsidiary)</w:t>
      </w:r>
    </w:p>
    <w:p>
      <w:pPr>
        <w:pStyle w:val="ListBullet"/>
      </w:pPr>
      <w:r>
        <w:t>**Effective rate**: Only 25.8% on Dutch-source transport income</w:t>
      </w:r>
    </w:p>
    <w:p>
      <w:pPr>
        <w:pStyle w:val="ListBullet"/>
      </w:pPr>
      <w:r>
        <w:t>**No excess FTC**: Norwegian income not included in Dutch tax base</w:t>
      </w:r>
    </w:p>
    <w:p>
      <w:r>
        <w:t>**Consolidated Effective Rate (EuroOil Group):**</w:t>
      </w:r>
    </w:p>
    <w:p>
      <w:r>
        <w:t>| Income Source | Taxable Income | Tax Rate | Tax Liability |</w:t>
      </w:r>
    </w:p>
    <w:p>
      <w:r>
        <w:t>|---------------|----------------|----------|---------------|</w:t>
      </w:r>
    </w:p>
    <w:p>
      <w:r>
        <w:t>| Dutch transport | EUR 4M | 25.8% | EUR 1.0M |</w:t>
      </w:r>
    </w:p>
    <w:p>
      <w:r>
        <w:t>| Norwegian storage | EUR 10M | 78% | EUR 7.8M |</w:t>
      </w:r>
    </w:p>
    <w:p>
      <w:r>
        <w:t>| **Total** | **EUR 14M** | **62.9%** | **EUR 8.8M** |</w:t>
      </w:r>
    </w:p>
    <w:p>
      <w:r>
        <w:t>**Result:** Same total tax, but participation exemption avoids excess FTC issue, preserving value of future Dutch losses or credits.</w:t>
      </w:r>
    </w:p>
    <w:p>
      <w:r>
        <w:t>═══════════════════════════════════════════════════════════════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