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IP in natural energy resources</w:t>
      </w:r>
    </w:p>
    <w:p>
      <w:pPr>
        <w:pStyle w:val="Heading1"/>
      </w:pPr>
      <w:r>
        <w:t>35. IP in Natural Energy Resources</w:t>
      </w:r>
    </w:p>
    <w:p>
      <w:pPr>
        <w:pStyle w:val="Heading2"/>
      </w:pPr>
      <w:r>
        <w:t>Introduction</w:t>
      </w:r>
    </w:p>
    <w:p>
      <w:r>
        <w:t>Intellectual property (IP) has become increasingly critical in the oil and gas sector as companies invest heavily in technology to improve extraction efficiency, reduce environmental impact, and compete in a transitioning energy landscape. This chapter examines the tax treatment of IP in natural energy resources, including patents, trade secrets, proprietary data, and specialized know-how used in exploration and production activities.</w:t>
      </w:r>
    </w:p>
    <w:p>
      <w:r>
        <w:t>The tax implications of IP in the energy sector are complex due to the need to allocate value between routine operational activities and IP-driven innovations, particularly when IP is shared across international joint ventures and production sharing contracts. For ADIT examination purposes, understanding how to identify IP assets, determine their tax treatment, and apply transfer pricing principles is essential.</w:t>
      </w:r>
    </w:p>
    <w:p>
      <w:pPr>
        <w:spacing w:before="120" w:after="120"/>
        <w:pBdr>
          <w:bottom w:val="single" w:sz="6" w:space="1" w:color="auto"/>
        </w:pBdr>
      </w:pPr>
    </w:p>
    <w:p>
      <w:pPr>
        <w:pStyle w:val="Heading2"/>
      </w:pPr>
      <w:r>
        <w:t>1. Types of IP in Natural Energy Resources</w:t>
      </w:r>
    </w:p>
    <w:p>
      <w:pPr>
        <w:pStyle w:val="Heading3"/>
      </w:pPr>
      <w:r>
        <w:t>1.1 Patented Technologies</w:t>
      </w:r>
    </w:p>
    <w:p>
      <w:r>
        <w:rPr>
          <w:b/>
        </w:rPr>
        <w:t>Patents</w:t>
      </w:r>
      <w:r>
        <w:t xml:space="preserve"> protect novel and non-obvious technical inventions for a limited period (typically 20 years from filing date). In the oil and gas sector, patents commonly cover:</w:t>
      </w:r>
    </w:p>
    <w:p>
      <w:pPr>
        <w:pStyle w:val="ListBullet"/>
      </w:pPr>
      <w:r>
        <w:rPr>
          <w:b/>
        </w:rPr>
        <w:t>Drilling technologies</w:t>
      </w:r>
      <w:r>
        <w:t>: Horizontal drilling techniques, rotary steerable systems, drill bit designs</w:t>
      </w:r>
    </w:p>
    <w:p>
      <w:pPr>
        <w:pStyle w:val="ListBullet"/>
      </w:pPr>
      <w:r>
        <w:rPr>
          <w:b/>
        </w:rPr>
        <w:t>Enhanced oil recovery (EOR) methods</w:t>
      </w:r>
      <w:r>
        <w:t>: Chemical flooding, CO2 injection, thermal recovery processes</w:t>
      </w:r>
    </w:p>
    <w:p>
      <w:pPr>
        <w:pStyle w:val="ListBullet"/>
      </w:pPr>
      <w:r>
        <w:rPr>
          <w:b/>
        </w:rPr>
        <w:t>Seismic processing algorithms</w:t>
      </w:r>
      <w:r>
        <w:t>: 3D and 4D seismic interpretation software, reservoir modeling tools</w:t>
      </w:r>
    </w:p>
    <w:p>
      <w:pPr>
        <w:pStyle w:val="ListBullet"/>
      </w:pPr>
      <w:r>
        <w:rPr>
          <w:b/>
        </w:rPr>
        <w:t>Production optimization</w:t>
      </w:r>
      <w:r>
        <w:t>: Smart well completion systems, artificial lift technologies</w:t>
      </w:r>
    </w:p>
    <w:p>
      <w:pPr>
        <w:pStyle w:val="ListBullet"/>
      </w:pPr>
      <w:r>
        <w:rPr>
          <w:b/>
        </w:rPr>
        <w:t>Environmental technologies</w:t>
      </w:r>
      <w:r>
        <w:t>: Emissions reduction systems, water treatment processes, carbon capture equipment</w:t>
      </w:r>
    </w:p>
    <w:p>
      <w:r>
        <w:t xml:space="preserve">Major oilfield services companies (Schlumberger, Halliburton, Baker Hughes) maintain extensive patent portfolios, with Halliburton alone investing over </w:t>
      </w:r>
      <w:r>
        <w:rPr>
          <w:b/>
        </w:rPr>
        <w:t>$588 million</w:t>
      </w:r>
      <w:r>
        <w:t xml:space="preserve"> in R&amp;D annually.</w:t>
      </w:r>
    </w:p>
    <w:p>
      <w:pPr>
        <w:pStyle w:val="Heading3"/>
      </w:pPr>
      <w:r>
        <w:t>1.2 Trade Secrets and Know-How</w:t>
      </w:r>
    </w:p>
    <w:p>
      <w:r>
        <w:rPr>
          <w:b/>
        </w:rPr>
        <w:t>Trade secrets</w:t>
      </w:r>
      <w:r>
        <w:t xml:space="preserve"> are confidential information that provides competitive advantage. Unlike patents, trade secrets have </w:t>
      </w:r>
      <w:r>
        <w:rPr>
          <w:b/>
        </w:rPr>
        <w:t>unlimited duration</w:t>
      </w:r>
      <w:r>
        <w:t xml:space="preserve"> but require active protection against disclosure. Common examples include:</w:t>
      </w:r>
    </w:p>
    <w:p>
      <w:pPr>
        <w:pStyle w:val="ListBullet"/>
      </w:pPr>
      <w:r>
        <w:t>Proprietary seismic interpretation methodologies</w:t>
      </w:r>
    </w:p>
    <w:p>
      <w:pPr>
        <w:pStyle w:val="ListBullet"/>
      </w:pPr>
      <w:r>
        <w:t>Reservoir simulation techniques</w:t>
      </w:r>
    </w:p>
    <w:p>
      <w:pPr>
        <w:pStyle w:val="ListBullet"/>
      </w:pPr>
      <w:r>
        <w:t>Drilling fluid formulations</w:t>
      </w:r>
    </w:p>
    <w:p>
      <w:pPr>
        <w:pStyle w:val="ListBullet"/>
      </w:pPr>
      <w:r>
        <w:t>Completion design procedures</w:t>
      </w:r>
    </w:p>
    <w:p>
      <w:pPr>
        <w:pStyle w:val="ListBullet"/>
      </w:pPr>
      <w:r>
        <w:t>Well stimulation recipes (fracturing fluid compositions)</w:t>
      </w:r>
    </w:p>
    <w:p>
      <w:r>
        <w:rPr>
          <w:b/>
        </w:rPr>
        <w:t>Know-how</w:t>
      </w:r>
      <w:r>
        <w:t xml:space="preserve"> encompasses technical expertise, operational procedures, and best practices developed through experience. It often includes:</w:t>
      </w:r>
    </w:p>
    <w:p>
      <w:pPr>
        <w:pStyle w:val="ListBullet"/>
      </w:pPr>
      <w:r>
        <w:t>Geological and geophysical data interpretation skills</w:t>
      </w:r>
    </w:p>
    <w:p>
      <w:pPr>
        <w:pStyle w:val="ListBullet"/>
      </w:pPr>
      <w:r>
        <w:t>Project management frameworks for complex offshore developments</w:t>
      </w:r>
    </w:p>
    <w:p>
      <w:pPr>
        <w:pStyle w:val="ListBullet"/>
      </w:pPr>
      <w:r>
        <w:t>HSE (Health, Safety, Environmental) protocols</w:t>
      </w:r>
    </w:p>
    <w:p>
      <w:pPr>
        <w:pStyle w:val="ListBullet"/>
      </w:pPr>
      <w:r>
        <w:t>Cost estimation methodologies</w:t>
      </w:r>
    </w:p>
    <w:p>
      <w:pPr>
        <w:pStyle w:val="Heading3"/>
      </w:pPr>
      <w:r>
        <w:t>1.3 Proprietary Data</w:t>
      </w:r>
    </w:p>
    <w:p>
      <w:r>
        <w:rPr>
          <w:b/>
        </w:rPr>
        <w:t>Geological and geophysical (G&amp;G) data</w:t>
      </w:r>
      <w:r>
        <w:t xml:space="preserve"> acquired through exploration activities represents valuable IP:</w:t>
      </w:r>
    </w:p>
    <w:p>
      <w:pPr>
        <w:pStyle w:val="ListBullet"/>
      </w:pPr>
      <w:r>
        <w:rPr>
          <w:b/>
        </w:rPr>
        <w:t>Seismic survey data</w:t>
      </w:r>
      <w:r>
        <w:t>: 2D, 3D, and 4D seismic datasets</w:t>
      </w:r>
    </w:p>
    <w:p>
      <w:pPr>
        <w:pStyle w:val="ListBullet"/>
      </w:pPr>
      <w:r>
        <w:rPr>
          <w:b/>
        </w:rPr>
        <w:t>Well log data</w:t>
      </w:r>
      <w:r>
        <w:t>: Formation evaluation measurements, pressure tests</w:t>
      </w:r>
    </w:p>
    <w:p>
      <w:pPr>
        <w:pStyle w:val="ListBullet"/>
      </w:pPr>
      <w:r>
        <w:rPr>
          <w:b/>
        </w:rPr>
        <w:t>Core sample analysis</w:t>
      </w:r>
      <w:r>
        <w:t>: Laboratory results from rock and fluid samples</w:t>
      </w:r>
    </w:p>
    <w:p>
      <w:pPr>
        <w:pStyle w:val="ListBullet"/>
      </w:pPr>
      <w:r>
        <w:rPr>
          <w:b/>
        </w:rPr>
        <w:t>Production data</w:t>
      </w:r>
      <w:r>
        <w:t>: Historical production profiles, reservoir performance</w:t>
      </w:r>
    </w:p>
    <w:p>
      <w:r>
        <w:t>The tax treatment of G&amp;G data varies significantly by jurisdiction. Some countries treat data acquisition costs as immediately deductible exploration expenses, while others require capitalization.</w:t>
      </w:r>
    </w:p>
    <w:p>
      <w:pPr>
        <w:pStyle w:val="Heading3"/>
      </w:pPr>
      <w:r>
        <w:t>1.4 Software and Digital Technologies</w:t>
      </w:r>
    </w:p>
    <w:p>
      <w:r>
        <w:t>Modern oil and gas operations depend heavily on proprietary software:</w:t>
      </w:r>
    </w:p>
    <w:p>
      <w:pPr>
        <w:pStyle w:val="ListBullet"/>
      </w:pPr>
      <w:r>
        <w:t>Reservoir modeling and simulation platforms</w:t>
      </w:r>
    </w:p>
    <w:p>
      <w:pPr>
        <w:pStyle w:val="ListBullet"/>
      </w:pPr>
      <w:r>
        <w:t>Production optimization algorithms</w:t>
      </w:r>
    </w:p>
    <w:p>
      <w:pPr>
        <w:pStyle w:val="ListBullet"/>
      </w:pPr>
      <w:r>
        <w:t>Predictive maintenance systems using machine learning</w:t>
      </w:r>
    </w:p>
    <w:p>
      <w:pPr>
        <w:pStyle w:val="ListBullet"/>
      </w:pPr>
      <w:r>
        <w:t>Digital twin technologies for field management</w:t>
      </w:r>
    </w:p>
    <w:p>
      <w:pPr>
        <w:pStyle w:val="ListBullet"/>
      </w:pPr>
      <w:r>
        <w:t>Blockchain applications for commodity trading</w:t>
      </w:r>
    </w:p>
    <w:p>
      <w:pPr>
        <w:spacing w:before="120" w:after="120"/>
        <w:pBdr>
          <w:bottom w:val="single" w:sz="6" w:space="1" w:color="auto"/>
        </w:pBdr>
      </w:pPr>
    </w:p>
    <w:p>
      <w:pPr>
        <w:pStyle w:val="Heading2"/>
      </w:pPr>
      <w:r>
        <w:t>2. Tax Treatment of IP Development Costs</w:t>
      </w:r>
    </w:p>
    <w:p>
      <w:pPr>
        <w:pStyle w:val="Heading3"/>
      </w:pPr>
      <w:r>
        <w:t>2.1 Capitalization vs. Immediate Deduction</w:t>
      </w:r>
    </w:p>
    <w:p>
      <w:r>
        <w:t>The tax treatment of IP development costs depends on:</w:t>
      </w:r>
    </w:p>
    <w:p>
      <w:pPr>
        <w:pStyle w:val="ListNumber"/>
      </w:pPr>
      <w:r>
        <w:rPr>
          <w:b/>
        </w:rPr>
        <w:t>Nature of the expenditure</w:t>
      </w:r>
      <w:r>
        <w:t>: Research vs. development</w:t>
      </w:r>
    </w:p>
    <w:p>
      <w:pPr>
        <w:pStyle w:val="ListNumber"/>
      </w:pPr>
      <w:r>
        <w:rPr>
          <w:b/>
        </w:rPr>
        <w:t>Type of IP created</w:t>
      </w:r>
      <w:r>
        <w:t>: Patents vs. trade secrets</w:t>
      </w:r>
    </w:p>
    <w:p>
      <w:pPr>
        <w:pStyle w:val="ListNumber"/>
      </w:pPr>
      <w:r>
        <w:rPr>
          <w:b/>
        </w:rPr>
        <w:t>Jurisdiction</w:t>
      </w:r>
      <w:r>
        <w:t>: Different countries have varying rules</w:t>
      </w:r>
    </w:p>
    <w:p>
      <w:pPr>
        <w:pStyle w:val="ListNumber"/>
      </w:pPr>
      <w:r>
        <w:rPr>
          <w:b/>
        </w:rPr>
        <w:t>Accounting elections</w:t>
      </w:r>
      <w:r>
        <w:t>: Some regimes allow taxpayers to elect treatment</w:t>
      </w:r>
    </w:p>
    <w:p>
      <w:pPr>
        <w:pStyle w:val="Heading4"/>
      </w:pPr>
      <w:r>
        <w:t>United States: US Internal Revenue Code Section 174 (Post-2021 Changes)</w:t>
      </w:r>
    </w:p>
    <w:p>
      <w:r>
        <w:t xml:space="preserve">Prior to 2022, U.S. taxpayers could </w:t>
      </w:r>
      <w:r>
        <w:rPr>
          <w:b/>
        </w:rPr>
        <w:t>immediately deduct</w:t>
      </w:r>
      <w:r>
        <w:t xml:space="preserve"> research and experimental (R&amp;E) expenditures under </w:t>
      </w:r>
      <w:r>
        <w:rPr>
          <w:b/>
        </w:rPr>
        <w:t>US Internal Revenue Code Section 174</w:t>
      </w:r>
      <w:r>
        <w:t xml:space="preserve">. However, the </w:t>
      </w:r>
      <w:r>
        <w:rPr>
          <w:b/>
        </w:rPr>
        <w:t>Tax Cuts and Jobs Act (TCJA)</w:t>
      </w:r>
      <w:r>
        <w:t xml:space="preserve"> mandated capitalization starting in </w:t>
      </w:r>
      <w:r>
        <w:rPr>
          <w:b/>
        </w:rPr>
        <w:t>2022</w:t>
      </w:r>
      <w:r>
        <w:t>:</w:t>
      </w:r>
    </w:p>
    <w:p>
      <w:pPr>
        <w:pStyle w:val="ListBullet"/>
      </w:pPr>
      <w:r>
        <w:rPr>
          <w:b/>
        </w:rPr>
        <w:t>Domestic R&amp;E costs</w:t>
      </w:r>
      <w:r>
        <w:t xml:space="preserve">: Amortized over </w:t>
      </w:r>
      <w:r>
        <w:rPr>
          <w:b/>
        </w:rPr>
        <w:t>5 years</w:t>
      </w:r>
    </w:p>
    <w:p>
      <w:pPr>
        <w:pStyle w:val="ListBullet"/>
      </w:pPr>
      <w:r>
        <w:rPr>
          <w:b/>
        </w:rPr>
        <w:t>Foreign R&amp;E costs</w:t>
      </w:r>
      <w:r>
        <w:t xml:space="preserve">: Amortized over </w:t>
      </w:r>
      <w:r>
        <w:rPr>
          <w:b/>
        </w:rPr>
        <w:t>15 years</w:t>
      </w:r>
    </w:p>
    <w:p>
      <w:pPr>
        <w:pStyle w:val="ListBullet"/>
      </w:pPr>
      <w:r>
        <w:rPr>
          <w:b/>
        </w:rPr>
        <w:t>Software development costs</w:t>
      </w:r>
      <w:r>
        <w:t>: Subject to US Internal Revenue Code Section 174 (previously excluded)</w:t>
      </w:r>
    </w:p>
    <w:p>
      <w:r>
        <w:t>This change significantly impacts cash flow for technology-intensive oil and gas companies.</w:t>
      </w:r>
    </w:p>
    <w:p>
      <w:pPr>
        <w:pStyle w:val="Heading4"/>
      </w:pPr>
      <w:r>
        <w:t>United Kingdom: R&amp;D Tax Credits</w:t>
      </w:r>
    </w:p>
    <w:p>
      <w:r>
        <w:t xml:space="preserve">The UK provides </w:t>
      </w:r>
      <w:r>
        <w:rPr>
          <w:b/>
        </w:rPr>
        <w:t>enhanced deductions</w:t>
      </w:r>
      <w:r>
        <w:t xml:space="preserve"> for qualifying R&amp;D expenditure. From April 2024, a merged R&amp;D scheme applies:</w:t>
      </w:r>
    </w:p>
    <w:p>
      <w:pPr>
        <w:pStyle w:val="ListBullet"/>
      </w:pPr>
      <w:r>
        <w:rPr>
          <w:b/>
        </w:rPr>
        <w:t>Merged R&amp;D scheme</w:t>
      </w:r>
      <w:r>
        <w:t xml:space="preserve"> (from April 2024): </w:t>
      </w:r>
      <w:r>
        <w:rPr>
          <w:b/>
        </w:rPr>
        <w:t>20% tax credit</w:t>
      </w:r>
      <w:r>
        <w:t xml:space="preserve"> on qualifying R&amp;D costs for all companies</w:t>
      </w:r>
    </w:p>
    <w:p>
      <w:pPr>
        <w:pStyle w:val="ListBullet"/>
      </w:pPr>
      <w:r>
        <w:rPr>
          <w:b/>
        </w:rPr>
        <w:t>R&amp;D intensive SMEs</w:t>
      </w:r>
      <w:r>
        <w:t xml:space="preserve"> (loss-making, &gt;30% R&amp;D expenditure): Enhanced </w:t>
      </w:r>
      <w:r>
        <w:rPr>
          <w:b/>
        </w:rPr>
        <w:t>186% deduction</w:t>
      </w:r>
      <w:r>
        <w:t xml:space="preserve"> (86% enhancement on qualifying costs)</w:t>
      </w:r>
    </w:p>
    <w:p>
      <w:pPr>
        <w:pStyle w:val="ListBullet"/>
      </w:pPr>
      <w:r>
        <w:rPr>
          <w:b/>
        </w:rPr>
        <w:t>Restrictions</w:t>
      </w:r>
      <w:r>
        <w:t>: Expenditure must be attributable to projects seeking advances in science or technology</w:t>
      </w:r>
    </w:p>
    <w:p>
      <w:r>
        <w:t>Note: The previous SME scheme with 230% deduction ended in April 2023 and was reduced to 186% before the April 2024 merger.</w:t>
      </w:r>
    </w:p>
    <w:p>
      <w:pPr>
        <w:pStyle w:val="Heading3"/>
      </w:pPr>
      <w:r>
        <w:t>2.2 Patent Box Regimes</w:t>
      </w:r>
    </w:p>
    <w:p>
      <w:r>
        <w:t xml:space="preserve">Several jurisdictions offer </w:t>
      </w:r>
      <w:r>
        <w:rPr>
          <w:b/>
        </w:rPr>
        <w:t>preferential tax rates</w:t>
      </w:r>
      <w:r>
        <w:t xml:space="preserve"> on income derived from patented innovations: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Jurisdiction</w:t>
            </w:r>
          </w:p>
        </w:tc>
        <w:tc>
          <w:tcPr>
            <w:tcW w:type="dxa" w:w="2880"/>
          </w:tcPr>
          <w:p>
            <w:r>
              <w:rPr>
                <w:b/>
              </w:rPr>
            </w:r>
            <w:r>
              <w:rPr>
                <w:b/>
              </w:rPr>
              <w:t>Effective Rate</w:t>
            </w:r>
          </w:p>
        </w:tc>
        <w:tc>
          <w:tcPr>
            <w:tcW w:type="dxa" w:w="2880"/>
          </w:tcPr>
          <w:p>
            <w:r>
              <w:rPr>
                <w:b/>
              </w:rPr>
            </w:r>
            <w:r>
              <w:rPr>
                <w:b/>
              </w:rPr>
              <w:t>Key Requirements</w:t>
            </w:r>
          </w:p>
        </w:tc>
      </w:tr>
      <w:tr>
        <w:tc>
          <w:tcPr>
            <w:tcW w:type="dxa" w:w="2880"/>
          </w:tcPr>
          <w:p>
            <w:r/>
            <w:r>
              <w:rPr>
                <w:b/>
              </w:rPr>
              <w:t>United Kingdom</w:t>
            </w:r>
          </w:p>
        </w:tc>
        <w:tc>
          <w:tcPr>
            <w:tcW w:type="dxa" w:w="2880"/>
          </w:tcPr>
          <w:p>
            <w:r/>
            <w:r>
              <w:t>10%</w:t>
            </w:r>
          </w:p>
        </w:tc>
        <w:tc>
          <w:tcPr>
            <w:tcW w:type="dxa" w:w="2880"/>
          </w:tcPr>
          <w:p>
            <w:r/>
            <w:r>
              <w:t>Patents granted by UK IPO, EPO, or EEA member</w:t>
            </w:r>
          </w:p>
        </w:tc>
      </w:tr>
      <w:tr>
        <w:tc>
          <w:tcPr>
            <w:tcW w:type="dxa" w:w="2880"/>
          </w:tcPr>
          <w:p>
            <w:r/>
            <w:r>
              <w:rPr>
                <w:b/>
              </w:rPr>
              <w:t>Netherlands</w:t>
            </w:r>
          </w:p>
        </w:tc>
        <w:tc>
          <w:tcPr>
            <w:tcW w:type="dxa" w:w="2880"/>
          </w:tcPr>
          <w:p>
            <w:r/>
            <w:r>
              <w:t>9%</w:t>
            </w:r>
          </w:p>
        </w:tc>
        <w:tc>
          <w:tcPr>
            <w:tcW w:type="dxa" w:w="2880"/>
          </w:tcPr>
          <w:p>
            <w:r/>
            <w:r>
              <w:t>Self-developed or acquired IP with substantial improvement</w:t>
            </w:r>
          </w:p>
        </w:tc>
      </w:tr>
      <w:tr>
        <w:tc>
          <w:tcPr>
            <w:tcW w:type="dxa" w:w="2880"/>
          </w:tcPr>
          <w:p>
            <w:r/>
            <w:r>
              <w:rPr>
                <w:b/>
              </w:rPr>
              <w:t>Belgium</w:t>
            </w:r>
          </w:p>
        </w:tc>
        <w:tc>
          <w:tcPr>
            <w:tcW w:type="dxa" w:w="2880"/>
          </w:tcPr>
          <w:p>
            <w:r/>
            <w:r>
              <w:t>3.75%</w:t>
            </w:r>
          </w:p>
        </w:tc>
        <w:tc>
          <w:tcPr>
            <w:tcW w:type="dxa" w:w="2880"/>
          </w:tcPr>
          <w:p>
            <w:r/>
            <w:r>
              <w:t>85% exemption on qualifying IP income</w:t>
            </w:r>
          </w:p>
        </w:tc>
      </w:tr>
      <w:tr>
        <w:tc>
          <w:tcPr>
            <w:tcW w:type="dxa" w:w="2880"/>
          </w:tcPr>
          <w:p>
            <w:r/>
            <w:r>
              <w:rPr>
                <w:b/>
              </w:rPr>
              <w:t>Switzerland</w:t>
            </w:r>
          </w:p>
        </w:tc>
        <w:tc>
          <w:tcPr>
            <w:tcW w:type="dxa" w:w="2880"/>
          </w:tcPr>
          <w:p>
            <w:r/>
            <w:r>
              <w:t>Varies (cantonal)</w:t>
            </w:r>
          </w:p>
        </w:tc>
        <w:tc>
          <w:tcPr>
            <w:tcW w:type="dxa" w:w="2880"/>
          </w:tcPr>
          <w:p>
            <w:r/>
            <w:r>
              <w:t>Nexus approach: income proportional to qualifying R&amp;D</w:t>
            </w:r>
          </w:p>
        </w:tc>
      </w:tr>
    </w:tbl>
    <w:p/>
    <w:p>
      <w:r>
        <w:rPr>
          <w:b/>
        </w:rPr>
        <w:t>Nexus Approach (OECD BEPS Action 5)</w:t>
      </w:r>
      <w:r>
        <w:t>: Only income attributable to the taxpayer's own R&amp;D activities qualifies for preferential rates:</w:t>
      </w:r>
    </w:p>
    <w:p>
      <w:pPr>
        <w:shd w:fill="F0F0F0"/>
        <w:spacing w:after="0" w:line="240" w:lineRule="auto"/>
      </w:pPr>
      <w:r>
        <w:rPr>
          <w:rFonts w:ascii="Courier New" w:hAnsi="Courier New"/>
          <w:sz w:val="20"/>
        </w:rPr>
        <w:t>Qualifying IP Income = Overall IP Income × (Qualifying Expenditure / Overall Expenditure)</w:t>
      </w:r>
    </w:p>
    <w:p/>
    <w:p>
      <w:pPr>
        <w:pStyle w:val="Heading3"/>
      </w:pPr>
      <w:r>
        <w:t>2.3 Amortization of Acquired IP</w:t>
      </w:r>
    </w:p>
    <w:p>
      <w:r>
        <w:t xml:space="preserve">When IP is </w:t>
      </w:r>
      <w:r>
        <w:rPr>
          <w:b/>
        </w:rPr>
        <w:t>acquired</w:t>
      </w:r>
      <w:r>
        <w:t xml:space="preserve"> (rather than self-developed), tax treatment typically requires:</w:t>
      </w:r>
    </w:p>
    <w:p>
      <w:pPr>
        <w:pStyle w:val="ListBullet"/>
      </w:pPr>
      <w:r>
        <w:rPr>
          <w:b/>
        </w:rPr>
        <w:t>Capitalization</w:t>
      </w:r>
      <w:r>
        <w:t xml:space="preserve"> of acquisition cost</w:t>
      </w:r>
    </w:p>
    <w:p>
      <w:pPr>
        <w:pStyle w:val="ListBullet"/>
      </w:pPr>
      <w:r>
        <w:rPr>
          <w:b/>
        </w:rPr>
        <w:t>Amortization</w:t>
      </w:r>
      <w:r>
        <w:t xml:space="preserve"> over the IP's useful life</w:t>
      </w:r>
    </w:p>
    <w:p>
      <w:pPr>
        <w:pStyle w:val="ListBullet"/>
      </w:pPr>
      <w:r>
        <w:rPr>
          <w:b/>
        </w:rPr>
        <w:t>Recognition of impairment losses</w:t>
      </w:r>
      <w:r>
        <w:t xml:space="preserve"> if IP value declines</w:t>
      </w:r>
    </w:p>
    <w:p>
      <w:pPr>
        <w:pStyle w:val="Heading4"/>
      </w:pPr>
      <w:r>
        <w:t>United States: US Internal Revenue Code Section 197 Intangibles</w:t>
      </w:r>
    </w:p>
    <w:p>
      <w:r>
        <w:t xml:space="preserve">Acquired IP used in a trade or business is amortized over </w:t>
      </w:r>
      <w:r>
        <w:rPr>
          <w:b/>
        </w:rPr>
        <w:t>15 years</w:t>
      </w:r>
      <w:r>
        <w:t xml:space="preserve"> under </w:t>
      </w:r>
      <w:r>
        <w:rPr>
          <w:b/>
        </w:rPr>
        <w:t>US Internal Revenue Code Section 197</w:t>
      </w:r>
      <w:r>
        <w:t>, including:</w:t>
      </w:r>
    </w:p>
    <w:p>
      <w:pPr>
        <w:pStyle w:val="ListBullet"/>
      </w:pPr>
      <w:r>
        <w:t>Patents, copyrights, formulas, processes</w:t>
      </w:r>
    </w:p>
    <w:p>
      <w:pPr>
        <w:pStyle w:val="ListBullet"/>
      </w:pPr>
      <w:r>
        <w:t>Know-how, trade secrets</w:t>
      </w:r>
    </w:p>
    <w:p>
      <w:pPr>
        <w:pStyle w:val="ListBullet"/>
      </w:pPr>
      <w:r>
        <w:t>Licenses, permits, rights granted by governmental units</w:t>
      </w:r>
    </w:p>
    <w:p>
      <w:r>
        <w:rPr>
          <w:b/>
        </w:rPr>
        <w:t>Exception</w:t>
      </w:r>
      <w:r>
        <w:t xml:space="preserve">: Self-created intangibles are </w:t>
      </w:r>
      <w:r>
        <w:rPr>
          <w:b/>
        </w:rPr>
        <w:t>not</w:t>
      </w:r>
      <w:r>
        <w:t xml:space="preserve"> US Internal Revenue Code Section 197 intangibles and may be amortized over their actual useful life.</w:t>
      </w:r>
    </w:p>
    <w:p>
      <w:pPr>
        <w:spacing w:before="120" w:after="120"/>
        <w:pBdr>
          <w:bottom w:val="single" w:sz="6" w:space="1" w:color="auto"/>
        </w:pBdr>
      </w:pPr>
    </w:p>
    <w:p>
      <w:pPr>
        <w:pStyle w:val="Heading2"/>
      </w:pPr>
      <w:r>
        <w:t>3. IP Ownership Structures in International Operations</w:t>
      </w:r>
    </w:p>
    <w:p>
      <w:pPr>
        <w:pStyle w:val="Heading3"/>
      </w:pPr>
      <w:r>
        <w:t>3.1 Centralized IP Holding Company</w:t>
      </w:r>
    </w:p>
    <w:p>
      <w:r>
        <w:t xml:space="preserve">Many multinational energy companies establish a </w:t>
      </w:r>
      <w:r>
        <w:rPr>
          <w:b/>
        </w:rPr>
        <w:t>dedicated IP holding company (IP HoldCo)</w:t>
      </w:r>
      <w:r>
        <w:t xml:space="preserve"> in a favorable jurisdiction to:</w:t>
      </w:r>
    </w:p>
    <w:p>
      <w:pPr>
        <w:pStyle w:val="ListBullet"/>
      </w:pPr>
      <w:r>
        <w:rPr>
          <w:b/>
        </w:rPr>
        <w:t>Centralize IP ownership</w:t>
      </w:r>
    </w:p>
    <w:p>
      <w:pPr>
        <w:pStyle w:val="ListBullet"/>
      </w:pPr>
      <w:r>
        <w:rPr>
          <w:b/>
        </w:rPr>
        <w:t>Streamline licensing</w:t>
      </w:r>
      <w:r>
        <w:t xml:space="preserve"> to operating entities</w:t>
      </w:r>
    </w:p>
    <w:p>
      <w:pPr>
        <w:pStyle w:val="ListBullet"/>
      </w:pPr>
      <w:r>
        <w:rPr>
          <w:b/>
        </w:rPr>
        <w:t>Optimize global tax burden</w:t>
      </w:r>
    </w:p>
    <w:p>
      <w:pPr>
        <w:pStyle w:val="Heading4"/>
      </w:pPr>
      <w:r>
        <w:t>Typical Structure</w:t>
      </w:r>
    </w:p>
    <w:p>
      <w:pPr>
        <w:shd w:fill="F0F0F0"/>
        <w:spacing w:after="0" w:line="240" w:lineRule="auto"/>
      </w:pPr>
      <w:r>
        <w:rPr>
          <w:rFonts w:ascii="Courier New" w:hAnsi="Courier New"/>
          <w:sz w:val="20"/>
        </w:rPr>
        <w:t>Parent Company (Country A)</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IP HoldCo (Country B - Low IP Tax Regime)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Licenses IP to</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Operating Entities (Countries C, D, E)</w:t>
      </w:r>
    </w:p>
    <w:p/>
    <w:p>
      <w:r>
        <w:rPr>
          <w:b/>
        </w:rPr>
        <w:t>Requirements for Substance</w:t>
      </w:r>
      <w:r>
        <w:t>:</w:t>
      </w:r>
    </w:p>
    <w:p>
      <w:r>
        <w:t xml:space="preserve">Tax authorities scrutinize whether IP HoldCos have </w:t>
      </w:r>
      <w:r>
        <w:rPr>
          <w:b/>
        </w:rPr>
        <w:t>real economic substance</w:t>
      </w:r>
      <w:r>
        <w:t>:</w:t>
      </w:r>
    </w:p>
    <w:p>
      <w:pPr>
        <w:pStyle w:val="ListNumber"/>
      </w:pPr>
      <w:r>
        <w:rPr>
          <w:b/>
        </w:rPr>
        <w:t>Decision-making presence</w:t>
      </w:r>
      <w:r>
        <w:t>: Board meetings, strategic decisions made in the IP HoldCo jurisdiction</w:t>
      </w:r>
    </w:p>
    <w:p>
      <w:pPr>
        <w:pStyle w:val="ListNumber"/>
      </w:pPr>
      <w:r>
        <w:rPr>
          <w:b/>
        </w:rPr>
        <w:t>Qualified personnel</w:t>
      </w:r>
      <w:r>
        <w:t>: Staff with expertise to manage IP</w:t>
      </w:r>
    </w:p>
    <w:p>
      <w:pPr>
        <w:pStyle w:val="ListNumber"/>
      </w:pPr>
      <w:r>
        <w:rPr>
          <w:b/>
        </w:rPr>
        <w:t>Adequate resources</w:t>
      </w:r>
      <w:r>
        <w:t>: Office space, IT infrastructure</w:t>
      </w:r>
    </w:p>
    <w:p>
      <w:pPr>
        <w:pStyle w:val="ListNumber"/>
      </w:pPr>
      <w:r>
        <w:rPr>
          <w:b/>
        </w:rPr>
        <w:t>Active IP management</w:t>
      </w:r>
      <w:r>
        <w:t>: Monitoring compliance, pursuing infringers, negotiating licenses</w:t>
      </w:r>
    </w:p>
    <w:p>
      <w:r>
        <w:rPr>
          <w:b/>
        </w:rPr>
        <w:t>OECD BEPS Action 5</w:t>
      </w:r>
      <w:r>
        <w:t xml:space="preserve"> requires IP income tax benefits to align with </w:t>
      </w:r>
      <w:r>
        <w:rPr>
          <w:b/>
        </w:rPr>
        <w:t>value creation</w:t>
      </w:r>
      <w:r>
        <w:t>, meaning the jurisdiction providing tax benefits must have substantial economic activities related to IP development and exploitation.</w:t>
      </w:r>
    </w:p>
    <w:p>
      <w:pPr>
        <w:pStyle w:val="Heading3"/>
      </w:pPr>
      <w:r>
        <w:t>3.2 Decentralized Ownership (Joint Development)</w:t>
      </w:r>
    </w:p>
    <w:p>
      <w:r>
        <w:t xml:space="preserve">In </w:t>
      </w:r>
      <w:r>
        <w:rPr>
          <w:b/>
        </w:rPr>
        <w:t>joint ventures</w:t>
      </w:r>
      <w:r>
        <w:t xml:space="preserve"> and </w:t>
      </w:r>
      <w:r>
        <w:rPr>
          <w:b/>
        </w:rPr>
        <w:t>production sharing contracts (PSCs)</w:t>
      </w:r>
      <w:r>
        <w:t>, IP is often:</w:t>
      </w:r>
    </w:p>
    <w:p>
      <w:pPr>
        <w:pStyle w:val="ListBullet"/>
      </w:pPr>
      <w:r>
        <w:rPr>
          <w:b/>
        </w:rPr>
        <w:t>Co-developed</w:t>
      </w:r>
      <w:r>
        <w:t xml:space="preserve"> by multiple parties contributing technical expertise</w:t>
      </w:r>
    </w:p>
    <w:p>
      <w:pPr>
        <w:pStyle w:val="ListBullet"/>
      </w:pPr>
      <w:r>
        <w:rPr>
          <w:b/>
        </w:rPr>
        <w:t>Co-owned</w:t>
      </w:r>
      <w:r>
        <w:t xml:space="preserve"> by joint venture partners</w:t>
      </w:r>
    </w:p>
    <w:p>
      <w:pPr>
        <w:pStyle w:val="ListBullet"/>
      </w:pPr>
      <w:r>
        <w:rPr>
          <w:b/>
        </w:rPr>
        <w:t>Shared royalty-free</w:t>
      </w:r>
      <w:r>
        <w:t xml:space="preserve"> among parties who funded development</w:t>
      </w:r>
    </w:p>
    <w:p>
      <w:r>
        <w:t>This structure is common in upstream operations where:</w:t>
      </w:r>
    </w:p>
    <w:p>
      <w:pPr>
        <w:pStyle w:val="ListBullet"/>
      </w:pPr>
      <w:r>
        <w:t>National Oil Companies (NOCs) and International Oil Companies (IOCs) collaborate</w:t>
      </w:r>
    </w:p>
    <w:p>
      <w:pPr>
        <w:pStyle w:val="ListBullet"/>
      </w:pPr>
      <w:r>
        <w:t>Multiple contractors contribute proprietary technologies</w:t>
      </w:r>
    </w:p>
    <w:p>
      <w:pPr>
        <w:pStyle w:val="ListBullet"/>
      </w:pPr>
      <w:r>
        <w:t>Cost recovery regimes allocate development costs among parties</w:t>
      </w:r>
    </w:p>
    <w:p>
      <w:pPr>
        <w:spacing w:before="120" w:after="120"/>
        <w:pBdr>
          <w:bottom w:val="single" w:sz="6" w:space="1" w:color="auto"/>
        </w:pBdr>
      </w:pPr>
    </w:p>
    <w:p>
      <w:pPr>
        <w:pStyle w:val="Heading2"/>
      </w:pPr>
      <w:r>
        <w:t>4. Transfer Pricing for IP Transactions</w:t>
      </w:r>
    </w:p>
    <w:p>
      <w:pPr>
        <w:pStyle w:val="Heading3"/>
      </w:pPr>
      <w:r>
        <w:t>4.1 Arm's Length Principle</w:t>
      </w:r>
    </w:p>
    <w:p>
      <w:r>
        <w:rPr>
          <w:b/>
        </w:rPr>
        <w:t>Article 9 of the OECD Model Tax Convention</w:t>
      </w:r>
      <w:r>
        <w:t xml:space="preserve"> requires that transfer prices between associated enterprises reflect </w:t>
      </w:r>
      <w:r>
        <w:rPr>
          <w:b/>
        </w:rPr>
        <w:t>arm's length conditions</w:t>
      </w:r>
      <w:r>
        <w:t>:</w:t>
      </w:r>
    </w:p>
    <w:p>
      <w:r>
        <w:t>&gt; "Where conditions are made or imposed between two associated enterprises in their commercial or financial relations which differ from those which would be made between independent enterprises, then any profits which would, but for those conditions, have accrued to one of the enterprises, but, by reason of those conditions, have not so accrued, may be included in the profits of that enterprise and taxed accordingly."</w:t>
      </w:r>
    </w:p>
    <w:p>
      <w:r>
        <w:t>For IP transactions, this means:</w:t>
      </w:r>
    </w:p>
    <w:p>
      <w:pPr>
        <w:pStyle w:val="ListBullet"/>
      </w:pPr>
      <w:r>
        <w:rPr>
          <w:b/>
        </w:rPr>
        <w:t>Royalty rates</w:t>
      </w:r>
      <w:r>
        <w:t xml:space="preserve"> must be comparable to rates charged between unrelated parties</w:t>
      </w:r>
    </w:p>
    <w:p>
      <w:pPr>
        <w:pStyle w:val="ListBullet"/>
      </w:pPr>
      <w:r>
        <w:rPr>
          <w:b/>
        </w:rPr>
        <w:t>Lump-sum payments</w:t>
      </w:r>
      <w:r>
        <w:t xml:space="preserve"> for IP transfers must reflect fair market value</w:t>
      </w:r>
    </w:p>
    <w:p>
      <w:pPr>
        <w:pStyle w:val="ListBullet"/>
      </w:pPr>
      <w:r>
        <w:rPr>
          <w:b/>
        </w:rPr>
        <w:t>Cost-sharing arrangements</w:t>
      </w:r>
      <w:r>
        <w:t xml:space="preserve"> must allocate costs and benefits appropriately</w:t>
      </w:r>
    </w:p>
    <w:p>
      <w:pPr>
        <w:pStyle w:val="Heading3"/>
      </w:pPr>
      <w:r>
        <w:t>4.2 Transfer Pricing Methods for IP</w:t>
      </w:r>
    </w:p>
    <w:p>
      <w:pPr>
        <w:pStyle w:val="Heading4"/>
      </w:pPr>
      <w:r>
        <w:t>Comparable Uncontrolled Price (CUP) Method</w:t>
      </w:r>
    </w:p>
    <w:p>
      <w:r>
        <w:rPr>
          <w:b/>
        </w:rPr>
        <w:t>Best method</w:t>
      </w:r>
      <w:r>
        <w:t xml:space="preserve"> when comparable transactions exist:</w:t>
      </w:r>
    </w:p>
    <w:p>
      <w:pPr>
        <w:pStyle w:val="ListBullet"/>
      </w:pPr>
      <w:r>
        <w:t xml:space="preserve">Identify licensing arrangements between independent parties for </w:t>
      </w:r>
      <w:r>
        <w:rPr>
          <w:b/>
        </w:rPr>
        <w:t>similar IP</w:t>
      </w:r>
    </w:p>
    <w:p>
      <w:pPr>
        <w:pStyle w:val="ListBullet"/>
      </w:pPr>
      <w:r>
        <w:t>Adjust for differences in:</w:t>
      </w:r>
    </w:p>
    <w:p>
      <w:pPr>
        <w:pStyle w:val="ListBullet"/>
        <w:ind w:left="360"/>
      </w:pPr>
      <w:r>
        <w:t>IP functionality and value</w:t>
      </w:r>
    </w:p>
    <w:p>
      <w:pPr>
        <w:pStyle w:val="ListBullet"/>
        <w:ind w:left="360"/>
      </w:pPr>
      <w:r>
        <w:t>Geographic market</w:t>
      </w:r>
    </w:p>
    <w:p>
      <w:pPr>
        <w:pStyle w:val="ListBullet"/>
        <w:ind w:left="360"/>
      </w:pPr>
      <w:r>
        <w:t>Exclusive vs. non-exclusive rights</w:t>
      </w:r>
    </w:p>
    <w:p>
      <w:pPr>
        <w:pStyle w:val="ListBullet"/>
        <w:ind w:left="360"/>
      </w:pPr>
      <w:r>
        <w:t>License duration</w:t>
      </w:r>
    </w:p>
    <w:p>
      <w:r>
        <w:rPr>
          <w:b/>
        </w:rPr>
        <w:t>Challenge in oil &amp; gas</w:t>
      </w:r>
      <w:r>
        <w:t>: Finding truly comparable IP transactions is difficult due to the highly specialized nature of energy sector technologies.</w:t>
      </w:r>
    </w:p>
    <w:p>
      <w:pPr>
        <w:pStyle w:val="Heading4"/>
      </w:pPr>
      <w:r>
        <w:t>Profit Split Method</w:t>
      </w:r>
    </w:p>
    <w:p>
      <w:r>
        <w:t xml:space="preserve">Often the </w:t>
      </w:r>
      <w:r>
        <w:rPr>
          <w:b/>
        </w:rPr>
        <w:t>most appropriate method</w:t>
      </w:r>
      <w:r>
        <w:t xml:space="preserve"> for unique, high-value IP:</w:t>
      </w:r>
    </w:p>
    <w:p>
      <w:pPr>
        <w:pStyle w:val="ListBullet"/>
      </w:pPr>
      <w:r>
        <w:t xml:space="preserve">Allocate combined profits based on each party's </w:t>
      </w:r>
      <w:r>
        <w:rPr>
          <w:b/>
        </w:rPr>
        <w:t>relative contribution</w:t>
      </w:r>
    </w:p>
    <w:p>
      <w:pPr>
        <w:pStyle w:val="ListBullet"/>
      </w:pPr>
      <w:r>
        <w:t>Contributions include:</w:t>
      </w:r>
    </w:p>
    <w:p>
      <w:pPr>
        <w:pStyle w:val="ListBullet"/>
        <w:ind w:left="360"/>
      </w:pPr>
      <w:r>
        <w:t>IP development costs and risks</w:t>
      </w:r>
    </w:p>
    <w:p>
      <w:pPr>
        <w:pStyle w:val="ListBullet"/>
        <w:ind w:left="360"/>
      </w:pPr>
      <w:r>
        <w:t>Marketing and commercialization efforts</w:t>
      </w:r>
    </w:p>
    <w:p>
      <w:pPr>
        <w:pStyle w:val="ListBullet"/>
        <w:ind w:left="360"/>
      </w:pPr>
      <w:r>
        <w:t>Capital investment</w:t>
      </w:r>
    </w:p>
    <w:p>
      <w:pPr>
        <w:pStyle w:val="ListBullet"/>
        <w:ind w:left="360"/>
      </w:pPr>
      <w:r>
        <w:t>Operational expertise</w:t>
      </w:r>
    </w:p>
    <w:p>
      <w:r>
        <w:t>Formula:</w:t>
      </w:r>
    </w:p>
    <w:p>
      <w:pPr>
        <w:shd w:fill="F0F0F0"/>
        <w:spacing w:after="0" w:line="240" w:lineRule="auto"/>
      </w:pPr>
      <w:r>
        <w:rPr>
          <w:rFonts w:ascii="Courier New" w:hAnsi="Courier New"/>
          <w:sz w:val="20"/>
        </w:rPr>
        <w:t>Party A's Profit Share = Combined Profit × (Party A's Contribution Value / Total Contribution Value)</w:t>
      </w:r>
    </w:p>
    <w:p/>
    <w:p>
      <w:pPr>
        <w:pStyle w:val="Heading4"/>
      </w:pPr>
      <w:r>
        <w:t>Transactional Net Margin Method (TNMM)</w:t>
      </w:r>
    </w:p>
    <w:p>
      <w:r>
        <w:t xml:space="preserve">Compares </w:t>
      </w:r>
      <w:r>
        <w:rPr>
          <w:b/>
        </w:rPr>
        <w:t>net profit margin</w:t>
      </w:r>
      <w:r>
        <w:t xml:space="preserve"> of the IP licensee to comparable companies:</w:t>
      </w:r>
    </w:p>
    <w:p>
      <w:pPr>
        <w:pStyle w:val="ListBullet"/>
      </w:pPr>
      <w:r>
        <w:t xml:space="preserve">Ensure licensee earns an </w:t>
      </w:r>
      <w:r>
        <w:rPr>
          <w:b/>
        </w:rPr>
        <w:t>arm's length return</w:t>
      </w:r>
      <w:r>
        <w:t xml:space="preserve"> on routine functions</w:t>
      </w:r>
    </w:p>
    <w:p>
      <w:pPr>
        <w:pStyle w:val="ListBullet"/>
      </w:pPr>
      <w:r>
        <w:t>Residual profit attributable to IP should flow to the IP owner</w:t>
      </w:r>
    </w:p>
    <w:p>
      <w:pPr>
        <w:pStyle w:val="Heading3"/>
      </w:pPr>
      <w:r>
        <w:t>4.3 Hard-to-Value Intangibles (HTVI)</w:t>
      </w:r>
    </w:p>
    <w:p>
      <w:r>
        <w:rPr>
          <w:b/>
        </w:rPr>
        <w:t>OECD BEPS Actions 8-10</w:t>
      </w:r>
      <w:r>
        <w:t xml:space="preserve"> introduced special rules for </w:t>
      </w:r>
      <w:r>
        <w:rPr>
          <w:b/>
        </w:rPr>
        <w:t>Hard-to-Value Intangibles</w:t>
      </w:r>
      <w:r>
        <w:t>:</w:t>
      </w:r>
    </w:p>
    <w:p>
      <w:r>
        <w:t>Characteristics:</w:t>
      </w:r>
    </w:p>
    <w:p>
      <w:pPr>
        <w:pStyle w:val="ListBullet"/>
      </w:pPr>
      <w:r>
        <w:rPr>
          <w:b/>
        </w:rPr>
        <w:t>No reliable comparables</w:t>
      </w:r>
      <w:r>
        <w:t xml:space="preserve"> at time of transfer</w:t>
      </w:r>
    </w:p>
    <w:p>
      <w:pPr>
        <w:pStyle w:val="ListBullet"/>
      </w:pPr>
      <w:r>
        <w:rPr>
          <w:b/>
        </w:rPr>
        <w:t>Highly uncertain</w:t>
      </w:r>
      <w:r>
        <w:t xml:space="preserve"> projections of future cash flows</w:t>
      </w:r>
    </w:p>
    <w:p>
      <w:pPr>
        <w:pStyle w:val="ListBullet"/>
      </w:pPr>
      <w:r>
        <w:t>Often applies to cutting-edge technologies in energy sector</w:t>
      </w:r>
    </w:p>
    <w:p>
      <w:r>
        <w:rPr>
          <w:b/>
        </w:rPr>
        <w:t>Tax Authority Response</w:t>
      </w:r>
      <w:r>
        <w:t>:</w:t>
      </w:r>
    </w:p>
    <w:p>
      <w:pPr>
        <w:pStyle w:val="ListBullet"/>
      </w:pPr>
      <w:r>
        <w:t xml:space="preserve">May use </w:t>
      </w:r>
      <w:r>
        <w:rPr>
          <w:b/>
        </w:rPr>
        <w:t>ex-post outcomes</w:t>
      </w:r>
      <w:r>
        <w:t xml:space="preserve"> (actual results) to assess whether transfer pricing was appropriate</w:t>
      </w:r>
    </w:p>
    <w:p>
      <w:pPr>
        <w:pStyle w:val="ListBullet"/>
      </w:pPr>
      <w:r>
        <w:rPr>
          <w:b/>
        </w:rPr>
        <w:t>Presumption</w:t>
      </w:r>
      <w:r>
        <w:t xml:space="preserve"> that taxpayer's projections were unreliable if actual outcomes differ significantly</w:t>
      </w:r>
    </w:p>
    <w:p>
      <w:pPr>
        <w:pStyle w:val="ListBullet"/>
      </w:pPr>
      <w:r>
        <w:rPr>
          <w:b/>
        </w:rPr>
        <w:t>Burden of proof</w:t>
      </w:r>
      <w:r>
        <w:t xml:space="preserve"> shifts to taxpayer to demonstrate ex-ante pricing was appropriate</w:t>
      </w:r>
    </w:p>
    <w:p>
      <w:pPr>
        <w:spacing w:before="120" w:after="120"/>
        <w:pBdr>
          <w:bottom w:val="single" w:sz="6" w:space="1" w:color="auto"/>
        </w:pBdr>
      </w:pPr>
    </w:p>
    <w:p>
      <w:pPr>
        <w:pStyle w:val="Heading2"/>
      </w:pPr>
      <w:r>
        <w:t>5. Cross-Border IP Transfers and Exit Taxation</w:t>
      </w:r>
    </w:p>
    <w:p>
      <w:pPr>
        <w:pStyle w:val="Heading3"/>
      </w:pPr>
      <w:r>
        <w:t>5.1 IP Migration</w:t>
      </w:r>
    </w:p>
    <w:p>
      <w:r>
        <w:t xml:space="preserve">When IP is </w:t>
      </w:r>
      <w:r>
        <w:rPr>
          <w:b/>
        </w:rPr>
        <w:t>transferred</w:t>
      </w:r>
      <w:r>
        <w:t xml:space="preserve"> from one jurisdiction to another (e.g., moving IP from operating company to IP HoldCo), the </w:t>
      </w:r>
      <w:r>
        <w:rPr>
          <w:b/>
        </w:rPr>
        <w:t>transferor jurisdiction</w:t>
      </w:r>
      <w:r>
        <w:t xml:space="preserve"> may impose:</w:t>
      </w:r>
    </w:p>
    <w:p>
      <w:pPr>
        <w:pStyle w:val="ListBullet"/>
      </w:pPr>
      <w:r>
        <w:rPr>
          <w:b/>
        </w:rPr>
        <w:t>Exit taxation</w:t>
      </w:r>
      <w:r>
        <w:t xml:space="preserve"> on deemed disposition at fair market value</w:t>
      </w:r>
    </w:p>
    <w:p>
      <w:pPr>
        <w:pStyle w:val="ListBullet"/>
      </w:pPr>
      <w:r>
        <w:rPr>
          <w:b/>
        </w:rPr>
        <w:t>Withholding taxes</w:t>
      </w:r>
      <w:r>
        <w:t xml:space="preserve"> on royalties or deemed royalties</w:t>
      </w:r>
    </w:p>
    <w:p>
      <w:pPr>
        <w:pStyle w:val="ListBullet"/>
      </w:pPr>
      <w:r>
        <w:rPr>
          <w:b/>
        </w:rPr>
        <w:t>Anti-abuse provisions</w:t>
      </w:r>
      <w:r>
        <w:t xml:space="preserve"> to prevent profit shifting</w:t>
      </w:r>
    </w:p>
    <w:p>
      <w:pPr>
        <w:pStyle w:val="Heading4"/>
      </w:pPr>
      <w:r>
        <w:t>United States: US Internal Revenue Code Section 367(d)</w:t>
      </w:r>
    </w:p>
    <w:p>
      <w:r>
        <w:t>For outbound transfers of intangibles by U.S. persons to foreign corporations:</w:t>
      </w:r>
    </w:p>
    <w:p>
      <w:pPr>
        <w:pStyle w:val="ListBullet"/>
      </w:pPr>
      <w:r>
        <w:t xml:space="preserve">Transferor must recognize </w:t>
      </w:r>
      <w:r>
        <w:rPr>
          <w:b/>
        </w:rPr>
        <w:t>annual income</w:t>
      </w:r>
      <w:r>
        <w:t xml:space="preserve"> equal to </w:t>
      </w:r>
      <w:r>
        <w:rPr>
          <w:b/>
        </w:rPr>
        <w:t>arm's length royalty</w:t>
      </w:r>
      <w:r>
        <w:t xml:space="preserve"> for IP use</w:t>
      </w:r>
    </w:p>
    <w:p>
      <w:pPr>
        <w:pStyle w:val="ListBullet"/>
      </w:pPr>
      <w:r>
        <w:t xml:space="preserve">Continues for the </w:t>
      </w:r>
      <w:r>
        <w:rPr>
          <w:b/>
        </w:rPr>
        <w:t>life of the IP</w:t>
      </w:r>
      <w:r>
        <w:t xml:space="preserve"> or until a triggering event</w:t>
      </w:r>
    </w:p>
    <w:p>
      <w:pPr>
        <w:pStyle w:val="ListBullet"/>
      </w:pPr>
      <w:r>
        <w:t>Prevents deferral of U.S. tax on IP value appreciation</w:t>
      </w:r>
    </w:p>
    <w:p>
      <w:pPr>
        <w:pStyle w:val="Heading4"/>
      </w:pPr>
      <w:r>
        <w:t>European Union: EU Anti-Tax Avoidance Directive (ATAD)</w:t>
      </w:r>
    </w:p>
    <w:p>
      <w:r>
        <w:rPr>
          <w:b/>
        </w:rPr>
        <w:t>Article 5 ATAD</w:t>
      </w:r>
      <w:r>
        <w:t xml:space="preserve"> requires EU member states to impose exit taxes when:</w:t>
      </w:r>
    </w:p>
    <w:p>
      <w:pPr>
        <w:pStyle w:val="ListBullet"/>
      </w:pPr>
      <w:r>
        <w:t>Assets are transferred out of the taxing jurisdiction</w:t>
      </w:r>
    </w:p>
    <w:p>
      <w:pPr>
        <w:pStyle w:val="ListBullet"/>
      </w:pPr>
      <w:r>
        <w:t>Taxpayer ceases to be resident</w:t>
      </w:r>
    </w:p>
    <w:p>
      <w:pPr>
        <w:pStyle w:val="ListBullet"/>
      </w:pPr>
      <w:r>
        <w:t>Transfer of tax residence of permanent establishment</w:t>
      </w:r>
    </w:p>
    <w:p>
      <w:r>
        <w:rPr>
          <w:b/>
        </w:rPr>
        <w:t>Payment deferral</w:t>
      </w:r>
      <w:r>
        <w:t xml:space="preserve"> may be available if transfer is within the EU.</w:t>
      </w:r>
    </w:p>
    <w:p>
      <w:pPr>
        <w:pStyle w:val="Heading3"/>
      </w:pPr>
      <w:r>
        <w:t>5.2 Withholding Taxes on Royalties</w:t>
      </w:r>
    </w:p>
    <w:p>
      <w:r>
        <w:t xml:space="preserve">Cross-border royalty payments are typically subject to </w:t>
      </w:r>
      <w:r>
        <w:rPr>
          <w:b/>
        </w:rPr>
        <w:t>withholding tax</w:t>
      </w:r>
      <w:r>
        <w:t xml:space="preserve"> in the source country:</w:t>
      </w:r>
    </w:p>
    <w:p>
      <w:pPr>
        <w:pStyle w:val="ListBullet"/>
      </w:pPr>
      <w:r>
        <w:rPr>
          <w:b/>
        </w:rPr>
        <w:t>Domestic rates</w:t>
      </w:r>
      <w:r>
        <w:t>: Often 20-30% in oil-producing countries</w:t>
      </w:r>
    </w:p>
    <w:p>
      <w:pPr>
        <w:pStyle w:val="ListBullet"/>
      </w:pPr>
      <w:r>
        <w:rPr>
          <w:b/>
        </w:rPr>
        <w:t>Treaty rates</w:t>
      </w:r>
      <w:r>
        <w:t>: Reduced under double tax agreements (commonly 5-15%)</w:t>
      </w:r>
    </w:p>
    <w:p>
      <w:pPr>
        <w:pStyle w:val="ListBullet"/>
      </w:pPr>
      <w:r>
        <w:rPr>
          <w:b/>
        </w:rPr>
        <w:t>EU Interest and Royalties Directive</w:t>
      </w:r>
      <w:r>
        <w:t>: 0% WHT for qualifying EU cross-border payments</w:t>
      </w:r>
    </w:p>
    <w:p>
      <w:r>
        <w:rPr>
          <w:b/>
        </w:rPr>
        <w:t>Key Treaty Provisions</w:t>
      </w:r>
      <w:r>
        <w:t>:</w:t>
      </w:r>
    </w:p>
    <w:p>
      <w:r>
        <w:rPr>
          <w:b/>
        </w:rPr>
        <w:t>Article 12 OECD Model Tax Convention</w:t>
      </w:r>
      <w:r>
        <w:t xml:space="preserve"> allocates taxing rights over royalties:</w:t>
      </w:r>
    </w:p>
    <w:p>
      <w:pPr>
        <w:pStyle w:val="ListBullet"/>
      </w:pPr>
      <w:r>
        <w:rPr>
          <w:b/>
        </w:rPr>
        <w:t>Residence country</w:t>
      </w:r>
      <w:r>
        <w:t>: Primary taxing right</w:t>
      </w:r>
    </w:p>
    <w:p>
      <w:pPr>
        <w:pStyle w:val="ListBullet"/>
      </w:pPr>
      <w:r>
        <w:rPr>
          <w:b/>
        </w:rPr>
        <w:t>Source country</w:t>
      </w:r>
      <w:r>
        <w:t>: May impose WHT at reduced treaty rate</w:t>
      </w:r>
    </w:p>
    <w:p>
      <w:pPr>
        <w:pStyle w:val="ListBullet"/>
      </w:pPr>
      <w:r>
        <w:rPr>
          <w:b/>
        </w:rPr>
        <w:t>Definition of royalties</w:t>
      </w:r>
      <w:r>
        <w:t>: Payments for use of, or right to use, IP</w:t>
      </w:r>
    </w:p>
    <w:p>
      <w:pPr>
        <w:spacing w:before="120" w:after="120"/>
        <w:pBdr>
          <w:bottom w:val="single" w:sz="6" w:space="1" w:color="auto"/>
        </w:pBdr>
      </w:pPr>
    </w:p>
    <w:p>
      <w:pPr>
        <w:pStyle w:val="Heading2"/>
      </w:pPr>
      <w:r>
        <w:t>6. Documentation and Compliance Requirements</w:t>
      </w:r>
    </w:p>
    <w:p>
      <w:pPr>
        <w:pStyle w:val="Heading3"/>
      </w:pPr>
      <w:r>
        <w:t>6.1 Transfer Pricing Documentation</w:t>
      </w:r>
    </w:p>
    <w:p>
      <w:r>
        <w:t xml:space="preserve">Tax authorities require </w:t>
      </w:r>
      <w:r>
        <w:rPr>
          <w:b/>
        </w:rPr>
        <w:t>contemporaneous documentation</w:t>
      </w:r>
      <w:r>
        <w:t xml:space="preserve"> to support arm's length pricing:</w:t>
      </w:r>
    </w:p>
    <w:p>
      <w:r>
        <w:rPr>
          <w:b/>
        </w:rPr>
        <w:t>Master File</w:t>
      </w:r>
      <w:r>
        <w:t>: Group-level overview including:</w:t>
      </w:r>
    </w:p>
    <w:p>
      <w:pPr>
        <w:pStyle w:val="ListBullet"/>
      </w:pPr>
      <w:r>
        <w:t>Global organizational structure</w:t>
      </w:r>
    </w:p>
    <w:p>
      <w:pPr>
        <w:pStyle w:val="ListBullet"/>
      </w:pPr>
      <w:r>
        <w:t>Description of group's business and IP</w:t>
      </w:r>
    </w:p>
    <w:p>
      <w:pPr>
        <w:pStyle w:val="ListBullet"/>
      </w:pPr>
      <w:r>
        <w:t>Group's overall transfer pricing policies</w:t>
      </w:r>
    </w:p>
    <w:p>
      <w:pPr>
        <w:pStyle w:val="ListBullet"/>
      </w:pPr>
      <w:r>
        <w:t>List of IP-related agreements</w:t>
      </w:r>
    </w:p>
    <w:p>
      <w:r>
        <w:rPr>
          <w:b/>
        </w:rPr>
        <w:t>Local File</w:t>
      </w:r>
      <w:r>
        <w:t>: Entity-specific documentation including:</w:t>
      </w:r>
    </w:p>
    <w:p>
      <w:pPr>
        <w:pStyle w:val="ListBullet"/>
      </w:pPr>
      <w:r>
        <w:t>Detailed functional analysis</w:t>
      </w:r>
    </w:p>
    <w:p>
      <w:pPr>
        <w:pStyle w:val="ListBullet"/>
      </w:pPr>
      <w:r>
        <w:t>Comparability analysis</w:t>
      </w:r>
    </w:p>
    <w:p>
      <w:pPr>
        <w:pStyle w:val="ListBullet"/>
      </w:pPr>
      <w:r>
        <w:t>Transfer pricing method selection and application</w:t>
      </w:r>
    </w:p>
    <w:p>
      <w:pPr>
        <w:pStyle w:val="ListBullet"/>
      </w:pPr>
      <w:r>
        <w:t>Financial information supporting analysis</w:t>
      </w:r>
    </w:p>
    <w:p>
      <w:r>
        <w:rPr>
          <w:b/>
        </w:rPr>
        <w:t>Country-by-Country Report (CbCR)</w:t>
      </w:r>
      <w:r>
        <w:t xml:space="preserve">: For MNE groups with revenue exceeding </w:t>
      </w:r>
      <w:r>
        <w:rPr>
          <w:b/>
        </w:rPr>
        <w:t>€750 million</w:t>
      </w:r>
      <w:r>
        <w:t>:</w:t>
      </w:r>
    </w:p>
    <w:p>
      <w:pPr>
        <w:pStyle w:val="ListBullet"/>
      </w:pPr>
      <w:r>
        <w:t>Aggregated revenue, profit, taxes paid by jurisdiction</w:t>
      </w:r>
    </w:p>
    <w:p>
      <w:pPr>
        <w:pStyle w:val="ListBullet"/>
      </w:pPr>
      <w:r>
        <w:t>Number of employees and tangible assets by jurisdiction</w:t>
      </w:r>
    </w:p>
    <w:p>
      <w:pPr>
        <w:pStyle w:val="ListBullet"/>
      </w:pPr>
      <w:r>
        <w:t>Identifies jurisdictions with significant IP holdings</w:t>
      </w:r>
    </w:p>
    <w:p>
      <w:pPr>
        <w:pStyle w:val="Heading3"/>
      </w:pPr>
      <w:r>
        <w:t>6.2 IP Valuation for Tax Purposes</w:t>
      </w:r>
    </w:p>
    <w:p>
      <w:r>
        <w:t>Accurate IP valuation is critical for:</w:t>
      </w:r>
    </w:p>
    <w:p>
      <w:pPr>
        <w:pStyle w:val="ListBullet"/>
      </w:pPr>
      <w:r>
        <w:rPr>
          <w:b/>
        </w:rPr>
        <w:t>Transfer pricing compliance</w:t>
      </w:r>
    </w:p>
    <w:p>
      <w:pPr>
        <w:pStyle w:val="ListBullet"/>
      </w:pPr>
      <w:r>
        <w:rPr>
          <w:b/>
        </w:rPr>
        <w:t>M&amp;A transactions</w:t>
      </w:r>
      <w:r>
        <w:t xml:space="preserve"> (purchase price allocation)</w:t>
      </w:r>
    </w:p>
    <w:p>
      <w:pPr>
        <w:pStyle w:val="ListBullet"/>
      </w:pPr>
      <w:r>
        <w:rPr>
          <w:b/>
        </w:rPr>
        <w:t>Tax disputes and litigation</w:t>
      </w:r>
    </w:p>
    <w:p>
      <w:pPr>
        <w:pStyle w:val="ListBullet"/>
      </w:pPr>
      <w:r>
        <w:rPr>
          <w:b/>
        </w:rPr>
        <w:t>Customs duties</w:t>
      </w:r>
      <w:r>
        <w:t xml:space="preserve"> (if IP embedded in goods)</w:t>
      </w:r>
    </w:p>
    <w:p>
      <w:r>
        <w:rPr>
          <w:b/>
        </w:rPr>
        <w:t>Common Valuation Methods</w:t>
      </w:r>
      <w:r>
        <w:t>:</w:t>
      </w:r>
    </w:p>
    <w:p>
      <w:pPr>
        <w:pStyle w:val="ListNumber"/>
      </w:pPr>
      <w:r>
        <w:rPr>
          <w:b/>
        </w:rPr>
        <w:t>Cost Approach</w:t>
      </w:r>
      <w:r>
        <w:t>: Replacement cost of developing equivalent IP</w:t>
      </w:r>
    </w:p>
    <w:p>
      <w:pPr>
        <w:pStyle w:val="ListNumber"/>
      </w:pPr>
      <w:r>
        <w:rPr>
          <w:b/>
        </w:rPr>
        <w:t>Market Approach</w:t>
      </w:r>
      <w:r>
        <w:t>: Comparable transaction prices</w:t>
      </w:r>
    </w:p>
    <w:p>
      <w:pPr>
        <w:pStyle w:val="ListNumber"/>
      </w:pPr>
      <w:r>
        <w:rPr>
          <w:b/>
        </w:rPr>
        <w:t>Income Approach</w:t>
      </w:r>
      <w:r>
        <w:t>: Discounted cash flow (DCF) of IP-attributable income</w:t>
      </w:r>
    </w:p>
    <w:p>
      <w:r>
        <w:rPr>
          <w:b/>
        </w:rPr>
        <w:t>Preferred Method</w:t>
      </w:r>
      <w:r>
        <w:t xml:space="preserve">: </w:t>
      </w:r>
      <w:r>
        <w:rPr>
          <w:b/>
        </w:rPr>
        <w:t>Relief-from-Royalty Method</w:t>
      </w:r>
      <w:r>
        <w:t xml:space="preserve"> (income approach):</w:t>
      </w:r>
    </w:p>
    <w:p>
      <w:pPr>
        <w:shd w:fill="F0F0F0"/>
        <w:spacing w:after="0" w:line="240" w:lineRule="auto"/>
      </w:pPr>
      <w:r>
        <w:rPr>
          <w:rFonts w:ascii="Courier New" w:hAnsi="Courier New"/>
          <w:sz w:val="20"/>
        </w:rPr>
        <w:t>IP Value = Present Value of [(Projected Revenue × Market Royalty Rate × (1 - Tax Rate))]</w:t>
      </w:r>
    </w:p>
    <w:p/>
    <w:p>
      <w:pPr>
        <w:spacing w:before="120" w:after="120"/>
        <w:pBdr>
          <w:bottom w:val="single" w:sz="6" w:space="1" w:color="auto"/>
        </w:pBdr>
      </w:pPr>
    </w:p>
    <w:p>
      <w:pPr>
        <w:pStyle w:val="Heading2"/>
      </w:pPr>
      <w:r>
        <w:t>7. Case Study Context: Recent Developments</w:t>
      </w:r>
    </w:p>
    <w:p>
      <w:pPr>
        <w:pStyle w:val="Heading3"/>
      </w:pPr>
      <w:r>
        <w:t>7.1 OECD BEPS and Pillar Two</w:t>
      </w:r>
    </w:p>
    <w:p>
      <w:r>
        <w:rPr>
          <w:b/>
        </w:rPr>
        <w:t>Pillar Two Global Minimum Tax (15%)</w:t>
      </w:r>
      <w:r>
        <w:t xml:space="preserve"> impacts IP structuring:</w:t>
      </w:r>
    </w:p>
    <w:p>
      <w:pPr>
        <w:pStyle w:val="ListBullet"/>
      </w:pPr>
      <w:r>
        <w:rPr>
          <w:b/>
        </w:rPr>
        <w:t>Qualified Domestic Minimum Top-Up Tax (QDMTT)</w:t>
      </w:r>
      <w:r>
        <w:t>: Source countries can impose top-up tax on low-taxed income</w:t>
      </w:r>
    </w:p>
    <w:p>
      <w:pPr>
        <w:pStyle w:val="ListBullet"/>
      </w:pPr>
      <w:r>
        <w:rPr>
          <w:b/>
        </w:rPr>
        <w:t>Income Inclusion Rule (IIR)</w:t>
      </w:r>
      <w:r>
        <w:t>: Parent jurisdiction can tax foreign subsidiary income below 15%</w:t>
      </w:r>
    </w:p>
    <w:p>
      <w:pPr>
        <w:pStyle w:val="ListBullet"/>
      </w:pPr>
      <w:r>
        <w:rPr>
          <w:b/>
        </w:rPr>
        <w:t>Undertaxed Profits Rule (UTPR)</w:t>
      </w:r>
      <w:r>
        <w:t>: Backstop mechanism</w:t>
      </w:r>
    </w:p>
    <w:p>
      <w:r>
        <w:rPr>
          <w:b/>
        </w:rPr>
        <w:t>Impact on IP HoldCos</w:t>
      </w:r>
      <w:r>
        <w:t>: Traditional low-tax IP holding structures may no longer provide intended benefits if Pillar Two applies.</w:t>
      </w:r>
    </w:p>
    <w:p>
      <w:pPr>
        <w:pStyle w:val="Heading3"/>
      </w:pPr>
      <w:r>
        <w:t>7.2 Digital Services Taxes (DST)</w:t>
      </w:r>
    </w:p>
    <w:p>
      <w:r>
        <w:t xml:space="preserve">Some jurisdictions impose </w:t>
      </w:r>
      <w:r>
        <w:rPr>
          <w:b/>
        </w:rPr>
        <w:t>digital services taxes</w:t>
      </w:r>
      <w:r>
        <w:t xml:space="preserve"> on revenues from digital activities, potentially including:</w:t>
      </w:r>
    </w:p>
    <w:p>
      <w:pPr>
        <w:pStyle w:val="ListBullet"/>
      </w:pPr>
      <w:r>
        <w:t>Software licensing</w:t>
      </w:r>
    </w:p>
    <w:p>
      <w:pPr>
        <w:pStyle w:val="ListBullet"/>
      </w:pPr>
      <w:r>
        <w:t>Digital platform services</w:t>
      </w:r>
    </w:p>
    <w:p>
      <w:pPr>
        <w:pStyle w:val="ListBullet"/>
      </w:pPr>
      <w:r>
        <w:t>Data monetization</w:t>
      </w:r>
    </w:p>
    <w:p>
      <w:r>
        <w:t>While primarily targeting large tech companies, DST may impact energy companies with significant digital service offerings (e.g., oilfield data analytics platforms).</w:t>
      </w:r>
    </w:p>
    <w:p>
      <w:pPr>
        <w:spacing w:before="120" w:after="120"/>
        <w:pBdr>
          <w:bottom w:val="single" w:sz="6" w:space="1" w:color="auto"/>
        </w:pBdr>
      </w:pPr>
    </w:p>
    <w:p>
      <w:pPr>
        <w:pStyle w:val="Heading2"/>
      </w:pPr>
      <w:r>
        <w:t>WORKED EXAMPLE 1: IP Transfer Pricing - Seismic Processing Software</w:t>
      </w:r>
    </w:p>
    <w:p>
      <w:pPr>
        <w:pStyle w:val="Heading3"/>
      </w:pPr>
      <w:r>
        <w:t>Facts</w:t>
      </w:r>
    </w:p>
    <w:p>
      <w:r>
        <w:rPr>
          <w:b/>
        </w:rPr>
        <w:t>NordicSeismic ASA</w:t>
      </w:r>
      <w:r>
        <w:t xml:space="preserve">, a Norwegian company, has developed proprietary </w:t>
      </w:r>
      <w:r>
        <w:rPr>
          <w:b/>
        </w:rPr>
        <w:t>4D seismic processing software</w:t>
      </w:r>
      <w:r>
        <w:t xml:space="preserve"> that significantly improves reservoir characterization. The software is used by the company's U.S. subsidiary, </w:t>
      </w:r>
      <w:r>
        <w:rPr>
          <w:b/>
        </w:rPr>
        <w:t>NordicSeismic Inc.</w:t>
      </w:r>
      <w:r>
        <w:t>, which provides seismic interpretation services to exploration and production companies in the Gulf of Mexico.</w:t>
      </w:r>
    </w:p>
    <w:p>
      <w:r>
        <w:rPr>
          <w:b/>
        </w:rPr>
        <w:t>NordicSeismic Inc.</w:t>
      </w:r>
      <w:r>
        <w:t xml:space="preserve"> pays an annual royalty to </w:t>
      </w:r>
      <w:r>
        <w:rPr>
          <w:b/>
        </w:rPr>
        <w:t>NordicSeismic ASA</w:t>
      </w:r>
      <w:r>
        <w:t xml:space="preserve"> based on </w:t>
      </w:r>
      <w:r>
        <w:rPr>
          <w:b/>
        </w:rPr>
        <w:t>10% of service revenues</w:t>
      </w:r>
      <w:r>
        <w:t xml:space="preserve">. In 2024, NordicSeismic Inc.'s service revenues were </w:t>
      </w:r>
      <w:r>
        <w:rPr>
          <w:b/>
        </w:rPr>
        <w:t>$50 million</w:t>
      </w:r>
      <w:r>
        <w:t xml:space="preserve">, resulting in a </w:t>
      </w:r>
      <w:r>
        <w:rPr>
          <w:b/>
        </w:rPr>
        <w:t>$5 million royalty payment</w:t>
      </w:r>
      <w:r>
        <w:t>.</w:t>
      </w:r>
    </w:p>
    <w:p>
      <w:r>
        <w:t xml:space="preserve">The U.S. Internal Revenue Service (IRS) challenges the 10% royalty rate, arguing it is excessive. The IRS contends that a </w:t>
      </w:r>
      <w:r>
        <w:rPr>
          <w:b/>
        </w:rPr>
        <w:t>5% royalty rate</w:t>
      </w:r>
      <w:r>
        <w:t xml:space="preserve"> is more appropriate based on licensing agreements for comparable seismic software.</w:t>
      </w:r>
    </w:p>
    <w:p>
      <w:r>
        <w:rPr>
          <w:b/>
        </w:rPr>
        <w:t>NordicSeismic ASA</w:t>
      </w:r>
      <w:r>
        <w:t xml:space="preserve"> defends the 10% rate, citing the software's unique capabilities and the lack of truly comparable alternatives.</w:t>
      </w:r>
    </w:p>
    <w:p>
      <w:r>
        <w:rPr>
          <w:b/>
        </w:rPr>
        <w:t>Additional Information</w:t>
      </w:r>
      <w:r>
        <w:t>:</w:t>
      </w:r>
    </w:p>
    <w:p>
      <w:pPr>
        <w:pStyle w:val="ListBullet"/>
      </w:pPr>
      <w:r>
        <w:t xml:space="preserve">NordicSeismic ASA invested </w:t>
      </w:r>
      <w:r>
        <w:rPr>
          <w:b/>
        </w:rPr>
        <w:t>$15 million</w:t>
      </w:r>
      <w:r>
        <w:t xml:space="preserve"> over 5 years to develop the software</w:t>
      </w:r>
    </w:p>
    <w:p>
      <w:pPr>
        <w:pStyle w:val="ListBullet"/>
      </w:pPr>
      <w:r>
        <w:t xml:space="preserve">The software provides </w:t>
      </w:r>
      <w:r>
        <w:rPr>
          <w:b/>
        </w:rPr>
        <w:t>25% faster processing</w:t>
      </w:r>
      <w:r>
        <w:t xml:space="preserve"> and </w:t>
      </w:r>
      <w:r>
        <w:rPr>
          <w:b/>
        </w:rPr>
        <w:t>15% better accuracy</w:t>
      </w:r>
      <w:r>
        <w:t xml:space="preserve"> than competing solutions</w:t>
      </w:r>
    </w:p>
    <w:p>
      <w:pPr>
        <w:pStyle w:val="ListBullet"/>
      </w:pPr>
      <w:r>
        <w:t xml:space="preserve">Third-party seismic software licenses typically range from </w:t>
      </w:r>
      <w:r>
        <w:rPr>
          <w:b/>
        </w:rPr>
        <w:t>3-7% of revenues</w:t>
      </w:r>
    </w:p>
    <w:p>
      <w:pPr>
        <w:pStyle w:val="ListBullet"/>
      </w:pPr>
      <w:r>
        <w:t>NordicSeismic ASA owns the IP and provides ongoing updates and technical support</w:t>
      </w:r>
    </w:p>
    <w:p>
      <w:pPr>
        <w:pStyle w:val="ListBullet"/>
      </w:pPr>
      <w:r>
        <w:t xml:space="preserve">U.S. WHT on royalties to Norway: </w:t>
      </w:r>
      <w:r>
        <w:rPr>
          <w:b/>
        </w:rPr>
        <w:t>0%</w:t>
      </w:r>
      <w:r>
        <w:t xml:space="preserve"> under U.S.-Norway tax treaty</w:t>
      </w:r>
    </w:p>
    <w:p>
      <w:pPr>
        <w:pStyle w:val="Heading3"/>
      </w:pPr>
      <w:r>
        <w:t>Required</w:t>
      </w:r>
    </w:p>
    <w:p>
      <w:pPr>
        <w:pStyle w:val="ListNumber"/>
      </w:pPr>
      <w:r>
        <w:t>Evaluate the arm's length nature of the 10% royalty rate</w:t>
      </w:r>
    </w:p>
    <w:p>
      <w:pPr>
        <w:pStyle w:val="ListNumber"/>
      </w:pPr>
      <w:r>
        <w:t>Determine the appropriate transfer pricing method</w:t>
      </w:r>
    </w:p>
    <w:p>
      <w:pPr>
        <w:pStyle w:val="ListNumber"/>
      </w:pPr>
      <w:r>
        <w:t>Calculate the tax impact if the IRS adjustment to 5% is sustained</w:t>
      </w:r>
    </w:p>
    <w:p>
      <w:pPr>
        <w:pStyle w:val="Heading3"/>
      </w:pPr>
      <w:r>
        <w:t>Analysis</w:t>
      </w:r>
    </w:p>
    <w:p>
      <w:r>
        <w:rPr>
          <w:b/>
        </w:rPr>
        <w:t>Step 1: Transfer Pricing Method Selection</w:t>
      </w:r>
    </w:p>
    <w:p>
      <w:r>
        <w:t xml:space="preserve">Given the specialized nature of the software and limited comparables, the most appropriate method is a </w:t>
      </w:r>
      <w:r>
        <w:rPr>
          <w:b/>
        </w:rPr>
        <w:t>Comparable Uncontrolled Price (CUP) method</w:t>
      </w:r>
      <w:r>
        <w:t xml:space="preserve"> with adjustments for differences, supported by a </w:t>
      </w:r>
      <w:r>
        <w:rPr>
          <w:b/>
        </w:rPr>
        <w:t>Profit Split analysis</w:t>
      </w:r>
      <w:r>
        <w:t>.</w:t>
      </w:r>
    </w:p>
    <w:p>
      <w:r>
        <w:rPr>
          <w:b/>
        </w:rPr>
        <w:t>CUP Analysis with Adjustments</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Factor</w:t>
            </w:r>
          </w:p>
        </w:tc>
        <w:tc>
          <w:tcPr>
            <w:tcW w:type="dxa" w:w="2160"/>
          </w:tcPr>
          <w:p>
            <w:r>
              <w:rPr>
                <w:b/>
              </w:rPr>
            </w:r>
            <w:r>
              <w:rPr>
                <w:b/>
              </w:rPr>
              <w:t>Third-Party Range</w:t>
            </w:r>
          </w:p>
        </w:tc>
        <w:tc>
          <w:tcPr>
            <w:tcW w:type="dxa" w:w="2160"/>
          </w:tcPr>
          <w:p>
            <w:r>
              <w:rPr>
                <w:b/>
              </w:rPr>
            </w:r>
            <w:r>
              <w:rPr>
                <w:b/>
              </w:rPr>
              <w:t>NordicSeismic Software</w:t>
            </w:r>
          </w:p>
        </w:tc>
        <w:tc>
          <w:tcPr>
            <w:tcW w:type="dxa" w:w="2160"/>
          </w:tcPr>
          <w:p>
            <w:r>
              <w:rPr>
                <w:b/>
              </w:rPr>
            </w:r>
            <w:r>
              <w:rPr>
                <w:b/>
              </w:rPr>
              <w:t>Adjustment</w:t>
            </w:r>
          </w:p>
        </w:tc>
      </w:tr>
      <w:tr>
        <w:tc>
          <w:tcPr>
            <w:tcW w:type="dxa" w:w="2160"/>
          </w:tcPr>
          <w:p>
            <w:r/>
            <w:r>
              <w:t>Base royalty range</w:t>
            </w:r>
          </w:p>
        </w:tc>
        <w:tc>
          <w:tcPr>
            <w:tcW w:type="dxa" w:w="2160"/>
          </w:tcPr>
          <w:p>
            <w:r/>
            <w:r>
              <w:t>3-7%</w:t>
            </w:r>
          </w:p>
        </w:tc>
        <w:tc>
          <w:tcPr>
            <w:tcW w:type="dxa" w:w="2160"/>
          </w:tcPr>
          <w:p>
            <w:r/>
            <w:r>
              <w:t>-</w:t>
            </w:r>
          </w:p>
        </w:tc>
        <w:tc>
          <w:tcPr>
            <w:tcW w:type="dxa" w:w="2160"/>
          </w:tcPr>
          <w:p>
            <w:r/>
            <w:r>
              <w:t>-</w:t>
            </w:r>
          </w:p>
        </w:tc>
      </w:tr>
      <w:tr>
        <w:tc>
          <w:tcPr>
            <w:tcW w:type="dxa" w:w="2160"/>
          </w:tcPr>
          <w:p>
            <w:r/>
            <w:r>
              <w:t>Unique functionality</w:t>
            </w:r>
          </w:p>
        </w:tc>
        <w:tc>
          <w:tcPr>
            <w:tcW w:type="dxa" w:w="2160"/>
          </w:tcPr>
          <w:p>
            <w:r/>
            <w:r>
              <w:t>-</w:t>
            </w:r>
          </w:p>
        </w:tc>
        <w:tc>
          <w:tcPr>
            <w:tcW w:type="dxa" w:w="2160"/>
          </w:tcPr>
          <w:p>
            <w:r/>
            <w:r>
              <w:t>25% faster processing</w:t>
            </w:r>
          </w:p>
        </w:tc>
        <w:tc>
          <w:tcPr>
            <w:tcW w:type="dxa" w:w="2160"/>
          </w:tcPr>
          <w:p>
            <w:r/>
            <w:r>
              <w:t>+1.5%</w:t>
            </w:r>
          </w:p>
        </w:tc>
      </w:tr>
      <w:tr>
        <w:tc>
          <w:tcPr>
            <w:tcW w:type="dxa" w:w="2160"/>
          </w:tcPr>
          <w:p>
            <w:r/>
            <w:r>
              <w:t>Enhanced accuracy</w:t>
            </w:r>
          </w:p>
        </w:tc>
        <w:tc>
          <w:tcPr>
            <w:tcW w:type="dxa" w:w="2160"/>
          </w:tcPr>
          <w:p>
            <w:r/>
            <w:r>
              <w:t>-</w:t>
            </w:r>
          </w:p>
        </w:tc>
        <w:tc>
          <w:tcPr>
            <w:tcW w:type="dxa" w:w="2160"/>
          </w:tcPr>
          <w:p>
            <w:r/>
            <w:r>
              <w:t>15% better accuracy</w:t>
            </w:r>
          </w:p>
        </w:tc>
        <w:tc>
          <w:tcPr>
            <w:tcW w:type="dxa" w:w="2160"/>
          </w:tcPr>
          <w:p>
            <w:r/>
            <w:r>
              <w:t>+1.0%</w:t>
            </w:r>
          </w:p>
        </w:tc>
      </w:tr>
      <w:tr>
        <w:tc>
          <w:tcPr>
            <w:tcW w:type="dxa" w:w="2160"/>
          </w:tcPr>
          <w:p>
            <w:r/>
            <w:r>
              <w:t>Ongoing support</w:t>
            </w:r>
          </w:p>
        </w:tc>
        <w:tc>
          <w:tcPr>
            <w:tcW w:type="dxa" w:w="2160"/>
          </w:tcPr>
          <w:p>
            <w:r/>
            <w:r>
              <w:t>-</w:t>
            </w:r>
          </w:p>
        </w:tc>
        <w:tc>
          <w:tcPr>
            <w:tcW w:type="dxa" w:w="2160"/>
          </w:tcPr>
          <w:p>
            <w:r/>
            <w:r>
              <w:t>Full technical support</w:t>
            </w:r>
          </w:p>
        </w:tc>
        <w:tc>
          <w:tcPr>
            <w:tcW w:type="dxa" w:w="2160"/>
          </w:tcPr>
          <w:p>
            <w:r/>
            <w:r>
              <w:t>+0.5%</w:t>
            </w:r>
          </w:p>
        </w:tc>
      </w:tr>
      <w:tr>
        <w:tc>
          <w:tcPr>
            <w:tcW w:type="dxa" w:w="2160"/>
          </w:tcPr>
          <w:p>
            <w:r/>
            <w:r>
              <w:rPr>
                <w:b/>
              </w:rPr>
              <w:t>Adjusted arm's length range</w:t>
            </w:r>
          </w:p>
        </w:tc>
        <w:tc>
          <w:tcPr>
            <w:tcW w:type="dxa" w:w="2160"/>
          </w:tcPr>
          <w:p>
            <w:r/>
            <w:r>
              <w:rPr>
                <w:b/>
              </w:rPr>
              <w:t>6-10%</w:t>
            </w:r>
          </w:p>
        </w:tc>
        <w:tc>
          <w:tcPr>
            <w:tcW w:type="dxa" w:w="2160"/>
          </w:tcPr>
          <w:p>
            <w:r/>
            <w:r>
              <w:t>-</w:t>
            </w:r>
          </w:p>
        </w:tc>
        <w:tc>
          <w:tcPr>
            <w:tcW w:type="dxa" w:w="2160"/>
          </w:tcPr>
          <w:p>
            <w:r/>
            <w:r>
              <w:t>-</w:t>
            </w:r>
          </w:p>
        </w:tc>
      </w:tr>
    </w:tbl>
    <w:p/>
    <w:p>
      <w:r>
        <w:t xml:space="preserve">The </w:t>
      </w:r>
      <w:r>
        <w:rPr>
          <w:b/>
        </w:rPr>
        <w:t>10% royalty rate</w:t>
      </w:r>
      <w:r>
        <w:t xml:space="preserve"> falls at the </w:t>
      </w:r>
      <w:r>
        <w:rPr>
          <w:b/>
        </w:rPr>
        <w:t>upper bound</w:t>
      </w:r>
      <w:r>
        <w:t xml:space="preserve"> of the adjusted arm's length range, which is defensible given:</w:t>
      </w:r>
    </w:p>
    <w:p>
      <w:pPr>
        <w:pStyle w:val="ListNumber"/>
      </w:pPr>
      <w:r>
        <w:rPr>
          <w:b/>
        </w:rPr>
        <w:t>Substantial competitive advantage</w:t>
      </w:r>
      <w:r>
        <w:t>: The 25% processing speed improvement allows NordicSeismic Inc. to complete more projects and win competitive bids</w:t>
      </w:r>
    </w:p>
    <w:p>
      <w:pPr>
        <w:pStyle w:val="ListNumber"/>
      </w:pPr>
      <w:r>
        <w:rPr>
          <w:b/>
        </w:rPr>
        <w:t>Market position</w:t>
      </w:r>
      <w:r>
        <w:t>: Enhanced accuracy leads to better reservoir predictions, creating significant value for end clients</w:t>
      </w:r>
    </w:p>
    <w:p>
      <w:pPr>
        <w:pStyle w:val="ListNumber"/>
      </w:pPr>
      <w:r>
        <w:rPr>
          <w:b/>
        </w:rPr>
        <w:t>Cost savings</w:t>
      </w:r>
      <w:r>
        <w:t>: Faster processing reduces NordicSeismic Inc.'s operational costs</w:t>
      </w:r>
    </w:p>
    <w:p>
      <w:r>
        <w:rPr>
          <w:b/>
        </w:rPr>
        <w:t>Step 2: Profit Split Validation</w:t>
      </w:r>
    </w:p>
    <w:p>
      <w:r>
        <w:t xml:space="preserve">To validate the royalty rate, we can apply a </w:t>
      </w:r>
      <w:r>
        <w:rPr>
          <w:b/>
        </w:rPr>
        <w:t>residual profit split</w:t>
      </w:r>
      <w:r>
        <w:t>:</w:t>
      </w:r>
    </w:p>
    <w:p>
      <w:r>
        <w:rPr>
          <w:b/>
        </w:rPr>
        <w:t>NordicSeismic Inc. Financial Analysis (2024)</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Revenue</w:t>
            </w:r>
          </w:p>
        </w:tc>
        <w:tc>
          <w:tcPr>
            <w:tcW w:type="dxa" w:w="4320"/>
          </w:tcPr>
          <w:p>
            <w:r>
              <w:rPr>
                <w:b/>
              </w:rPr>
            </w:r>
            <w:r>
              <w:rPr>
                <w:b/>
              </w:rPr>
              <w:t>$50,000,000</w:t>
            </w:r>
          </w:p>
        </w:tc>
      </w:tr>
      <w:tr>
        <w:tc>
          <w:tcPr>
            <w:tcW w:type="dxa" w:w="4320"/>
          </w:tcPr>
          <w:p>
            <w:r/>
            <w:r>
              <w:t>Direct costs (salaries, computing)</w:t>
            </w:r>
          </w:p>
        </w:tc>
        <w:tc>
          <w:tcPr>
            <w:tcW w:type="dxa" w:w="4320"/>
          </w:tcPr>
          <w:p>
            <w:r/>
            <w:r>
              <w:t>($25,000,000)</w:t>
            </w:r>
          </w:p>
        </w:tc>
      </w:tr>
      <w:tr>
        <w:tc>
          <w:tcPr>
            <w:tcW w:type="dxa" w:w="4320"/>
          </w:tcPr>
          <w:p>
            <w:r/>
            <w:r>
              <w:t>Royalty to parent</w:t>
            </w:r>
          </w:p>
        </w:tc>
        <w:tc>
          <w:tcPr>
            <w:tcW w:type="dxa" w:w="4320"/>
          </w:tcPr>
          <w:p>
            <w:r/>
            <w:r>
              <w:t>($5,000,000)</w:t>
            </w:r>
          </w:p>
        </w:tc>
      </w:tr>
      <w:tr>
        <w:tc>
          <w:tcPr>
            <w:tcW w:type="dxa" w:w="4320"/>
          </w:tcPr>
          <w:p>
            <w:r/>
            <w:r>
              <w:t>Overhead</w:t>
            </w:r>
          </w:p>
        </w:tc>
        <w:tc>
          <w:tcPr>
            <w:tcW w:type="dxa" w:w="4320"/>
          </w:tcPr>
          <w:p>
            <w:r/>
            <w:r>
              <w:t>($8,000,000)</w:t>
            </w:r>
          </w:p>
        </w:tc>
      </w:tr>
      <w:tr>
        <w:tc>
          <w:tcPr>
            <w:tcW w:type="dxa" w:w="4320"/>
          </w:tcPr>
          <w:p>
            <w:r/>
            <w:r>
              <w:rPr>
                <w:b/>
              </w:rPr>
              <w:t>Operating profit</w:t>
            </w:r>
          </w:p>
        </w:tc>
        <w:tc>
          <w:tcPr>
            <w:tcW w:type="dxa" w:w="4320"/>
          </w:tcPr>
          <w:p>
            <w:r/>
            <w:r>
              <w:rPr>
                <w:b/>
              </w:rPr>
              <w:t>$12,000,000</w:t>
            </w:r>
          </w:p>
        </w:tc>
      </w:tr>
      <w:tr>
        <w:tc>
          <w:tcPr>
            <w:tcW w:type="dxa" w:w="4320"/>
          </w:tcPr>
          <w:p>
            <w:r/>
            <w:r>
              <w:rPr>
                <w:b/>
              </w:rPr>
              <w:t>Operating margin</w:t>
            </w:r>
          </w:p>
        </w:tc>
        <w:tc>
          <w:tcPr>
            <w:tcW w:type="dxa" w:w="4320"/>
          </w:tcPr>
          <w:p>
            <w:r/>
            <w:r>
              <w:rPr>
                <w:b/>
              </w:rPr>
              <w:t>24%</w:t>
            </w:r>
          </w:p>
        </w:tc>
      </w:tr>
    </w:tbl>
    <w:p/>
    <w:p>
      <w:r>
        <w:rPr>
          <w:b/>
        </w:rPr>
        <w:t>Routine Return Benchmark</w:t>
      </w:r>
      <w:r>
        <w:t xml:space="preserve">: Comparable seismic service providers without proprietary software earn operating margins of </w:t>
      </w:r>
      <w:r>
        <w:rPr>
          <w:b/>
        </w:rPr>
        <w:t>10-15%</w:t>
      </w:r>
      <w:r>
        <w:t>.</w:t>
      </w:r>
    </w:p>
    <w:p>
      <w:r>
        <w:rPr>
          <w:b/>
        </w:rPr>
        <w:t>Residual Profit Analysis</w:t>
      </w:r>
      <w:r>
        <w:t>:</w:t>
      </w:r>
    </w:p>
    <w:p>
      <w:pPr>
        <w:shd w:fill="F0F0F0"/>
        <w:spacing w:after="0" w:line="240" w:lineRule="auto"/>
      </w:pPr>
      <w:r>
        <w:rPr>
          <w:rFonts w:ascii="Courier New" w:hAnsi="Courier New"/>
          <w:sz w:val="20"/>
        </w:rPr>
        <w:t>Routine return (at 12.5% midpoint) = $50M × 12.5% = $6,250,000</w:t>
      </w:r>
    </w:p>
    <w:p>
      <w:pPr>
        <w:shd w:fill="F0F0F0"/>
        <w:spacing w:after="0" w:line="240" w:lineRule="auto"/>
      </w:pPr>
      <w:r>
        <w:rPr>
          <w:rFonts w:ascii="Courier New" w:hAnsi="Courier New"/>
          <w:sz w:val="20"/>
        </w:rPr>
        <w:t>NordicSeismic Inc. operating profit = $12,000,000</w:t>
      </w:r>
    </w:p>
    <w:p>
      <w:pPr>
        <w:shd w:fill="F0F0F0"/>
        <w:spacing w:after="0" w:line="240" w:lineRule="auto"/>
      </w:pPr>
      <w:r>
        <w:rPr>
          <w:rFonts w:ascii="Courier New" w:hAnsi="Courier New"/>
          <w:sz w:val="20"/>
        </w:rPr>
        <w:t>Residual profit (attributable to IP) = $12,000,000 - $6,250,000 = $5,750,000</w:t>
      </w:r>
    </w:p>
    <w:p/>
    <w:p>
      <w:r>
        <w:t xml:space="preserve">The </w:t>
      </w:r>
      <w:r>
        <w:rPr>
          <w:b/>
        </w:rPr>
        <w:t>$5 million royalty payment</w:t>
      </w:r>
      <w:r>
        <w:t xml:space="preserve"> (10% of revenue) is </w:t>
      </w:r>
      <w:r>
        <w:rPr>
          <w:b/>
        </w:rPr>
        <w:t>less than</w:t>
      </w:r>
      <w:r>
        <w:t xml:space="preserve"> the residual profit of </w:t>
      </w:r>
      <w:r>
        <w:rPr>
          <w:b/>
        </w:rPr>
        <w:t>$5.75 million</w:t>
      </w:r>
      <w:r>
        <w:t xml:space="preserve"> attributable to the unique software. This supports that the 10% royalty rate is </w:t>
      </w:r>
      <w:r>
        <w:rPr>
          <w:b/>
        </w:rPr>
        <w:t>within arm's length range</w:t>
      </w:r>
      <w:r>
        <w:t xml:space="preserve"> and potentially even conservative.</w:t>
      </w:r>
    </w:p>
    <w:p>
      <w:r>
        <w:rPr>
          <w:b/>
        </w:rPr>
        <w:t>Step 3: Defense Against IRS Adjustment</w:t>
      </w:r>
    </w:p>
    <w:p>
      <w:r>
        <w:rPr>
          <w:b/>
        </w:rPr>
        <w:t>Documentation Requirements</w:t>
      </w:r>
      <w:r>
        <w:t>:</w:t>
      </w:r>
    </w:p>
    <w:p>
      <w:r>
        <w:t>To defend the 10% rate, NordicSeismic ASA should provide:</w:t>
      </w:r>
    </w:p>
    <w:p>
      <w:pPr>
        <w:pStyle w:val="ListNumber"/>
      </w:pPr>
      <w:r>
        <w:rPr>
          <w:b/>
        </w:rPr>
        <w:t>Functional analysis</w:t>
      </w:r>
      <w:r>
        <w:t>: Detailing R&amp;D investment, risks assumed, and value creation</w:t>
      </w:r>
    </w:p>
    <w:p>
      <w:pPr>
        <w:pStyle w:val="ListNumber"/>
      </w:pPr>
      <w:r>
        <w:rPr>
          <w:b/>
        </w:rPr>
        <w:t>Economic analysis</w:t>
      </w:r>
      <w:r>
        <w:t>: Demonstrating that NordicSeismic Inc. retains an appropriate return for routine services</w:t>
      </w:r>
    </w:p>
    <w:p>
      <w:pPr>
        <w:pStyle w:val="ListNumber"/>
      </w:pPr>
      <w:r>
        <w:rPr>
          <w:b/>
        </w:rPr>
        <w:t>Comparability adjustments</w:t>
      </w:r>
      <w:r>
        <w:t>: Explaining why third-party licenses at 3-7% are not directly comparable</w:t>
      </w:r>
    </w:p>
    <w:p>
      <w:pPr>
        <w:pStyle w:val="ListNumber"/>
      </w:pPr>
      <w:r>
        <w:rPr>
          <w:b/>
        </w:rPr>
        <w:t>Profit split analysis</w:t>
      </w:r>
      <w:r>
        <w:t>: Showing residual profit supports the royalty rate</w:t>
      </w:r>
    </w:p>
    <w:p>
      <w:pPr>
        <w:pStyle w:val="Heading3"/>
      </w:pPr>
      <w:r>
        <w:t>Calculation of Tax Impact if IRS Adjustment Sustained</w:t>
      </w:r>
    </w:p>
    <w:p>
      <w:r>
        <w:t xml:space="preserve">If the IRS </w:t>
      </w:r>
      <w:r>
        <w:rPr>
          <w:b/>
        </w:rPr>
        <w:t>successfully reduces</w:t>
      </w:r>
      <w:r>
        <w:t xml:space="preserve"> the royalty rate from 10% to 5%:</w:t>
      </w:r>
    </w:p>
    <w:p>
      <w:r>
        <w:rPr>
          <w:b/>
        </w:rPr>
        <w:t>Revised Royalty Calculation</w:t>
      </w:r>
      <w:r>
        <w:t>:</w:t>
      </w:r>
    </w:p>
    <w:p>
      <w:pPr>
        <w:shd w:fill="F0F0F0"/>
        <w:spacing w:after="0" w:line="240" w:lineRule="auto"/>
      </w:pPr>
      <w:r>
        <w:rPr>
          <w:rFonts w:ascii="Courier New" w:hAnsi="Courier New"/>
          <w:sz w:val="20"/>
        </w:rPr>
        <w:t>Revised royalty = $50,000,000 × 5% = $2,500,000</w:t>
      </w:r>
    </w:p>
    <w:p>
      <w:pPr>
        <w:shd w:fill="F0F0F0"/>
        <w:spacing w:after="0" w:line="240" w:lineRule="auto"/>
      </w:pPr>
      <w:r>
        <w:rPr>
          <w:rFonts w:ascii="Courier New" w:hAnsi="Courier New"/>
          <w:sz w:val="20"/>
        </w:rPr>
        <w:t>Royalty disallowed = $5,000,000 - $2,500,000 = $2,500,000</w:t>
      </w:r>
    </w:p>
    <w:p/>
    <w:p>
      <w:r>
        <w:rPr>
          <w:b/>
        </w:rPr>
        <w:t>U.S. Tax Impact (NordicSeismic Inc.)</w:t>
      </w:r>
      <w:r>
        <w:t>:</w:t>
      </w:r>
    </w:p>
    <w:p>
      <w:pPr>
        <w:shd w:fill="F0F0F0"/>
        <w:spacing w:after="0" w:line="240" w:lineRule="auto"/>
      </w:pPr>
      <w:r>
        <w:rPr>
          <w:rFonts w:ascii="Courier New" w:hAnsi="Courier New"/>
          <w:sz w:val="20"/>
        </w:rPr>
        <w:t>Disallowed deduction = $2,500,000</w:t>
      </w:r>
    </w:p>
    <w:p>
      <w:pPr>
        <w:shd w:fill="F0F0F0"/>
        <w:spacing w:after="0" w:line="240" w:lineRule="auto"/>
      </w:pPr>
      <w:r>
        <w:rPr>
          <w:rFonts w:ascii="Courier New" w:hAnsi="Courier New"/>
          <w:sz w:val="20"/>
        </w:rPr>
        <w:t>U.S. corporate tax rate = 21%</w:t>
      </w:r>
    </w:p>
    <w:p>
      <w:pPr>
        <w:shd w:fill="F0F0F0"/>
        <w:spacing w:after="0" w:line="240" w:lineRule="auto"/>
      </w:pPr>
      <w:r>
        <w:rPr>
          <w:rFonts w:ascii="Courier New" w:hAnsi="Courier New"/>
          <w:sz w:val="20"/>
        </w:rPr>
        <w:t>Additional U.S. tax = $2,500,000 × 21% = $525,000</w:t>
      </w:r>
    </w:p>
    <w:p/>
    <w:p>
      <w:r>
        <w:rPr>
          <w:b/>
        </w:rPr>
        <w:t>Interest and Penalties</w:t>
      </w:r>
      <w:r>
        <w:t xml:space="preserve">: If deemed negligent, additional penalties of </w:t>
      </w:r>
      <w:r>
        <w:rPr>
          <w:b/>
        </w:rPr>
        <w:t>20-40%</w:t>
      </w:r>
      <w:r>
        <w:t xml:space="preserve"> could apply, adding </w:t>
      </w:r>
      <w:r>
        <w:rPr>
          <w:b/>
        </w:rPr>
        <w:t>$105,000 - $210,000</w:t>
      </w:r>
      <w:r>
        <w:t>.</w:t>
      </w:r>
    </w:p>
    <w:p>
      <w:r>
        <w:rPr>
          <w:b/>
        </w:rPr>
        <w:t>Norwegian Tax Impact (NordicSeismic ASA)</w:t>
      </w:r>
      <w:r>
        <w:t>:</w:t>
      </w:r>
    </w:p>
    <w:p>
      <w:pPr>
        <w:shd w:fill="F0F0F0"/>
        <w:spacing w:after="0" w:line="240" w:lineRule="auto"/>
      </w:pPr>
      <w:r>
        <w:rPr>
          <w:rFonts w:ascii="Courier New" w:hAnsi="Courier New"/>
          <w:sz w:val="20"/>
        </w:rPr>
        <w:t>Reduced royalty income = $2,500,000</w:t>
      </w:r>
    </w:p>
    <w:p>
      <w:pPr>
        <w:shd w:fill="F0F0F0"/>
        <w:spacing w:after="0" w:line="240" w:lineRule="auto"/>
      </w:pPr>
      <w:r>
        <w:rPr>
          <w:rFonts w:ascii="Courier New" w:hAnsi="Courier New"/>
          <w:sz w:val="20"/>
        </w:rPr>
        <w:t>Norwegian corporate tax rate = 22%</w:t>
      </w:r>
    </w:p>
    <w:p>
      <w:pPr>
        <w:shd w:fill="F0F0F0"/>
        <w:spacing w:after="0" w:line="240" w:lineRule="auto"/>
      </w:pPr>
      <w:r>
        <w:rPr>
          <w:rFonts w:ascii="Courier New" w:hAnsi="Courier New"/>
          <w:sz w:val="20"/>
        </w:rPr>
        <w:t>Tax savings = $2,500,000 × 22% = $550,000</w:t>
      </w:r>
    </w:p>
    <w:p/>
    <w:p>
      <w:r>
        <w:rPr>
          <w:b/>
        </w:rPr>
        <w:t>Net Group Impact</w:t>
      </w:r>
      <w:r>
        <w:t>:</w:t>
      </w:r>
    </w:p>
    <w:p>
      <w:pPr>
        <w:shd w:fill="F0F0F0"/>
        <w:spacing w:after="0" w:line="240" w:lineRule="auto"/>
      </w:pPr>
      <w:r>
        <w:rPr>
          <w:rFonts w:ascii="Courier New" w:hAnsi="Courier New"/>
          <w:sz w:val="20"/>
        </w:rPr>
        <w:t>Additional U.S. tax = $525,000</w:t>
      </w:r>
    </w:p>
    <w:p>
      <w:pPr>
        <w:shd w:fill="F0F0F0"/>
        <w:spacing w:after="0" w:line="240" w:lineRule="auto"/>
      </w:pPr>
      <w:r>
        <w:rPr>
          <w:rFonts w:ascii="Courier New" w:hAnsi="Courier New"/>
          <w:sz w:val="20"/>
        </w:rPr>
        <w:t>Norwegian tax savings = $550,000</w:t>
      </w:r>
    </w:p>
    <w:p>
      <w:pPr>
        <w:shd w:fill="F0F0F0"/>
        <w:spacing w:after="0" w:line="240" w:lineRule="auto"/>
      </w:pPr>
      <w:r>
        <w:rPr>
          <w:rFonts w:ascii="Courier New" w:hAnsi="Courier New"/>
          <w:sz w:val="20"/>
        </w:rPr>
        <w:t>Net benefit = $25,000 (before penalties and interest)</w:t>
      </w:r>
    </w:p>
    <w:p/>
    <w:p>
      <w:r>
        <w:t xml:space="preserve">However, the </w:t>
      </w:r>
      <w:r>
        <w:rPr>
          <w:b/>
        </w:rPr>
        <w:t>reputational risk</w:t>
      </w:r>
      <w:r>
        <w:t xml:space="preserve">, </w:t>
      </w:r>
      <w:r>
        <w:rPr>
          <w:b/>
        </w:rPr>
        <w:t>audit costs</w:t>
      </w:r>
      <w:r>
        <w:t xml:space="preserve">, and </w:t>
      </w:r>
      <w:r>
        <w:rPr>
          <w:b/>
        </w:rPr>
        <w:t>potential penalties</w:t>
      </w:r>
      <w:r>
        <w:t xml:space="preserve"> far exceed this minimal net benefit.</w:t>
      </w:r>
    </w:p>
    <w:p>
      <w:pPr>
        <w:pStyle w:val="Heading3"/>
      </w:pPr>
      <w:r>
        <w:t>Conclusion</w:t>
      </w:r>
    </w:p>
    <w:p>
      <w:r>
        <w:t xml:space="preserve">The </w:t>
      </w:r>
      <w:r>
        <w:rPr>
          <w:b/>
        </w:rPr>
        <w:t>10% royalty rate</w:t>
      </w:r>
      <w:r>
        <w:t xml:space="preserve"> is defensible as arm's length based on:</w:t>
      </w:r>
    </w:p>
    <w:p>
      <w:pPr>
        <w:pStyle w:val="ListNumber"/>
      </w:pPr>
      <w:r>
        <w:t>Adjusted CUP analysis placing the rate within the 6-10% range</w:t>
      </w:r>
    </w:p>
    <w:p>
      <w:pPr>
        <w:pStyle w:val="ListNumber"/>
      </w:pPr>
      <w:r>
        <w:t>Profit split analysis showing NordicSeismic Inc. retains adequate routine returns</w:t>
      </w:r>
    </w:p>
    <w:p>
      <w:pPr>
        <w:pStyle w:val="ListNumber"/>
      </w:pPr>
      <w:r>
        <w:t>Economic substance of NordicSeismic ASA's IP development and ongoing support</w:t>
      </w:r>
    </w:p>
    <w:p>
      <w:r>
        <w:rPr>
          <w:b/>
        </w:rPr>
        <w:t>Recommendation</w:t>
      </w:r>
      <w:r>
        <w:t xml:space="preserve">: Maintain comprehensive transfer pricing documentation and consider obtaining an </w:t>
      </w:r>
      <w:r>
        <w:rPr>
          <w:b/>
        </w:rPr>
        <w:t>Advance Pricing Agreement (APA)</w:t>
      </w:r>
      <w:r>
        <w:t xml:space="preserve"> with both the IRS and Norwegian tax authorities to provide certainty for future years.</w:t>
      </w:r>
    </w:p>
    <w:p>
      <w:pPr>
        <w:spacing w:before="120" w:after="120"/>
        <w:pBdr>
          <w:bottom w:val="single" w:sz="6" w:space="1" w:color="auto"/>
        </w:pBdr>
      </w:pPr>
    </w:p>
    <w:p>
      <w:pPr>
        <w:pStyle w:val="Heading2"/>
      </w:pPr>
      <w:r>
        <w:t>WORKED EXAMPLE 2: IP Holding Company Structure - Cost-Benefit Analysis</w:t>
      </w:r>
    </w:p>
    <w:p>
      <w:pPr>
        <w:pStyle w:val="Heading3"/>
      </w:pPr>
      <w:r>
        <w:t>Facts</w:t>
      </w:r>
    </w:p>
    <w:p>
      <w:r>
        <w:rPr>
          <w:b/>
        </w:rPr>
        <w:t>GlobalEnergy Corp</w:t>
      </w:r>
      <w:r>
        <w:t xml:space="preserve">, a U.S.-based multinational oil company, is considering establishing an </w:t>
      </w:r>
      <w:r>
        <w:rPr>
          <w:b/>
        </w:rPr>
        <w:t>IP holding company</w:t>
      </w:r>
      <w:r>
        <w:t xml:space="preserve"> to centralize ownership of its proprietary technologies. The company has developed valuable IP including:</w:t>
      </w:r>
    </w:p>
    <w:p>
      <w:pPr>
        <w:pStyle w:val="ListBullet"/>
      </w:pPr>
      <w:r>
        <w:rPr>
          <w:b/>
        </w:rPr>
        <w:t>Enhanced oil recovery (EOR) patents</w:t>
      </w:r>
      <w:r>
        <w:t xml:space="preserve">: Valued at </w:t>
      </w:r>
      <w:r>
        <w:rPr>
          <w:b/>
        </w:rPr>
        <w:t>$200 million</w:t>
      </w:r>
    </w:p>
    <w:p>
      <w:pPr>
        <w:pStyle w:val="ListBullet"/>
      </w:pPr>
      <w:r>
        <w:rPr>
          <w:b/>
        </w:rPr>
        <w:t>Drilling optimization software</w:t>
      </w:r>
      <w:r>
        <w:t xml:space="preserve">: Valued at </w:t>
      </w:r>
      <w:r>
        <w:rPr>
          <w:b/>
        </w:rPr>
        <w:t>$50 million</w:t>
      </w:r>
    </w:p>
    <w:p>
      <w:pPr>
        <w:pStyle w:val="ListBullet"/>
      </w:pPr>
      <w:r>
        <w:rPr>
          <w:b/>
        </w:rPr>
        <w:t>Environmental compliance technologies</w:t>
      </w:r>
      <w:r>
        <w:t xml:space="preserve">: Valued at </w:t>
      </w:r>
      <w:r>
        <w:rPr>
          <w:b/>
        </w:rPr>
        <w:t>$30 million</w:t>
      </w:r>
    </w:p>
    <w:p>
      <w:r>
        <w:rPr>
          <w:b/>
        </w:rPr>
        <w:t>Current Structure</w:t>
      </w:r>
      <w:r>
        <w:t>:</w:t>
      </w:r>
    </w:p>
    <w:p>
      <w:pPr>
        <w:pStyle w:val="ListBullet"/>
      </w:pPr>
      <w:r>
        <w:t xml:space="preserve">IP currently owned by </w:t>
      </w:r>
      <w:r>
        <w:rPr>
          <w:b/>
        </w:rPr>
        <w:t>GlobalEnergy Corp (U.S.)</w:t>
      </w:r>
    </w:p>
    <w:p>
      <w:pPr>
        <w:pStyle w:val="ListBullet"/>
      </w:pPr>
      <w:r>
        <w:t xml:space="preserve">Licensed to foreign operating subsidiaries in </w:t>
      </w:r>
      <w:r>
        <w:rPr>
          <w:b/>
        </w:rPr>
        <w:t>Norway</w:t>
      </w:r>
      <w:r>
        <w:t xml:space="preserve">, </w:t>
      </w:r>
      <w:r>
        <w:rPr>
          <w:b/>
        </w:rPr>
        <w:t>Angola</w:t>
      </w:r>
      <w:r>
        <w:t xml:space="preserve">, and </w:t>
      </w:r>
      <w:r>
        <w:rPr>
          <w:b/>
        </w:rPr>
        <w:t>Brazil</w:t>
      </w:r>
    </w:p>
    <w:p>
      <w:pPr>
        <w:pStyle w:val="ListBullet"/>
      </w:pPr>
      <w:r>
        <w:t xml:space="preserve">Current royalty income: </w:t>
      </w:r>
      <w:r>
        <w:rPr>
          <w:b/>
        </w:rPr>
        <w:t>$15 million annually</w:t>
      </w:r>
    </w:p>
    <w:p>
      <w:pPr>
        <w:pStyle w:val="ListBullet"/>
      </w:pPr>
      <w:r>
        <w:t xml:space="preserve">U.S. corporate tax rate: </w:t>
      </w:r>
      <w:r>
        <w:rPr>
          <w:b/>
        </w:rPr>
        <w:t>21%</w:t>
      </w:r>
    </w:p>
    <w:p>
      <w:pPr>
        <w:pStyle w:val="ListBullet"/>
      </w:pPr>
      <w:r>
        <w:t xml:space="preserve">Foreign tax credit limitation issues: Only </w:t>
      </w:r>
      <w:r>
        <w:rPr>
          <w:b/>
        </w:rPr>
        <w:t>$2.5 million</w:t>
      </w:r>
      <w:r>
        <w:t xml:space="preserve"> of foreign taxes creditable</w:t>
      </w:r>
    </w:p>
    <w:p>
      <w:r>
        <w:rPr>
          <w:b/>
        </w:rPr>
        <w:t>Proposed Structure</w:t>
      </w:r>
      <w:r>
        <w:t>:</w:t>
      </w:r>
    </w:p>
    <w:p>
      <w:pPr>
        <w:pStyle w:val="ListBullet"/>
      </w:pPr>
      <w:r>
        <w:t xml:space="preserve">Transfer IP to </w:t>
      </w:r>
      <w:r>
        <w:rPr>
          <w:b/>
        </w:rPr>
        <w:t>GlobalEnergy IP B.V. (Netherlands)</w:t>
      </w:r>
    </w:p>
    <w:p>
      <w:pPr>
        <w:pStyle w:val="ListBullet"/>
      </w:pPr>
      <w:r>
        <w:t xml:space="preserve">Netherlands corporate tax rate: </w:t>
      </w:r>
      <w:r>
        <w:rPr>
          <w:b/>
        </w:rPr>
        <w:t>25.8%</w:t>
      </w:r>
    </w:p>
    <w:p>
      <w:pPr>
        <w:pStyle w:val="ListBullet"/>
      </w:pPr>
      <w:r>
        <w:t xml:space="preserve">Netherlands </w:t>
      </w:r>
      <w:r>
        <w:rPr>
          <w:b/>
        </w:rPr>
        <w:t>Innovation Box</w:t>
      </w:r>
      <w:r>
        <w:t xml:space="preserve"> rate: </w:t>
      </w:r>
      <w:r>
        <w:rPr>
          <w:b/>
        </w:rPr>
        <w:t>9%</w:t>
      </w:r>
      <w:r>
        <w:t xml:space="preserve"> on qualifying IP income</w:t>
      </w:r>
    </w:p>
    <w:p>
      <w:pPr>
        <w:pStyle w:val="ListBullet"/>
      </w:pPr>
      <w:r>
        <w:t>GlobalEnergy IP B.V. will license IP to operating subsidiaries</w:t>
      </w:r>
    </w:p>
    <w:p>
      <w:pPr>
        <w:pStyle w:val="ListBullet"/>
      </w:pPr>
      <w:r>
        <w:t>Royalties from operating subsidiaries subject to treaty WHT rates</w:t>
      </w:r>
    </w:p>
    <w:p>
      <w:r>
        <w:rPr>
          <w:b/>
        </w:rPr>
        <w:t>Transfer Pricing</w:t>
      </w:r>
      <w:r>
        <w:t>:</w:t>
      </w:r>
    </w:p>
    <w:p>
      <w:pPr>
        <w:pStyle w:val="ListBullet"/>
      </w:pPr>
      <w:r>
        <w:t xml:space="preserve">IP transfer valued at </w:t>
      </w:r>
      <w:r>
        <w:rPr>
          <w:b/>
        </w:rPr>
        <w:t>$280 million</w:t>
      </w:r>
      <w:r>
        <w:t xml:space="preserve"> (aggregate FMV)</w:t>
      </w:r>
    </w:p>
    <w:p>
      <w:pPr>
        <w:pStyle w:val="ListBullet"/>
      </w:pPr>
      <w:r>
        <w:t xml:space="preserve">GlobalEnergy Corp has </w:t>
      </w:r>
      <w:r>
        <w:rPr>
          <w:b/>
        </w:rPr>
        <w:t>$250 million tax basis</w:t>
      </w:r>
      <w:r>
        <w:t xml:space="preserve"> in the IP</w:t>
      </w:r>
    </w:p>
    <w:p>
      <w:pPr>
        <w:pStyle w:val="ListBullet"/>
      </w:pPr>
      <w:r>
        <w:t xml:space="preserve">Transfer structured as </w:t>
      </w:r>
      <w:r>
        <w:rPr>
          <w:b/>
        </w:rPr>
        <w:t>capital contribution</w:t>
      </w:r>
      <w:r>
        <w:t xml:space="preserve"> (no immediate cash consideration)</w:t>
      </w:r>
    </w:p>
    <w:p>
      <w:r>
        <w:rPr>
          <w:b/>
        </w:rPr>
        <w:t>Annual Projections</w:t>
      </w:r>
      <w:r>
        <w:t>:</w:t>
      </w:r>
    </w:p>
    <w:p>
      <w:pPr>
        <w:pStyle w:val="ListBullet"/>
      </w:pPr>
      <w:r>
        <w:t xml:space="preserve">Royalty income to Netherlands IP HoldCo: </w:t>
      </w:r>
      <w:r>
        <w:rPr>
          <w:b/>
        </w:rPr>
        <w:t>$15 million</w:t>
      </w:r>
    </w:p>
    <w:p>
      <w:pPr>
        <w:pStyle w:val="ListBullet"/>
      </w:pPr>
      <w:r>
        <w:t xml:space="preserve">IP HoldCo operating costs (staff, management fees): </w:t>
      </w:r>
      <w:r>
        <w:rPr>
          <w:b/>
        </w:rPr>
        <w:t>$1 million</w:t>
      </w:r>
    </w:p>
    <w:p>
      <w:pPr>
        <w:pStyle w:val="ListBullet"/>
      </w:pPr>
      <w:r>
        <w:t>WHT on inbound royalties:</w:t>
      </w:r>
    </w:p>
    <w:p>
      <w:pPr>
        <w:pStyle w:val="ListBullet"/>
        <w:ind w:left="360"/>
      </w:pPr>
      <w:r>
        <w:t xml:space="preserve">Norway: </w:t>
      </w:r>
      <w:r>
        <w:rPr>
          <w:b/>
        </w:rPr>
        <w:t>0%</w:t>
      </w:r>
      <w:r>
        <w:t xml:space="preserve"> (treaty exemption)</w:t>
      </w:r>
    </w:p>
    <w:p>
      <w:pPr>
        <w:pStyle w:val="ListBullet"/>
        <w:ind w:left="360"/>
      </w:pPr>
      <w:r>
        <w:t xml:space="preserve">Angola: </w:t>
      </w:r>
      <w:r>
        <w:rPr>
          <w:b/>
        </w:rPr>
        <w:t>10%</w:t>
      </w:r>
      <w:r>
        <w:t xml:space="preserve"> (treaty rate)</w:t>
      </w:r>
    </w:p>
    <w:p>
      <w:pPr>
        <w:pStyle w:val="ListBullet"/>
        <w:ind w:left="360"/>
      </w:pPr>
      <w:r>
        <w:t xml:space="preserve">Brazil: </w:t>
      </w:r>
      <w:r>
        <w:rPr>
          <w:b/>
        </w:rPr>
        <w:t>15%</w:t>
      </w:r>
      <w:r>
        <w:t xml:space="preserve"> (treaty rate)</w:t>
      </w:r>
    </w:p>
    <w:p>
      <w:pPr>
        <w:pStyle w:val="Heading3"/>
      </w:pPr>
      <w:r>
        <w:t>Required</w:t>
      </w:r>
    </w:p>
    <w:p>
      <w:pPr>
        <w:pStyle w:val="ListNumber"/>
      </w:pPr>
      <w:r>
        <w:t>Calculate the U.S. tax cost of transferring IP to the Netherlands</w:t>
      </w:r>
    </w:p>
    <w:p>
      <w:pPr>
        <w:pStyle w:val="ListNumber"/>
      </w:pPr>
      <w:r>
        <w:t>Compare annual after-tax income under current vs. proposed structure</w:t>
      </w:r>
    </w:p>
    <w:p>
      <w:pPr>
        <w:pStyle w:val="ListNumber"/>
      </w:pPr>
      <w:r>
        <w:t>Determine the payback period for the restructuring</w:t>
      </w:r>
    </w:p>
    <w:p>
      <w:pPr>
        <w:pStyle w:val="ListNumber"/>
      </w:pPr>
      <w:r>
        <w:t>Evaluate non-tax risks and substance requirements</w:t>
      </w:r>
    </w:p>
    <w:p>
      <w:pPr>
        <w:pStyle w:val="Heading3"/>
      </w:pPr>
      <w:r>
        <w:t>Analysis</w:t>
      </w:r>
    </w:p>
    <w:p>
      <w:r>
        <w:rPr>
          <w:b/>
        </w:rPr>
        <w:t>Step 1: U.S. Tax Cost of IP Transfer</w:t>
      </w:r>
    </w:p>
    <w:p>
      <w:r>
        <w:t xml:space="preserve">Under </w:t>
      </w:r>
      <w:r>
        <w:rPr>
          <w:b/>
        </w:rPr>
        <w:t>US Internal Revenue Code Section 367(d)</w:t>
      </w:r>
      <w:r>
        <w:t>, the outbound transfer of intangibles to a foreign corporation triggers:</w:t>
      </w:r>
    </w:p>
    <w:p>
      <w:pPr>
        <w:pStyle w:val="ListBullet"/>
      </w:pPr>
      <w:r>
        <w:rPr>
          <w:b/>
        </w:rPr>
        <w:t>Annual deemed royalty income</w:t>
      </w:r>
      <w:r>
        <w:t xml:space="preserve"> equal to arm's length royalty over the life of the IP</w:t>
      </w:r>
    </w:p>
    <w:p>
      <w:pPr>
        <w:pStyle w:val="ListBullet"/>
      </w:pPr>
      <w:r>
        <w:rPr>
          <w:b/>
        </w:rPr>
        <w:t>Immediate recognition</w:t>
      </w:r>
      <w:r>
        <w:t xml:space="preserve"> is NOT required; instead, </w:t>
      </w:r>
      <w:r>
        <w:rPr>
          <w:b/>
        </w:rPr>
        <w:t>annual inclusion</w:t>
      </w:r>
      <w:r>
        <w:t xml:space="preserve"> based on income method</w:t>
      </w:r>
    </w:p>
    <w:p>
      <w:r>
        <w:rPr>
          <w:b/>
        </w:rPr>
        <w:t>Alternative Approach: US Internal Revenue Code Section 367(d)(2)(A)(ii)(II) Election</w:t>
      </w:r>
    </w:p>
    <w:p>
      <w:r>
        <w:t xml:space="preserve">GlobalEnergy Corp can elect to recognize </w:t>
      </w:r>
      <w:r>
        <w:rPr>
          <w:b/>
        </w:rPr>
        <w:t>all gain immediately</w:t>
      </w:r>
      <w:r>
        <w:t>:</w:t>
      </w:r>
    </w:p>
    <w:p>
      <w:pPr>
        <w:shd w:fill="F0F0F0"/>
        <w:spacing w:after="0" w:line="240" w:lineRule="auto"/>
      </w:pPr>
      <w:r>
        <w:rPr>
          <w:rFonts w:ascii="Courier New" w:hAnsi="Courier New"/>
          <w:sz w:val="20"/>
        </w:rPr>
        <w:t>Fair market value of IP = $280,000,000</w:t>
      </w:r>
    </w:p>
    <w:p>
      <w:pPr>
        <w:shd w:fill="F0F0F0"/>
        <w:spacing w:after="0" w:line="240" w:lineRule="auto"/>
      </w:pPr>
      <w:r>
        <w:rPr>
          <w:rFonts w:ascii="Courier New" w:hAnsi="Courier New"/>
          <w:sz w:val="20"/>
        </w:rPr>
        <w:t>Tax basis in IP = $250,000,000</w:t>
      </w:r>
    </w:p>
    <w:p>
      <w:pPr>
        <w:shd w:fill="F0F0F0"/>
        <w:spacing w:after="0" w:line="240" w:lineRule="auto"/>
      </w:pPr>
      <w:r>
        <w:rPr>
          <w:rFonts w:ascii="Courier New" w:hAnsi="Courier New"/>
          <w:sz w:val="20"/>
        </w:rPr>
        <w:t>Gain on transfer = $30,000,000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U.S. corporate tax rate = 21%</w:t>
      </w:r>
    </w:p>
    <w:p>
      <w:pPr>
        <w:shd w:fill="F0F0F0"/>
        <w:spacing w:after="0" w:line="240" w:lineRule="auto"/>
      </w:pPr>
      <w:r>
        <w:rPr>
          <w:rFonts w:ascii="Courier New" w:hAnsi="Courier New"/>
          <w:sz w:val="20"/>
        </w:rPr>
        <w:t>Immediate U.S. tax = $30,000,000 × 21% = $6,300,000</w:t>
      </w:r>
    </w:p>
    <w:p/>
    <w:p>
      <w:r>
        <w:rPr>
          <w:b/>
        </w:rPr>
        <w:t>Without election</w:t>
      </w:r>
      <w:r>
        <w:t xml:space="preserve">, GlobalEnergy Corp must recognize annual deemed royalty income. Assuming </w:t>
      </w:r>
      <w:r>
        <w:rPr>
          <w:b/>
        </w:rPr>
        <w:t>arm's length royalty rate of 5%</w:t>
      </w:r>
      <w:r>
        <w:t>:</w:t>
      </w:r>
    </w:p>
    <w:p>
      <w:pPr>
        <w:shd w:fill="F0F0F0"/>
        <w:spacing w:after="0" w:line="240" w:lineRule="auto"/>
      </w:pPr>
      <w:r>
        <w:rPr>
          <w:rFonts w:ascii="Courier New" w:hAnsi="Courier New"/>
          <w:sz w:val="20"/>
        </w:rPr>
        <w:t>Annual deemed royalty = $280,000,000 × 5% = $14,000,000 per year</w:t>
      </w:r>
    </w:p>
    <w:p>
      <w:pPr>
        <w:shd w:fill="F0F0F0"/>
        <w:spacing w:after="0" w:line="240" w:lineRule="auto"/>
      </w:pPr>
      <w:r>
        <w:rPr>
          <w:rFonts w:ascii="Courier New" w:hAnsi="Courier New"/>
          <w:sz w:val="20"/>
        </w:rPr>
        <w:t>Annual U.S. tax = $14,000,000 × 21% = $2,940,000 per year (for life of IP, approximately 10 years)</w:t>
      </w:r>
    </w:p>
    <w:p>
      <w:pPr>
        <w:shd w:fill="F0F0F0"/>
        <w:spacing w:after="0" w:line="240" w:lineRule="auto"/>
      </w:pPr>
      <w:r>
        <w:rPr>
          <w:rFonts w:ascii="Courier New" w:hAnsi="Courier New"/>
          <w:sz w:val="20"/>
        </w:rPr>
        <w:t>Total U.S. tax over 10 years = $2,940,000 × 10 = $29,400,000</w:t>
      </w:r>
    </w:p>
    <w:p/>
    <w:p>
      <w:r>
        <w:rPr>
          <w:b/>
        </w:rPr>
        <w:t>Decision</w:t>
      </w:r>
      <w:r>
        <w:t xml:space="preserve">: Elect immediate recognition to pay </w:t>
      </w:r>
      <w:r>
        <w:rPr>
          <w:b/>
        </w:rPr>
        <w:t>$6.3 million</w:t>
      </w:r>
      <w:r>
        <w:t xml:space="preserve"> upfront rather than </w:t>
      </w:r>
      <w:r>
        <w:rPr>
          <w:b/>
        </w:rPr>
        <w:t>$29.4 million</w:t>
      </w:r>
      <w:r>
        <w:t xml:space="preserve"> over 10 years.</w:t>
      </w:r>
    </w:p>
    <w:p>
      <w:r>
        <w:rPr>
          <w:b/>
        </w:rPr>
        <w:t>Step 2: Annual After-Tax Income Comparison</w:t>
      </w:r>
    </w:p>
    <w:p>
      <w:pPr>
        <w:pStyle w:val="Heading4"/>
      </w:pPr>
      <w:r>
        <w:t>Current Structure (IP owned by U.S. parent)</w:t>
      </w:r>
    </w:p>
    <w:p>
      <w:pPr>
        <w:shd w:fill="F0F0F0"/>
        <w:spacing w:after="0" w:line="240" w:lineRule="auto"/>
      </w:pPr>
      <w:r>
        <w:rPr>
          <w:rFonts w:ascii="Courier New" w:hAnsi="Courier New"/>
          <w:sz w:val="20"/>
        </w:rPr>
        <w:t>Royalty income = $15,000,000</w:t>
      </w:r>
    </w:p>
    <w:p>
      <w:pPr>
        <w:shd w:fill="F0F0F0"/>
        <w:spacing w:after="0" w:line="240" w:lineRule="auto"/>
      </w:pPr>
      <w:r>
        <w:rPr>
          <w:rFonts w:ascii="Courier New" w:hAnsi="Courier New"/>
          <w:sz w:val="20"/>
        </w:rPr>
        <w:t>U.S. corporate tax at 21% = ($3,150,000)</w:t>
      </w:r>
    </w:p>
    <w:p>
      <w:pPr>
        <w:shd w:fill="F0F0F0"/>
        <w:spacing w:after="0" w:line="240" w:lineRule="auto"/>
      </w:pPr>
      <w:r>
        <w:rPr>
          <w:rFonts w:ascii="Courier New" w:hAnsi="Courier New"/>
          <w:sz w:val="20"/>
        </w:rPr>
        <w:t>Foreign tax credits (limited) = $2,500,000</w:t>
      </w:r>
    </w:p>
    <w:p>
      <w:pPr>
        <w:shd w:fill="F0F0F0"/>
        <w:spacing w:after="0" w:line="240" w:lineRule="auto"/>
      </w:pPr>
      <w:r>
        <w:rPr>
          <w:rFonts w:ascii="Courier New" w:hAnsi="Courier New"/>
          <w:sz w:val="20"/>
        </w:rPr>
        <w:t>Net U.S. tax = ($650,000)</w:t>
      </w:r>
    </w:p>
    <w:p>
      <w:pPr>
        <w:shd w:fill="F0F0F0"/>
        <w:spacing w:after="0" w:line="240" w:lineRule="auto"/>
      </w:pPr>
      <w:r>
        <w:rPr>
          <w:rFonts w:ascii="Courier New" w:hAnsi="Courier New"/>
          <w:sz w:val="20"/>
        </w:rPr>
        <w:t>After-tax income = $14,350,000</w:t>
      </w:r>
    </w:p>
    <w:p/>
    <w:p>
      <w:pPr>
        <w:pStyle w:val="Heading4"/>
      </w:pPr>
      <w:r>
        <w:t>Proposed Structure (IP owned by Netherlands IP HoldCo)</w:t>
      </w:r>
    </w:p>
    <w:p>
      <w:r>
        <w:rPr>
          <w:b/>
        </w:rPr>
        <w:t>Netherlands IP HoldCo Income</w:t>
      </w:r>
      <w:r>
        <w:t>:</w:t>
      </w:r>
    </w:p>
    <w:p>
      <w:pPr>
        <w:shd w:fill="F0F0F0"/>
        <w:spacing w:after="0" w:line="240" w:lineRule="auto"/>
      </w:pPr>
      <w:r>
        <w:rPr>
          <w:rFonts w:ascii="Courier New" w:hAnsi="Courier New"/>
          <w:sz w:val="20"/>
        </w:rPr>
        <w:t>Royalty income from operating subsidiaries = $15,000,000</w:t>
      </w:r>
    </w:p>
    <w:p>
      <w:pPr>
        <w:shd w:fill="F0F0F0"/>
        <w:spacing w:after="0" w:line="240" w:lineRule="auto"/>
      </w:pPr>
      <w:r>
        <w:rPr>
          <w:rFonts w:ascii="Courier New" w:hAnsi="Courier New"/>
          <w:sz w:val="20"/>
        </w:rPr>
        <w:t>Less: WHT on inbound royalties:</w:t>
      </w:r>
    </w:p>
    <w:p>
      <w:pPr>
        <w:shd w:fill="F0F0F0"/>
        <w:spacing w:after="0" w:line="240" w:lineRule="auto"/>
      </w:pPr>
      <w:r>
        <w:rPr>
          <w:rFonts w:ascii="Courier New" w:hAnsi="Courier New"/>
          <w:sz w:val="20"/>
        </w:rPr>
        <w:t xml:space="preserve">  - Norway: $5M × 0% = $0</w:t>
      </w:r>
    </w:p>
    <w:p>
      <w:pPr>
        <w:shd w:fill="F0F0F0"/>
        <w:spacing w:after="0" w:line="240" w:lineRule="auto"/>
      </w:pPr>
      <w:r>
        <w:rPr>
          <w:rFonts w:ascii="Courier New" w:hAnsi="Courier New"/>
          <w:sz w:val="20"/>
        </w:rPr>
        <w:t xml:space="preserve">  - Angola: $5M × 10% = ($500,000)</w:t>
      </w:r>
    </w:p>
    <w:p>
      <w:pPr>
        <w:shd w:fill="F0F0F0"/>
        <w:spacing w:after="0" w:line="240" w:lineRule="auto"/>
      </w:pPr>
      <w:r>
        <w:rPr>
          <w:rFonts w:ascii="Courier New" w:hAnsi="Courier New"/>
          <w:sz w:val="20"/>
        </w:rPr>
        <w:t xml:space="preserve">  - Brazil: $5M × 15% = ($750,000)</w:t>
      </w:r>
    </w:p>
    <w:p>
      <w:pPr>
        <w:shd w:fill="F0F0F0"/>
        <w:spacing w:after="0" w:line="240" w:lineRule="auto"/>
      </w:pPr>
      <w:r>
        <w:rPr>
          <w:rFonts w:ascii="Courier New" w:hAnsi="Courier New"/>
          <w:sz w:val="20"/>
        </w:rPr>
        <w:t>Net royalty income = $13,750,000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Operating costs = ($1,000,000)</w:t>
      </w:r>
    </w:p>
    <w:p>
      <w:pPr>
        <w:shd w:fill="F0F0F0"/>
        <w:spacing w:after="0" w:line="240" w:lineRule="auto"/>
      </w:pPr>
      <w:r>
        <w:rPr>
          <w:rFonts w:ascii="Courier New" w:hAnsi="Courier New"/>
          <w:sz w:val="20"/>
        </w:rPr>
        <w:t>Taxable income = $12,750,000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Netherlands Innovation Box tax at 9% = ($1,147,500)</w:t>
      </w:r>
    </w:p>
    <w:p>
      <w:pPr>
        <w:shd w:fill="F0F0F0"/>
        <w:spacing w:after="0" w:line="240" w:lineRule="auto"/>
      </w:pPr>
      <w:r>
        <w:rPr>
          <w:rFonts w:ascii="Courier New" w:hAnsi="Courier New"/>
          <w:sz w:val="20"/>
        </w:rPr>
        <w:t>After-tax income = $11,602,500</w:t>
      </w:r>
    </w:p>
    <w:p/>
    <w:p>
      <w:r>
        <w:rPr>
          <w:b/>
        </w:rPr>
        <w:t>U.S. Parent Dividend Withholding Tax (when repatriated)</w:t>
      </w:r>
      <w:r>
        <w:t>:</w:t>
      </w:r>
    </w:p>
    <w:p>
      <w:r>
        <w:t xml:space="preserve">Netherlands-to-U.S. dividend WHT: </w:t>
      </w:r>
      <w:r>
        <w:rPr>
          <w:b/>
        </w:rPr>
        <w:t>0%</w:t>
      </w:r>
      <w:r>
        <w:t xml:space="preserve"> (under U.S.-Netherlands treaty for 10%+ ownership)</w:t>
      </w:r>
    </w:p>
    <w:p>
      <w:r>
        <w:rPr>
          <w:b/>
        </w:rPr>
        <w:t>U.S. Internal Revenue Code Section 951A GILTI Inclusion</w:t>
      </w:r>
      <w:r>
        <w:t>:</w:t>
      </w:r>
    </w:p>
    <w:p>
      <w:r>
        <w:t xml:space="preserve">GlobalEnergy IP B.V. is a </w:t>
      </w:r>
      <w:r>
        <w:rPr>
          <w:b/>
        </w:rPr>
        <w:t>Controlled Foreign Corporation (CFC)</w:t>
      </w:r>
      <w:r>
        <w:t xml:space="preserve">. The U.S. parent must include </w:t>
      </w:r>
      <w:r>
        <w:rPr>
          <w:b/>
        </w:rPr>
        <w:t>GILTI (Global Intangible Low-Taxed Income)</w:t>
      </w:r>
      <w:r>
        <w:t>:</w:t>
      </w:r>
    </w:p>
    <w:p>
      <w:pPr>
        <w:shd w:fill="F0F0F0"/>
        <w:spacing w:after="0" w:line="240" w:lineRule="auto"/>
      </w:pPr>
      <w:r>
        <w:rPr>
          <w:rFonts w:ascii="Courier New" w:hAnsi="Courier New"/>
          <w:sz w:val="20"/>
        </w:rPr>
        <w:t>CFC net income = $11,602,500</w:t>
      </w:r>
    </w:p>
    <w:p>
      <w:pPr>
        <w:shd w:fill="F0F0F0"/>
        <w:spacing w:after="0" w:line="240" w:lineRule="auto"/>
      </w:pPr>
      <w:r>
        <w:rPr>
          <w:rFonts w:ascii="Courier New" w:hAnsi="Courier New"/>
          <w:sz w:val="20"/>
        </w:rPr>
        <w:t>Less: QBAI deduction (10% of tangible assets, assumed minimal) = $0</w:t>
      </w:r>
    </w:p>
    <w:p>
      <w:pPr>
        <w:shd w:fill="F0F0F0"/>
        <w:spacing w:after="0" w:line="240" w:lineRule="auto"/>
      </w:pPr>
      <w:r>
        <w:rPr>
          <w:rFonts w:ascii="Courier New" w:hAnsi="Courier New"/>
          <w:sz w:val="20"/>
        </w:rPr>
        <w:t>GILTI inclusion = $11,602,500 × 50% = $5,801,250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GILTI tax at 21% = $1,218,262</w:t>
      </w:r>
    </w:p>
    <w:p>
      <w:pPr>
        <w:shd w:fill="F0F0F0"/>
        <w:spacing w:after="0" w:line="240" w:lineRule="auto"/>
      </w:pPr>
      <w:r>
        <w:rPr>
          <w:rFonts w:ascii="Courier New" w:hAnsi="Courier New"/>
          <w:sz w:val="20"/>
        </w:rPr>
        <w:t>Foreign tax credit (80% of foreign taxes paid):</w:t>
      </w:r>
    </w:p>
    <w:p>
      <w:pPr>
        <w:shd w:fill="F0F0F0"/>
        <w:spacing w:after="0" w:line="240" w:lineRule="auto"/>
      </w:pPr>
      <w:r>
        <w:rPr>
          <w:rFonts w:ascii="Courier New" w:hAnsi="Courier New"/>
          <w:sz w:val="20"/>
        </w:rPr>
        <w:t xml:space="preserve">  Netherlands tax = $1,147,500 × 80% = $918,000</w:t>
      </w:r>
    </w:p>
    <w:p>
      <w:pPr>
        <w:shd w:fill="F0F0F0"/>
        <w:spacing w:after="0" w:line="240" w:lineRule="auto"/>
      </w:pPr>
      <w:r>
        <w:rPr>
          <w:rFonts w:ascii="Courier New" w:hAnsi="Courier New"/>
          <w:sz w:val="20"/>
        </w:rPr>
        <w:t>Net GILTI tax = $1,218,262 - $918,000 = $300,262</w:t>
      </w:r>
    </w:p>
    <w:p/>
    <w:p>
      <w:r>
        <w:rPr>
          <w:b/>
        </w:rPr>
        <w:t>Total Annual After-Tax Income</w:t>
      </w:r>
      <w:r>
        <w:t>:</w:t>
      </w:r>
    </w:p>
    <w:p>
      <w:pPr>
        <w:shd w:fill="F0F0F0"/>
        <w:spacing w:after="0" w:line="240" w:lineRule="auto"/>
      </w:pPr>
      <w:r>
        <w:rPr>
          <w:rFonts w:ascii="Courier New" w:hAnsi="Courier New"/>
          <w:sz w:val="20"/>
        </w:rPr>
        <w:t>Netherlands after-tax income = $11,602,500</w:t>
      </w:r>
    </w:p>
    <w:p>
      <w:pPr>
        <w:shd w:fill="F0F0F0"/>
        <w:spacing w:after="0" w:line="240" w:lineRule="auto"/>
      </w:pPr>
      <w:r>
        <w:rPr>
          <w:rFonts w:ascii="Courier New" w:hAnsi="Courier New"/>
          <w:sz w:val="20"/>
        </w:rPr>
        <w:t>Less: GILTI tax in U.S. = ($300,262)</w:t>
      </w:r>
    </w:p>
    <w:p>
      <w:pPr>
        <w:shd w:fill="F0F0F0"/>
        <w:spacing w:after="0" w:line="240" w:lineRule="auto"/>
      </w:pPr>
      <w:r>
        <w:rPr>
          <w:rFonts w:ascii="Courier New" w:hAnsi="Courier New"/>
          <w:sz w:val="20"/>
        </w:rPr>
        <w:t>Net annual after-tax income = $11,302,238</w:t>
      </w:r>
    </w:p>
    <w:p/>
    <w:p>
      <w:r>
        <w:rPr>
          <w:b/>
        </w:rPr>
        <w:t>Annual Tax Savings</w:t>
      </w:r>
      <w:r>
        <w:t>:</w:t>
      </w:r>
    </w:p>
    <w:p>
      <w:pPr>
        <w:shd w:fill="F0F0F0"/>
        <w:spacing w:after="0" w:line="240" w:lineRule="auto"/>
      </w:pPr>
      <w:r>
        <w:rPr>
          <w:rFonts w:ascii="Courier New" w:hAnsi="Courier New"/>
          <w:sz w:val="20"/>
        </w:rPr>
        <w:t>Current structure after-tax = $14,350,000</w:t>
      </w:r>
    </w:p>
    <w:p>
      <w:pPr>
        <w:shd w:fill="F0F0F0"/>
        <w:spacing w:after="0" w:line="240" w:lineRule="auto"/>
      </w:pPr>
      <w:r>
        <w:rPr>
          <w:rFonts w:ascii="Courier New" w:hAnsi="Courier New"/>
          <w:sz w:val="20"/>
        </w:rPr>
        <w:t>Proposed structure after-tax = $11,302,238</w:t>
      </w:r>
    </w:p>
    <w:p>
      <w:pPr>
        <w:shd w:fill="F0F0F0"/>
        <w:spacing w:after="0" w:line="240" w:lineRule="auto"/>
      </w:pPr>
      <w:r>
        <w:rPr>
          <w:rFonts w:ascii="Courier New" w:hAnsi="Courier New"/>
          <w:sz w:val="20"/>
        </w:rPr>
        <w:t>Annual tax cost = ($3,047,762)</w:t>
      </w:r>
    </w:p>
    <w:p/>
    <w:p>
      <w:r>
        <w:rPr>
          <w:b/>
        </w:rPr>
        <w:t>Step 3: Analysis of Results</w:t>
      </w:r>
    </w:p>
    <w:p>
      <w:r>
        <w:t xml:space="preserve">The proposed IP holding company structure </w:t>
      </w:r>
      <w:r>
        <w:rPr>
          <w:b/>
        </w:rPr>
        <w:t>increases</w:t>
      </w:r>
      <w:r>
        <w:t xml:space="preserve"> annual tax cost by </w:t>
      </w:r>
      <w:r>
        <w:rPr>
          <w:b/>
        </w:rPr>
        <w:t>$3.05 million</w:t>
      </w:r>
      <w:r>
        <w:t xml:space="preserve"> compared to the current structure.</w:t>
      </w:r>
    </w:p>
    <w:p>
      <w:r>
        <w:rPr>
          <w:b/>
        </w:rPr>
        <w:t>Reasons for Higher Tax Cost</w:t>
      </w:r>
      <w:r>
        <w:t>:</w:t>
      </w:r>
    </w:p>
    <w:p>
      <w:pPr>
        <w:pStyle w:val="ListNumber"/>
      </w:pPr>
      <w:r>
        <w:rPr>
          <w:b/>
        </w:rPr>
        <w:t>Withholding taxes</w:t>
      </w:r>
      <w:r>
        <w:t xml:space="preserve">: Angola (10%) and Brazil (15%) WHT on royalties reduces net income to IP HoldCo by </w:t>
      </w:r>
      <w:r>
        <w:rPr>
          <w:b/>
        </w:rPr>
        <w:t>$1.25 million annually</w:t>
      </w:r>
    </w:p>
    <w:p>
      <w:pPr>
        <w:pStyle w:val="ListNumber"/>
      </w:pPr>
      <w:r>
        <w:rPr>
          <w:b/>
        </w:rPr>
        <w:t>GILTI inclusion</w:t>
      </w:r>
      <w:r>
        <w:t xml:space="preserve">: U.S. parent pays additional U.S. tax of </w:t>
      </w:r>
      <w:r>
        <w:rPr>
          <w:b/>
        </w:rPr>
        <w:t>$300,262</w:t>
      </w:r>
      <w:r>
        <w:t xml:space="preserve"> on low-taxed foreign income</w:t>
      </w:r>
    </w:p>
    <w:p>
      <w:pPr>
        <w:pStyle w:val="ListNumber"/>
      </w:pPr>
      <w:r>
        <w:rPr>
          <w:b/>
        </w:rPr>
        <w:t>Operating costs</w:t>
      </w:r>
      <w:r>
        <w:t xml:space="preserve">: IP HoldCo incurs </w:t>
      </w:r>
      <w:r>
        <w:rPr>
          <w:b/>
        </w:rPr>
        <w:t>$1 million</w:t>
      </w:r>
      <w:r>
        <w:t xml:space="preserve"> in annual costs for substance requirements</w:t>
      </w:r>
    </w:p>
    <w:p>
      <w:r>
        <w:rPr>
          <w:b/>
        </w:rPr>
        <w:t>Conclusion</w:t>
      </w:r>
      <w:r>
        <w:t xml:space="preserve">: The IP holding company structure is </w:t>
      </w:r>
      <w:r>
        <w:rPr>
          <w:b/>
        </w:rPr>
        <w:t>not economically beneficial</w:t>
      </w:r>
      <w:r>
        <w:t xml:space="preserve"> under current facts.</w:t>
      </w:r>
    </w:p>
    <w:p>
      <w:r>
        <w:rPr>
          <w:b/>
        </w:rPr>
        <w:t>Step 4: Payback Period</w:t>
      </w:r>
    </w:p>
    <w:p>
      <w:r>
        <w:t xml:space="preserve">Given that the proposed structure </w:t>
      </w:r>
      <w:r>
        <w:rPr>
          <w:b/>
        </w:rPr>
        <w:t>increases</w:t>
      </w:r>
      <w:r>
        <w:t xml:space="preserve"> annual taxes rather than reducing them:</w:t>
      </w:r>
    </w:p>
    <w:p>
      <w:pPr>
        <w:shd w:fill="F0F0F0"/>
        <w:spacing w:after="0" w:line="240" w:lineRule="auto"/>
      </w:pPr>
      <w:r>
        <w:rPr>
          <w:rFonts w:ascii="Courier New" w:hAnsi="Courier New"/>
          <w:sz w:val="20"/>
        </w:rPr>
        <w:t>Upfront transfer cost = $6,300,000</w:t>
      </w:r>
    </w:p>
    <w:p>
      <w:pPr>
        <w:shd w:fill="F0F0F0"/>
        <w:spacing w:after="0" w:line="240" w:lineRule="auto"/>
      </w:pPr>
      <w:r>
        <w:rPr>
          <w:rFonts w:ascii="Courier New" w:hAnsi="Courier New"/>
          <w:sz w:val="20"/>
        </w:rPr>
        <w:t>Annual incremental tax cost = $3,047,762</w:t>
      </w:r>
    </w:p>
    <w:p>
      <w:pPr>
        <w:shd w:fill="F0F0F0"/>
        <w:spacing w:after="0" w:line="240" w:lineRule="auto"/>
      </w:pPr>
      <w:r>
        <w:rPr>
          <w:rFonts w:ascii="Courier New" w:hAnsi="Courier New"/>
          <w:sz w:val="20"/>
        </w:rPr>
        <w:t>There is NO payback - the structure is economically disadvantageous</w:t>
      </w:r>
    </w:p>
    <w:p/>
    <w:p>
      <w:r>
        <w:rPr>
          <w:b/>
        </w:rPr>
        <w:t>Step 5: Non-Tax Considerations and Substance Requirements</w:t>
      </w:r>
    </w:p>
    <w:p>
      <w:r>
        <w:t xml:space="preserve">Even if the tax benefits were positive, GlobalEnergy Corp must ensure the Netherlands IP HoldCo has </w:t>
      </w:r>
      <w:r>
        <w:rPr>
          <w:b/>
        </w:rPr>
        <w:t>sufficient substance</w:t>
      </w:r>
      <w:r>
        <w:t>:</w:t>
      </w:r>
    </w:p>
    <w:p>
      <w:r>
        <w:rPr>
          <w:b/>
        </w:rPr>
        <w:t>Substance Requirements</w:t>
      </w:r>
      <w:r>
        <w:t>:</w:t>
      </w:r>
    </w:p>
    <w:p>
      <w:pPr>
        <w:pStyle w:val="ListNumber"/>
      </w:pPr>
      <w:r>
        <w:rPr>
          <w:b/>
        </w:rPr>
        <w:t>Qualified employees</w:t>
      </w:r>
      <w:r>
        <w:t>: At least 2-3 employees with IP management expertise</w:t>
      </w:r>
    </w:p>
    <w:p>
      <w:pPr>
        <w:pStyle w:val="ListNumber"/>
      </w:pPr>
      <w:r>
        <w:rPr>
          <w:b/>
        </w:rPr>
        <w:t>Office space</w:t>
      </w:r>
      <w:r>
        <w:t>: Physical presence in the Netherlands</w:t>
      </w:r>
    </w:p>
    <w:p>
      <w:pPr>
        <w:pStyle w:val="ListNumber"/>
      </w:pPr>
      <w:r>
        <w:rPr>
          <w:b/>
        </w:rPr>
        <w:t>Active management</w:t>
      </w:r>
      <w:r>
        <w:t>: Board meetings, strategic IP decisions made in Netherlands</w:t>
      </w:r>
    </w:p>
    <w:p>
      <w:pPr>
        <w:pStyle w:val="ListNumber"/>
      </w:pPr>
      <w:r>
        <w:rPr>
          <w:b/>
        </w:rPr>
        <w:t>Real economic activity</w:t>
      </w:r>
      <w:r>
        <w:t>: Monitoring IP portfolio, negotiating licenses, enforcing rights</w:t>
      </w:r>
    </w:p>
    <w:p>
      <w:pPr>
        <w:pStyle w:val="ListNumber"/>
      </w:pPr>
      <w:r>
        <w:rPr>
          <w:b/>
        </w:rPr>
        <w:t>Adequate capitalization</w:t>
      </w:r>
      <w:r>
        <w:t>: Sufficient equity to support IP ownership</w:t>
      </w:r>
    </w:p>
    <w:p>
      <w:r>
        <w:rPr>
          <w:b/>
        </w:rPr>
        <w:t>Estimated Annual Costs for Substance</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Annual Cost</w:t>
            </w:r>
          </w:p>
        </w:tc>
      </w:tr>
      <w:tr>
        <w:tc>
          <w:tcPr>
            <w:tcW w:type="dxa" w:w="4320"/>
          </w:tcPr>
          <w:p>
            <w:r/>
            <w:r>
              <w:t>Employee salaries (2 FTEs)</w:t>
            </w:r>
          </w:p>
        </w:tc>
        <w:tc>
          <w:tcPr>
            <w:tcW w:type="dxa" w:w="4320"/>
          </w:tcPr>
          <w:p>
            <w:r/>
            <w:r>
              <w:t>$300,000</w:t>
            </w:r>
          </w:p>
        </w:tc>
      </w:tr>
      <w:tr>
        <w:tc>
          <w:tcPr>
            <w:tcW w:type="dxa" w:w="4320"/>
          </w:tcPr>
          <w:p>
            <w:r/>
            <w:r>
              <w:t>Office rent and utilities</w:t>
            </w:r>
          </w:p>
        </w:tc>
        <w:tc>
          <w:tcPr>
            <w:tcW w:type="dxa" w:w="4320"/>
          </w:tcPr>
          <w:p>
            <w:r/>
            <w:r>
              <w:t>$100,000</w:t>
            </w:r>
          </w:p>
        </w:tc>
      </w:tr>
      <w:tr>
        <w:tc>
          <w:tcPr>
            <w:tcW w:type="dxa" w:w="4320"/>
          </w:tcPr>
          <w:p>
            <w:r/>
            <w:r>
              <w:t>Professional fees (legal, tax, accounting)</w:t>
            </w:r>
          </w:p>
        </w:tc>
        <w:tc>
          <w:tcPr>
            <w:tcW w:type="dxa" w:w="4320"/>
          </w:tcPr>
          <w:p>
            <w:r/>
            <w:r>
              <w:t>$200,000</w:t>
            </w:r>
          </w:p>
        </w:tc>
      </w:tr>
      <w:tr>
        <w:tc>
          <w:tcPr>
            <w:tcW w:type="dxa" w:w="4320"/>
          </w:tcPr>
          <w:p>
            <w:r/>
            <w:r>
              <w:t>Board and management fees</w:t>
            </w:r>
          </w:p>
        </w:tc>
        <w:tc>
          <w:tcPr>
            <w:tcW w:type="dxa" w:w="4320"/>
          </w:tcPr>
          <w:p>
            <w:r/>
            <w:r>
              <w:t>$150,000</w:t>
            </w:r>
          </w:p>
        </w:tc>
      </w:tr>
      <w:tr>
        <w:tc>
          <w:tcPr>
            <w:tcW w:type="dxa" w:w="4320"/>
          </w:tcPr>
          <w:p>
            <w:r/>
            <w:r>
              <w:t>IT and administrative</w:t>
            </w:r>
          </w:p>
        </w:tc>
        <w:tc>
          <w:tcPr>
            <w:tcW w:type="dxa" w:w="4320"/>
          </w:tcPr>
          <w:p>
            <w:r/>
            <w:r>
              <w:t>$100,000</w:t>
            </w:r>
          </w:p>
        </w:tc>
      </w:tr>
      <w:tr>
        <w:tc>
          <w:tcPr>
            <w:tcW w:type="dxa" w:w="4320"/>
          </w:tcPr>
          <w:p>
            <w:r/>
            <w:r>
              <w:rPr>
                <w:b/>
              </w:rPr>
              <w:t>Total substance costs</w:t>
            </w:r>
          </w:p>
        </w:tc>
        <w:tc>
          <w:tcPr>
            <w:tcW w:type="dxa" w:w="4320"/>
          </w:tcPr>
          <w:p>
            <w:r/>
            <w:r>
              <w:rPr>
                <w:b/>
              </w:rPr>
              <w:t>$850,000</w:t>
            </w:r>
          </w:p>
        </w:tc>
      </w:tr>
    </w:tbl>
    <w:p/>
    <w:p>
      <w:r>
        <w:rPr>
          <w:b/>
        </w:rPr>
        <w:t>Additional Risk</w:t>
      </w:r>
      <w:r>
        <w:t xml:space="preserve">: </w:t>
      </w:r>
      <w:r>
        <w:rPr>
          <w:b/>
        </w:rPr>
        <w:t>OECD BEPS Actions</w:t>
      </w:r>
      <w:r>
        <w:t xml:space="preserve"> and </w:t>
      </w:r>
      <w:r>
        <w:rPr>
          <w:b/>
        </w:rPr>
        <w:t>Pillar Two</w:t>
      </w:r>
      <w:r>
        <w:t xml:space="preserve"> may further erode benefits of IP holding structures.</w:t>
      </w:r>
    </w:p>
    <w:p>
      <w:pPr>
        <w:pStyle w:val="Heading3"/>
      </w:pPr>
      <w:r>
        <w:t>Recommendation</w:t>
      </w:r>
    </w:p>
    <w:p>
      <w:r>
        <w:rPr>
          <w:b/>
        </w:rPr>
        <w:t>Do NOT proceed</w:t>
      </w:r>
      <w:r>
        <w:t xml:space="preserve"> with the IP holding company structure under current facts because:</w:t>
      </w:r>
    </w:p>
    <w:p>
      <w:pPr>
        <w:pStyle w:val="ListNumber"/>
      </w:pPr>
      <w:r>
        <w:rPr>
          <w:b/>
        </w:rPr>
        <w:t>Immediate cost</w:t>
      </w:r>
      <w:r>
        <w:t>: $6.3 million upfront U.S. tax on IP transfer</w:t>
      </w:r>
    </w:p>
    <w:p>
      <w:pPr>
        <w:pStyle w:val="ListNumber"/>
      </w:pPr>
      <w:r>
        <w:rPr>
          <w:b/>
        </w:rPr>
        <w:t>Ongoing cost</w:t>
      </w:r>
      <w:r>
        <w:t>: $3.05 million additional annual tax burden</w:t>
      </w:r>
    </w:p>
    <w:p>
      <w:pPr>
        <w:pStyle w:val="ListNumber"/>
      </w:pPr>
      <w:r>
        <w:rPr>
          <w:b/>
        </w:rPr>
        <w:t>Substance requirements</w:t>
      </w:r>
      <w:r>
        <w:t>: $850,000 annual costs for compliance</w:t>
      </w:r>
    </w:p>
    <w:p>
      <w:pPr>
        <w:pStyle w:val="ListNumber"/>
      </w:pPr>
      <w:r>
        <w:rPr>
          <w:b/>
        </w:rPr>
        <w:t>Regulatory risk</w:t>
      </w:r>
      <w:r>
        <w:t>: Increasing scrutiny of IP structures under BEPS and Pillar Two</w:t>
      </w:r>
    </w:p>
    <w:p>
      <w:r>
        <w:rPr>
          <w:b/>
        </w:rPr>
        <w:t>Alternative Approaches</w:t>
      </w:r>
      <w:r>
        <w:t>:</w:t>
      </w:r>
    </w:p>
    <w:p>
      <w:pPr>
        <w:pStyle w:val="ListNumber"/>
      </w:pPr>
      <w:r>
        <w:rPr>
          <w:b/>
        </w:rPr>
        <w:t>Maintain current structure</w:t>
      </w:r>
      <w:r>
        <w:t xml:space="preserve"> with optimized royalty rates and foreign tax credit planning</w:t>
      </w:r>
    </w:p>
    <w:p>
      <w:pPr>
        <w:pStyle w:val="ListNumber"/>
      </w:pPr>
      <w:r>
        <w:rPr>
          <w:b/>
        </w:rPr>
        <w:t>Evaluate cost-sharing arrangement</w:t>
      </w:r>
      <w:r>
        <w:t xml:space="preserve"> where foreign subsidiaries contribute to IP development and share ownership</w:t>
      </w:r>
    </w:p>
    <w:p>
      <w:pPr>
        <w:pStyle w:val="ListNumber"/>
      </w:pPr>
      <w:r>
        <w:rPr>
          <w:b/>
        </w:rPr>
        <w:t>Consider operational restructuring</w:t>
      </w:r>
      <w:r>
        <w:t xml:space="preserve"> (e.g., contract R&amp;D arrangements) rather than IP migration</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