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Royalties</w:t>
      </w:r>
    </w:p>
    <w:p>
      <w:pPr>
        <w:pStyle w:val="Heading1"/>
      </w:pPr>
      <w:r>
        <w:t>36. Royalties</w:t>
      </w:r>
    </w:p>
    <w:p>
      <w:pPr>
        <w:pStyle w:val="Heading2"/>
      </w:pPr>
      <w:r>
        <w:t>Introduction</w:t>
      </w:r>
    </w:p>
    <w:p>
      <w:r>
        <w:t xml:space="preserve">Royalties represent a critical tax issue in the international energy sector, encompassing both </w:t>
      </w:r>
      <w:r>
        <w:rPr>
          <w:b/>
        </w:rPr>
        <w:t>mineral royalties</w:t>
      </w:r>
      <w:r>
        <w:t xml:space="preserve"> (payments for extraction rights) and </w:t>
      </w:r>
      <w:r>
        <w:rPr>
          <w:b/>
        </w:rPr>
        <w:t>intellectual property (IP) royalties</w:t>
      </w:r>
      <w:r>
        <w:t xml:space="preserve"> (payments for technology licensing). This chapter focuses specifically on </w:t>
      </w:r>
      <w:r>
        <w:rPr>
          <w:b/>
        </w:rPr>
        <w:t>IP royalties</w:t>
      </w:r>
      <w:r>
        <w:t xml:space="preserve"> in the context of oil and gas operations, examining their tax treatment, transfer pricing implications, and the impact of double tax treaties on cross-border royalty flows.</w:t>
      </w:r>
    </w:p>
    <w:p>
      <w:r>
        <w:t xml:space="preserve">For ADIT examination purposes, understanding the distinction between </w:t>
      </w:r>
      <w:r>
        <w:rPr>
          <w:b/>
        </w:rPr>
        <w:t>Article 12 (Royalties)</w:t>
      </w:r>
      <w:r>
        <w:t xml:space="preserve"> and </w:t>
      </w:r>
      <w:r>
        <w:rPr>
          <w:b/>
        </w:rPr>
        <w:t>Article 7 (Business Profits)</w:t>
      </w:r>
      <w:r>
        <w:t xml:space="preserve"> in tax treaties, as well as the application of withholding taxes and arm's length pricing principles, is essential. The chapter addresses scenarios commonly tested in examinations, including technology licensing structures, withholding tax optimization, and treaty interpretation.</w:t>
      </w:r>
    </w:p>
    <w:p>
      <w:pPr>
        <w:spacing w:before="120" w:after="120"/>
        <w:pBdr>
          <w:bottom w:val="single" w:sz="6" w:space="1" w:color="auto"/>
        </w:pBdr>
      </w:pPr>
    </w:p>
    <w:p>
      <w:pPr>
        <w:pStyle w:val="Heading2"/>
      </w:pPr>
      <w:r>
        <w:t>1. Definition and Scope of Royalties</w:t>
      </w:r>
    </w:p>
    <w:p>
      <w:pPr>
        <w:pStyle w:val="Heading3"/>
      </w:pPr>
      <w:r>
        <w:t>1.1 OECD Model Tax Convention Definition</w:t>
      </w:r>
    </w:p>
    <w:p>
      <w:r>
        <w:rPr>
          <w:b/>
        </w:rPr>
        <w:t>Article 12(2) of the OECD Model Tax Convention</w:t>
      </w:r>
      <w:r>
        <w:t xml:space="preserve"> defines </w:t>
      </w:r>
      <w:r>
        <w:rPr>
          <w:b/>
        </w:rPr>
        <w:t>royalties</w:t>
      </w:r>
      <w:r>
        <w:t xml:space="preserve"> as:</w:t>
      </w:r>
    </w:p>
    <w:p>
      <w:r>
        <w:t>&gt; "Payments of any kind received as a consideration for the use of, or the right to use, any copyright of literary, artistic or scientific work including cinematograph films, any patent, trade mark, design or model, plan, secret formula or process, or for information concerning industrial, commercial or scientific experience."</w:t>
      </w:r>
    </w:p>
    <w:p>
      <w:r>
        <w:t>Key elements:</w:t>
      </w:r>
    </w:p>
    <w:p>
      <w:pPr>
        <w:pStyle w:val="ListNumber"/>
      </w:pPr>
      <w:r>
        <w:rPr>
          <w:b/>
        </w:rPr>
        <w:t>Payments</w:t>
      </w:r>
      <w:r>
        <w:t>: Can be periodic (e.g., percentage of revenue) or lump sum</w:t>
      </w:r>
    </w:p>
    <w:p>
      <w:pPr>
        <w:pStyle w:val="ListNumber"/>
      </w:pPr>
      <w:r>
        <w:rPr>
          <w:b/>
        </w:rPr>
        <w:t>Use or right to use</w:t>
      </w:r>
      <w:r>
        <w:t>: Includes both actual use and the grant of exclusive rights</w:t>
      </w:r>
    </w:p>
    <w:p>
      <w:pPr>
        <w:pStyle w:val="ListNumber"/>
      </w:pPr>
      <w:r>
        <w:rPr>
          <w:b/>
        </w:rPr>
        <w:t>IP covered</w:t>
      </w:r>
      <w:r>
        <w:t>: Patents, copyrights, trademarks, trade secrets, know-how</w:t>
      </w:r>
    </w:p>
    <w:p>
      <w:pPr>
        <w:pStyle w:val="ListNumber"/>
      </w:pPr>
      <w:r>
        <w:rPr>
          <w:b/>
        </w:rPr>
        <w:t>Know-how</w:t>
      </w:r>
      <w:r>
        <w:t>: Information concerning industrial, commercial, or scientific experience</w:t>
      </w:r>
    </w:p>
    <w:p>
      <w:pPr>
        <w:pStyle w:val="Heading3"/>
      </w:pPr>
      <w:r>
        <w:t>1.2 Types of Royalties in Oil &amp; Gas Context</w:t>
      </w:r>
    </w:p>
    <w:p>
      <w:pPr>
        <w:pStyle w:val="Heading4"/>
      </w:pPr>
      <w:r>
        <w:t>Technology Licensing Royalties</w:t>
      </w:r>
    </w:p>
    <w:p>
      <w:r>
        <w:rPr>
          <w:b/>
        </w:rPr>
        <w:t>Drilling and completion technologies</w:t>
      </w:r>
      <w:r>
        <w:t>:</w:t>
      </w:r>
    </w:p>
    <w:p>
      <w:pPr>
        <w:pStyle w:val="ListBullet"/>
      </w:pPr>
      <w:r>
        <w:t>Horizontal and directional drilling systems</w:t>
      </w:r>
    </w:p>
    <w:p>
      <w:pPr>
        <w:pStyle w:val="ListBullet"/>
      </w:pPr>
      <w:r>
        <w:t>Hydraulic fracturing techniques and fluid formulations</w:t>
      </w:r>
    </w:p>
    <w:p>
      <w:pPr>
        <w:pStyle w:val="ListBullet"/>
      </w:pPr>
      <w:r>
        <w:t>Casing and cementing technologies</w:t>
      </w:r>
    </w:p>
    <w:p>
      <w:pPr>
        <w:pStyle w:val="ListBullet"/>
      </w:pPr>
      <w:r>
        <w:t>Coiled tubing and other well intervention equipment</w:t>
      </w:r>
    </w:p>
    <w:p>
      <w:r>
        <w:rPr>
          <w:b/>
        </w:rPr>
        <w:t>Production optimization</w:t>
      </w:r>
      <w:r>
        <w:t>:</w:t>
      </w:r>
    </w:p>
    <w:p>
      <w:pPr>
        <w:pStyle w:val="ListBullet"/>
      </w:pPr>
      <w:r>
        <w:t>Artificial lift systems (ESPs, gas lift, beam pumps)</w:t>
      </w:r>
    </w:p>
    <w:p>
      <w:pPr>
        <w:pStyle w:val="ListBullet"/>
      </w:pPr>
      <w:r>
        <w:t>Flow assurance technologies</w:t>
      </w:r>
    </w:p>
    <w:p>
      <w:pPr>
        <w:pStyle w:val="ListBullet"/>
      </w:pPr>
      <w:r>
        <w:t>Smart well completion systems with downhole sensors</w:t>
      </w:r>
    </w:p>
    <w:p>
      <w:r>
        <w:rPr>
          <w:b/>
        </w:rPr>
        <w:t>Processing and refining</w:t>
      </w:r>
      <w:r>
        <w:t>:</w:t>
      </w:r>
    </w:p>
    <w:p>
      <w:pPr>
        <w:pStyle w:val="ListBullet"/>
      </w:pPr>
      <w:r>
        <w:t>Enhanced oil recovery (EOR) methods (CO2 flooding, chemical EOR, thermal methods)</w:t>
      </w:r>
    </w:p>
    <w:p>
      <w:pPr>
        <w:pStyle w:val="ListBullet"/>
      </w:pPr>
      <w:r>
        <w:t>Gas processing and liquefaction technologies</w:t>
      </w:r>
    </w:p>
    <w:p>
      <w:pPr>
        <w:pStyle w:val="ListBullet"/>
      </w:pPr>
      <w:r>
        <w:t>Emissions reduction and carbon capture systems</w:t>
      </w:r>
    </w:p>
    <w:p>
      <w:r>
        <w:rPr>
          <w:b/>
        </w:rPr>
        <w:t>Seismic and exploration</w:t>
      </w:r>
      <w:r>
        <w:t>:</w:t>
      </w:r>
    </w:p>
    <w:p>
      <w:pPr>
        <w:pStyle w:val="ListBullet"/>
      </w:pPr>
      <w:r>
        <w:t>3D and 4D seismic acquisition and processing software</w:t>
      </w:r>
    </w:p>
    <w:p>
      <w:pPr>
        <w:pStyle w:val="ListBullet"/>
      </w:pPr>
      <w:r>
        <w:t>Reservoir modeling and simulation platforms</w:t>
      </w:r>
    </w:p>
    <w:p>
      <w:pPr>
        <w:pStyle w:val="ListBullet"/>
      </w:pPr>
      <w:r>
        <w:t>Geological interpretation algorithms</w:t>
      </w:r>
    </w:p>
    <w:p>
      <w:pPr>
        <w:pStyle w:val="Heading4"/>
      </w:pPr>
      <w:r>
        <w:t>Software Licensing Royalties</w:t>
      </w:r>
    </w:p>
    <w:p>
      <w:r>
        <w:t>Modern oil and gas operations increasingly depend on proprietary software:</w:t>
      </w:r>
    </w:p>
    <w:p>
      <w:pPr>
        <w:pStyle w:val="ListBullet"/>
      </w:pPr>
      <w:r>
        <w:t>Enterprise resource planning (ERP) systems customized for oil &amp; gas</w:t>
      </w:r>
    </w:p>
    <w:p>
      <w:pPr>
        <w:pStyle w:val="ListBullet"/>
      </w:pPr>
      <w:r>
        <w:t>Production optimization and forecasting tools</w:t>
      </w:r>
    </w:p>
    <w:p>
      <w:pPr>
        <w:pStyle w:val="ListBullet"/>
      </w:pPr>
      <w:r>
        <w:t>Drilling automation and remote monitoring platforms</w:t>
      </w:r>
    </w:p>
    <w:p>
      <w:pPr>
        <w:pStyle w:val="ListBullet"/>
      </w:pPr>
      <w:r>
        <w:t>Blockchain-based commodity trading systems</w:t>
      </w:r>
    </w:p>
    <w:p>
      <w:pPr>
        <w:pStyle w:val="ListBullet"/>
      </w:pPr>
      <w:r>
        <w:t>Machine learning applications for predictive maintenance</w:t>
      </w:r>
    </w:p>
    <w:p>
      <w:pPr>
        <w:pStyle w:val="Heading4"/>
      </w:pPr>
      <w:r>
        <w:t>Know-How and Technical Assistance</w:t>
      </w:r>
    </w:p>
    <w:p>
      <w:r>
        <w:t xml:space="preserve">Payments for </w:t>
      </w:r>
      <w:r>
        <w:rPr>
          <w:b/>
        </w:rPr>
        <w:t>technical services</w:t>
      </w:r>
      <w:r>
        <w:t xml:space="preserve"> that include transfer of proprietary knowledge may constitute royalties:</w:t>
      </w:r>
    </w:p>
    <w:p>
      <w:pPr>
        <w:pStyle w:val="ListBullet"/>
      </w:pPr>
      <w:r>
        <w:t>Training on proprietary drilling techniques</w:t>
      </w:r>
    </w:p>
    <w:p>
      <w:pPr>
        <w:pStyle w:val="ListBullet"/>
      </w:pPr>
      <w:r>
        <w:t>Reservoir management consulting based on proprietary methodologies</w:t>
      </w:r>
    </w:p>
    <w:p>
      <w:pPr>
        <w:pStyle w:val="ListBullet"/>
      </w:pPr>
      <w:r>
        <w:t>Commissioning services that transfer operational know-how</w:t>
      </w:r>
    </w:p>
    <w:p>
      <w:pPr>
        <w:pStyle w:val="ListBullet"/>
      </w:pPr>
      <w:r>
        <w:t>Project management using proprietary frameworks</w:t>
      </w:r>
    </w:p>
    <w:p>
      <w:r>
        <w:rPr>
          <w:b/>
        </w:rPr>
        <w:t>Caution</w:t>
      </w:r>
      <w:r>
        <w:t xml:space="preserve">: The boundary between </w:t>
      </w:r>
      <w:r>
        <w:rPr>
          <w:b/>
        </w:rPr>
        <w:t>services (Article 7/Article 5)</w:t>
      </w:r>
      <w:r>
        <w:t xml:space="preserve"> and </w:t>
      </w:r>
      <w:r>
        <w:rPr>
          <w:b/>
        </w:rPr>
        <w:t>royalties (Article 12)</w:t>
      </w:r>
      <w:r>
        <w:t xml:space="preserve"> can be unclear, leading to disputes over withholding tax obligations.</w:t>
      </w:r>
    </w:p>
    <w:p>
      <w:pPr>
        <w:pStyle w:val="Heading3"/>
      </w:pPr>
      <w:r>
        <w:t>1.3 UN Model Tax Convention vs. OECD Model</w:t>
      </w:r>
    </w:p>
    <w:p>
      <w:r>
        <w:t xml:space="preserve">The </w:t>
      </w:r>
      <w:r>
        <w:rPr>
          <w:b/>
        </w:rPr>
        <w:t>UN Model Tax Convention</w:t>
      </w:r>
      <w:r>
        <w:t xml:space="preserve"> includes an additional category in its Article 12 definition:</w:t>
      </w:r>
    </w:p>
    <w:p>
      <w:r>
        <w:t>&gt; "...or for the use of, or the right to use, industrial, commercial or scientific equipment."</w:t>
      </w:r>
    </w:p>
    <w:p>
      <w:r>
        <w:t xml:space="preserve">This </w:t>
      </w:r>
      <w:r>
        <w:rPr>
          <w:b/>
        </w:rPr>
        <w:t>equipment rental clause</w:t>
      </w:r>
      <w:r>
        <w:t xml:space="preserve"> means that lease payments for equipment may be treated as </w:t>
      </w:r>
      <w:r>
        <w:rPr>
          <w:b/>
        </w:rPr>
        <w:t>royalties</w:t>
      </w:r>
      <w:r>
        <w:t xml:space="preserve"> under UN Model treaties, subject to withholding tax.</w:t>
      </w:r>
    </w:p>
    <w:p>
      <w:r>
        <w:rPr>
          <w:b/>
        </w:rPr>
        <w:t>Impact on Oil &amp; Gas</w:t>
      </w:r>
      <w:r>
        <w:t xml:space="preserve">: Equipment rentals (drilling rigs, seismic vessels, production platforms) may be caught by Article 12 under UN Model treaties, whereas they would typically be </w:t>
      </w:r>
      <w:r>
        <w:rPr>
          <w:b/>
        </w:rPr>
        <w:t>business profits (Article 7)</w:t>
      </w:r>
      <w:r>
        <w:t xml:space="preserve"> under OECD Model treaties.</w:t>
      </w:r>
    </w:p>
    <w:p>
      <w:pPr>
        <w:spacing w:before="120" w:after="120"/>
        <w:pBdr>
          <w:bottom w:val="single" w:sz="6" w:space="1" w:color="auto"/>
        </w:pBdr>
      </w:pPr>
    </w:p>
    <w:p>
      <w:pPr>
        <w:pStyle w:val="Heading2"/>
      </w:pPr>
      <w:r>
        <w:t>2. Tax Treatment of Royalty Payments</w:t>
      </w:r>
    </w:p>
    <w:p>
      <w:pPr>
        <w:pStyle w:val="Heading3"/>
      </w:pPr>
      <w:r>
        <w:t>2.1 Deductibility for the Payer</w:t>
      </w:r>
    </w:p>
    <w:p>
      <w:r>
        <w:t xml:space="preserve">Royalty payments are generally </w:t>
      </w:r>
      <w:r>
        <w:rPr>
          <w:b/>
        </w:rPr>
        <w:t>tax-deductible</w:t>
      </w:r>
      <w:r>
        <w:t xml:space="preserve"> for the payer as </w:t>
      </w:r>
      <w:r>
        <w:rPr>
          <w:b/>
        </w:rPr>
        <w:t>ordinary business expenses</w:t>
      </w:r>
      <w:r>
        <w:t>, subject to:</w:t>
      </w:r>
    </w:p>
    <w:p>
      <w:pPr>
        <w:pStyle w:val="ListNumber"/>
      </w:pPr>
      <w:r>
        <w:rPr>
          <w:b/>
        </w:rPr>
        <w:t>Business purpose</w:t>
      </w:r>
      <w:r>
        <w:t>: Royalty must relate to technology or IP used in the taxpayer's trade or business</w:t>
      </w:r>
    </w:p>
    <w:p>
      <w:pPr>
        <w:pStyle w:val="ListNumber"/>
      </w:pPr>
      <w:r>
        <w:rPr>
          <w:b/>
        </w:rPr>
        <w:t>Arm's length pricing</w:t>
      </w:r>
      <w:r>
        <w:t>: Amount must reflect market rates for comparable IP</w:t>
      </w:r>
    </w:p>
    <w:p>
      <w:pPr>
        <w:pStyle w:val="ListNumber"/>
      </w:pPr>
      <w:r>
        <w:rPr>
          <w:b/>
        </w:rPr>
        <w:t>Related party scrutiny</w:t>
      </w:r>
      <w:r>
        <w:t>: Payments to affiliates face heightened documentation requirements</w:t>
      </w:r>
    </w:p>
    <w:p>
      <w:pPr>
        <w:pStyle w:val="ListNumber"/>
      </w:pPr>
      <w:r>
        <w:rPr>
          <w:b/>
        </w:rPr>
        <w:t>Capitalization rules</w:t>
      </w:r>
      <w:r>
        <w:t>: Some jurisdictions require capitalization of certain IP acquisition costs</w:t>
      </w:r>
    </w:p>
    <w:p>
      <w:pPr>
        <w:pStyle w:val="Heading4"/>
      </w:pPr>
      <w:r>
        <w:t>United States: US Internal Revenue Code Section 162 Deduction</w:t>
      </w:r>
    </w:p>
    <w:p>
      <w:r>
        <w:t xml:space="preserve">Royalties are deductible under </w:t>
      </w:r>
      <w:r>
        <w:rPr>
          <w:b/>
        </w:rPr>
        <w:t>US Internal Revenue Code Section 162</w:t>
      </w:r>
      <w:r>
        <w:t xml:space="preserve"> as ordinary and necessary business expenses if:</w:t>
      </w:r>
    </w:p>
    <w:p>
      <w:pPr>
        <w:pStyle w:val="ListBullet"/>
      </w:pPr>
      <w:r>
        <w:rPr>
          <w:b/>
        </w:rPr>
        <w:t>Paid for use of property</w:t>
      </w:r>
      <w:r>
        <w:t xml:space="preserve"> in the taxpayer's trade or business</w:t>
      </w:r>
    </w:p>
    <w:p>
      <w:pPr>
        <w:pStyle w:val="ListBullet"/>
      </w:pPr>
      <w:r>
        <w:rPr>
          <w:b/>
        </w:rPr>
        <w:t>Reasonable in amount</w:t>
      </w:r>
      <w:r>
        <w:t xml:space="preserve"> (arm's length standard for related parties)</w:t>
      </w:r>
    </w:p>
    <w:p>
      <w:pPr>
        <w:pStyle w:val="ListBullet"/>
      </w:pPr>
      <w:r>
        <w:rPr>
          <w:b/>
        </w:rPr>
        <w:t>Currently deductible</w:t>
      </w:r>
      <w:r>
        <w:t xml:space="preserve"> (not capital expenditures requiring amortization)</w:t>
      </w:r>
    </w:p>
    <w:p>
      <w:r>
        <w:rPr>
          <w:b/>
        </w:rPr>
        <w:t>Exception - Capitalization Requirement</w:t>
      </w:r>
      <w:r>
        <w:t xml:space="preserve">: If the licensed IP has a </w:t>
      </w:r>
      <w:r>
        <w:rPr>
          <w:b/>
        </w:rPr>
        <w:t>useful life exceeding one year</w:t>
      </w:r>
      <w:r>
        <w:t xml:space="preserve"> and is acquired for use in the business, the taxpayer may be required to capitalize and amortize the cost under </w:t>
      </w:r>
      <w:r>
        <w:rPr>
          <w:b/>
        </w:rPr>
        <w:t>US Internal Revenue Code Section 263(a)</w:t>
      </w:r>
      <w:r>
        <w:t>.</w:t>
      </w:r>
    </w:p>
    <w:p>
      <w:pPr>
        <w:pStyle w:val="Heading4"/>
      </w:pPr>
      <w:r>
        <w:t>Production Sharing Contracts (PSCs)</w:t>
      </w:r>
    </w:p>
    <w:p>
      <w:r>
        <w:t>In PSC regimes, royalties paid to third-party technology providers are typically:</w:t>
      </w:r>
    </w:p>
    <w:p>
      <w:pPr>
        <w:pStyle w:val="ListBullet"/>
      </w:pPr>
      <w:r>
        <w:rPr>
          <w:b/>
        </w:rPr>
        <w:t>Cost-recoverable</w:t>
      </w:r>
      <w:r>
        <w:t xml:space="preserve">: Included in </w:t>
      </w:r>
      <w:r>
        <w:rPr>
          <w:b/>
        </w:rPr>
        <w:t>Cost Oil/Gas</w:t>
      </w:r>
      <w:r>
        <w:t xml:space="preserve"> as operating or capital costs</w:t>
      </w:r>
    </w:p>
    <w:p>
      <w:pPr>
        <w:pStyle w:val="ListBullet"/>
      </w:pPr>
      <w:r>
        <w:rPr>
          <w:b/>
        </w:rPr>
        <w:t>Deductible</w:t>
      </w:r>
      <w:r>
        <w:t xml:space="preserve">: Reduce the contractor's taxable </w:t>
      </w:r>
      <w:r>
        <w:rPr>
          <w:b/>
        </w:rPr>
        <w:t>Profit Oil/Gas</w:t>
      </w:r>
      <w:r>
        <w:t xml:space="preserve"> share</w:t>
      </w:r>
    </w:p>
    <w:p>
      <w:pPr>
        <w:pStyle w:val="ListBullet"/>
      </w:pPr>
      <w:r>
        <w:rPr>
          <w:b/>
        </w:rPr>
        <w:t>Subject to audit</w:t>
      </w:r>
      <w:r>
        <w:t>: Government may challenge whether costs are recoverable under the PSC</w:t>
      </w:r>
    </w:p>
    <w:p>
      <w:r>
        <w:rPr>
          <w:b/>
        </w:rPr>
        <w:t>Example</w:t>
      </w:r>
      <w:r>
        <w:t>: A contractor pays $2 million in annual royalties to Schlumberger for use of drilling optimization software. Under the PSC, this is classified as an operating cost and recovered from 40% Cost Oil. The royalty reduces the contractor's taxable profit.</w:t>
      </w:r>
    </w:p>
    <w:p>
      <w:pPr>
        <w:pStyle w:val="Heading3"/>
      </w:pPr>
      <w:r>
        <w:t>2.2 Withholding Tax on Royalty Payments</w:t>
      </w:r>
    </w:p>
    <w:p>
      <w:pPr>
        <w:pStyle w:val="Heading4"/>
      </w:pPr>
      <w:r>
        <w:t>Domestic Withholding Tax Rates</w:t>
      </w:r>
    </w:p>
    <w:p>
      <w:r>
        <w:t xml:space="preserve">Most countries impose </w:t>
      </w:r>
      <w:r>
        <w:rPr>
          <w:b/>
        </w:rPr>
        <w:t>withholding tax (WHT)</w:t>
      </w:r>
      <w:r>
        <w:t xml:space="preserve"> on royalty payments to non-residents: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Country</w:t>
            </w:r>
          </w:p>
        </w:tc>
        <w:tc>
          <w:tcPr>
            <w:tcW w:type="dxa" w:w="4320"/>
          </w:tcPr>
          <w:p>
            <w:r>
              <w:rPr>
                <w:b/>
              </w:rPr>
            </w:r>
            <w:r>
              <w:rPr>
                <w:b/>
              </w:rPr>
              <w:t>Domestic WHT Rate on Royalties</w:t>
            </w:r>
          </w:p>
        </w:tc>
      </w:tr>
      <w:tr>
        <w:tc>
          <w:tcPr>
            <w:tcW w:type="dxa" w:w="4320"/>
          </w:tcPr>
          <w:p>
            <w:r/>
            <w:r>
              <w:rPr>
                <w:b/>
              </w:rPr>
              <w:t>United States</w:t>
            </w:r>
          </w:p>
        </w:tc>
        <w:tc>
          <w:tcPr>
            <w:tcW w:type="dxa" w:w="4320"/>
          </w:tcPr>
          <w:p>
            <w:r/>
            <w:r>
              <w:t>30%</w:t>
            </w:r>
          </w:p>
        </w:tc>
      </w:tr>
      <w:tr>
        <w:tc>
          <w:tcPr>
            <w:tcW w:type="dxa" w:w="4320"/>
          </w:tcPr>
          <w:p>
            <w:r/>
            <w:r>
              <w:rPr>
                <w:b/>
              </w:rPr>
              <w:t>United Kingdom</w:t>
            </w:r>
          </w:p>
        </w:tc>
        <w:tc>
          <w:tcPr>
            <w:tcW w:type="dxa" w:w="4320"/>
          </w:tcPr>
          <w:p>
            <w:r/>
            <w:r>
              <w:t>20%</w:t>
            </w:r>
          </w:p>
        </w:tc>
      </w:tr>
      <w:tr>
        <w:tc>
          <w:tcPr>
            <w:tcW w:type="dxa" w:w="4320"/>
          </w:tcPr>
          <w:p>
            <w:r/>
            <w:r>
              <w:rPr>
                <w:b/>
              </w:rPr>
              <w:t>Norway</w:t>
            </w:r>
          </w:p>
        </w:tc>
        <w:tc>
          <w:tcPr>
            <w:tcW w:type="dxa" w:w="4320"/>
          </w:tcPr>
          <w:p>
            <w:r/>
            <w:r>
              <w:t>0% (royalties generally not subject to WHT)</w:t>
            </w:r>
          </w:p>
        </w:tc>
      </w:tr>
      <w:tr>
        <w:tc>
          <w:tcPr>
            <w:tcW w:type="dxa" w:w="4320"/>
          </w:tcPr>
          <w:p>
            <w:r/>
            <w:r>
              <w:rPr>
                <w:b/>
              </w:rPr>
              <w:t>Angola</w:t>
            </w:r>
          </w:p>
        </w:tc>
        <w:tc>
          <w:tcPr>
            <w:tcW w:type="dxa" w:w="4320"/>
          </w:tcPr>
          <w:p>
            <w:r/>
            <w:r>
              <w:t>10%</w:t>
            </w:r>
          </w:p>
        </w:tc>
      </w:tr>
      <w:tr>
        <w:tc>
          <w:tcPr>
            <w:tcW w:type="dxa" w:w="4320"/>
          </w:tcPr>
          <w:p>
            <w:r/>
            <w:r>
              <w:rPr>
                <w:b/>
              </w:rPr>
              <w:t>Brazil</w:t>
            </w:r>
          </w:p>
        </w:tc>
        <w:tc>
          <w:tcPr>
            <w:tcW w:type="dxa" w:w="4320"/>
          </w:tcPr>
          <w:p>
            <w:r/>
            <w:r>
              <w:t>15-25% (varies by type)</w:t>
            </w:r>
          </w:p>
        </w:tc>
      </w:tr>
      <w:tr>
        <w:tc>
          <w:tcPr>
            <w:tcW w:type="dxa" w:w="4320"/>
          </w:tcPr>
          <w:p>
            <w:r/>
            <w:r>
              <w:rPr>
                <w:b/>
              </w:rPr>
              <w:t>Nigeria</w:t>
            </w:r>
          </w:p>
        </w:tc>
        <w:tc>
          <w:tcPr>
            <w:tcW w:type="dxa" w:w="4320"/>
          </w:tcPr>
          <w:p>
            <w:r/>
            <w:r>
              <w:t>10%</w:t>
            </w:r>
          </w:p>
        </w:tc>
      </w:tr>
      <w:tr>
        <w:tc>
          <w:tcPr>
            <w:tcW w:type="dxa" w:w="4320"/>
          </w:tcPr>
          <w:p>
            <w:r/>
            <w:r>
              <w:rPr>
                <w:b/>
              </w:rPr>
              <w:t>Indonesia</w:t>
            </w:r>
          </w:p>
        </w:tc>
        <w:tc>
          <w:tcPr>
            <w:tcW w:type="dxa" w:w="4320"/>
          </w:tcPr>
          <w:p>
            <w:r/>
            <w:r>
              <w:t>20%</w:t>
            </w:r>
          </w:p>
        </w:tc>
      </w:tr>
      <w:tr>
        <w:tc>
          <w:tcPr>
            <w:tcW w:type="dxa" w:w="4320"/>
          </w:tcPr>
          <w:p>
            <w:r/>
            <w:r>
              <w:rPr>
                <w:b/>
              </w:rPr>
              <w:t>Australia</w:t>
            </w:r>
          </w:p>
        </w:tc>
        <w:tc>
          <w:tcPr>
            <w:tcW w:type="dxa" w:w="4320"/>
          </w:tcPr>
          <w:p>
            <w:r/>
            <w:r>
              <w:t>10-30% (treaty-dependent)</w:t>
            </w:r>
          </w:p>
        </w:tc>
      </w:tr>
    </w:tbl>
    <w:p/>
    <w:p>
      <w:pPr>
        <w:pStyle w:val="Heading4"/>
      </w:pPr>
      <w:r>
        <w:t>Treaty-Reduced WHT Rates</w:t>
      </w:r>
    </w:p>
    <w:p>
      <w:r>
        <w:t xml:space="preserve">Double tax treaties typically </w:t>
      </w:r>
      <w:r>
        <w:rPr>
          <w:b/>
        </w:rPr>
        <w:t>reduce withholding tax rates</w:t>
      </w:r>
      <w:r>
        <w:t xml:space="preserve"> on royalties:</w:t>
      </w:r>
    </w:p>
    <w:p>
      <w:r>
        <w:rPr>
          <w:b/>
        </w:rPr>
        <w:t>Common Treaty Rates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Treaty</w:t>
            </w:r>
          </w:p>
        </w:tc>
        <w:tc>
          <w:tcPr>
            <w:tcW w:type="dxa" w:w="4320"/>
          </w:tcPr>
          <w:p>
            <w:r>
              <w:rPr>
                <w:b/>
              </w:rPr>
            </w:r>
            <w:r>
              <w:rPr>
                <w:b/>
              </w:rPr>
              <w:t>Royalty WHT Rate</w:t>
            </w:r>
          </w:p>
        </w:tc>
      </w:tr>
      <w:tr>
        <w:tc>
          <w:tcPr>
            <w:tcW w:type="dxa" w:w="4320"/>
          </w:tcPr>
          <w:p>
            <w:r/>
            <w:r>
              <w:t>U.S.-UK</w:t>
            </w:r>
          </w:p>
        </w:tc>
        <w:tc>
          <w:tcPr>
            <w:tcW w:type="dxa" w:w="4320"/>
          </w:tcPr>
          <w:p>
            <w:r/>
            <w:r>
              <w:t>0%</w:t>
            </w:r>
          </w:p>
        </w:tc>
      </w:tr>
      <w:tr>
        <w:tc>
          <w:tcPr>
            <w:tcW w:type="dxa" w:w="4320"/>
          </w:tcPr>
          <w:p>
            <w:r/>
            <w:r>
              <w:t>U.S.-Norway</w:t>
            </w:r>
          </w:p>
        </w:tc>
        <w:tc>
          <w:tcPr>
            <w:tcW w:type="dxa" w:w="4320"/>
          </w:tcPr>
          <w:p>
            <w:r/>
            <w:r>
              <w:t>0%</w:t>
            </w:r>
          </w:p>
        </w:tc>
      </w:tr>
      <w:tr>
        <w:tc>
          <w:tcPr>
            <w:tcW w:type="dxa" w:w="4320"/>
          </w:tcPr>
          <w:p>
            <w:r/>
            <w:r>
              <w:t>U.S.-Netherlands</w:t>
            </w:r>
          </w:p>
        </w:tc>
        <w:tc>
          <w:tcPr>
            <w:tcW w:type="dxa" w:w="4320"/>
          </w:tcPr>
          <w:p>
            <w:r/>
            <w:r>
              <w:t>0%</w:t>
            </w:r>
          </w:p>
        </w:tc>
      </w:tr>
      <w:tr>
        <w:tc>
          <w:tcPr>
            <w:tcW w:type="dxa" w:w="4320"/>
          </w:tcPr>
          <w:p>
            <w:r/>
            <w:r>
              <w:t>UK-Netherlands</w:t>
            </w:r>
          </w:p>
        </w:tc>
        <w:tc>
          <w:tcPr>
            <w:tcW w:type="dxa" w:w="4320"/>
          </w:tcPr>
          <w:p>
            <w:r/>
            <w:r>
              <w:t>0%</w:t>
            </w:r>
          </w:p>
        </w:tc>
      </w:tr>
      <w:tr>
        <w:tc>
          <w:tcPr>
            <w:tcW w:type="dxa" w:w="4320"/>
          </w:tcPr>
          <w:p>
            <w:r/>
            <w:r>
              <w:t>U.S.-Angola</w:t>
            </w:r>
          </w:p>
        </w:tc>
        <w:tc>
          <w:tcPr>
            <w:tcW w:type="dxa" w:w="4320"/>
          </w:tcPr>
          <w:p>
            <w:r/>
            <w:r>
              <w:t>10%</w:t>
            </w:r>
          </w:p>
        </w:tc>
      </w:tr>
      <w:tr>
        <w:tc>
          <w:tcPr>
            <w:tcW w:type="dxa" w:w="4320"/>
          </w:tcPr>
          <w:p>
            <w:r/>
            <w:r>
              <w:t>UK-Nigeria</w:t>
            </w:r>
          </w:p>
        </w:tc>
        <w:tc>
          <w:tcPr>
            <w:tcW w:type="dxa" w:w="4320"/>
          </w:tcPr>
          <w:p>
            <w:r/>
            <w:r>
              <w:t>7.5%</w:t>
            </w:r>
          </w:p>
        </w:tc>
      </w:tr>
    </w:tbl>
    <w:p/>
    <w:p>
      <w:r>
        <w:rPr>
          <w:b/>
        </w:rPr>
        <w:t>Note</w:t>
      </w:r>
      <w:r>
        <w:t>: The United States does not have tax treaties with Brazil or Nigeria. Without a treaty, the domestic withholding tax rates apply (US: 30%, Brazil: 15%, Nigeria: 10%).</w:t>
      </w:r>
    </w:p>
    <w:p>
      <w:r>
        <w:rPr>
          <w:b/>
        </w:rPr>
        <w:t>EU Interest and Royalties Directive</w:t>
      </w:r>
      <w:r>
        <w:t xml:space="preserve">: For qualifying payments between </w:t>
      </w:r>
      <w:r>
        <w:rPr>
          <w:b/>
        </w:rPr>
        <w:t>associated companies</w:t>
      </w:r>
      <w:r>
        <w:t xml:space="preserve"> in EU member states, WHT is </w:t>
      </w:r>
      <w:r>
        <w:rPr>
          <w:b/>
        </w:rPr>
        <w:t>0%</w:t>
      </w:r>
      <w:r>
        <w:t xml:space="preserve"> on royalties.</w:t>
      </w:r>
    </w:p>
    <w:p>
      <w:pPr>
        <w:pStyle w:val="Heading4"/>
      </w:pPr>
      <w:r>
        <w:t>Beneficial Ownership Requirement</w:t>
      </w:r>
    </w:p>
    <w:p>
      <w:r>
        <w:t xml:space="preserve">To claim treaty benefits, the </w:t>
      </w:r>
      <w:r>
        <w:rPr>
          <w:b/>
        </w:rPr>
        <w:t>recipient must be the beneficial owner</w:t>
      </w:r>
      <w:r>
        <w:t xml:space="preserve"> of the royalties:</w:t>
      </w:r>
    </w:p>
    <w:p>
      <w:r>
        <w:rPr>
          <w:b/>
        </w:rPr>
        <w:t>Beneficial Ownership Test</w:t>
      </w:r>
      <w:r>
        <w:t xml:space="preserve"> (OECD Commentary):</w:t>
      </w:r>
    </w:p>
    <w:p>
      <w:pPr>
        <w:pStyle w:val="ListBullet"/>
      </w:pPr>
      <w:r>
        <w:rPr>
          <w:b/>
        </w:rPr>
        <w:t>Substance</w:t>
      </w:r>
      <w:r>
        <w:t xml:space="preserve">: Recipient has </w:t>
      </w:r>
      <w:r>
        <w:rPr>
          <w:b/>
        </w:rPr>
        <w:t>full right</w:t>
      </w:r>
      <w:r>
        <w:t xml:space="preserve"> to use and enjoy the royalty income</w:t>
      </w:r>
    </w:p>
    <w:p>
      <w:pPr>
        <w:pStyle w:val="ListBullet"/>
      </w:pPr>
      <w:r>
        <w:rPr>
          <w:b/>
        </w:rPr>
        <w:t>Not a conduit</w:t>
      </w:r>
      <w:r>
        <w:t>: Recipient is not merely an agent or nominee for another person</w:t>
      </w:r>
    </w:p>
    <w:p>
      <w:pPr>
        <w:pStyle w:val="ListBullet"/>
      </w:pPr>
      <w:r>
        <w:rPr>
          <w:b/>
        </w:rPr>
        <w:t>Control</w:t>
      </w:r>
      <w:r>
        <w:t>: Recipient exercises control over the IP and royalty income</w:t>
      </w:r>
    </w:p>
    <w:p>
      <w:r>
        <w:rPr>
          <w:b/>
        </w:rPr>
        <w:t>Example</w:t>
      </w:r>
      <w:r>
        <w:t xml:space="preserve">: If a Netherlands IP holding company receives royalties but immediately pays them to a Bermuda parent as a fee, the Netherlands company may </w:t>
      </w:r>
      <w:r>
        <w:rPr>
          <w:b/>
        </w:rPr>
        <w:t>not be the beneficial owner</w:t>
      </w:r>
      <w:r>
        <w:t>, and treaty benefits may be denied.</w:t>
      </w:r>
    </w:p>
    <w:p>
      <w:pPr>
        <w:pStyle w:val="Heading3"/>
      </w:pPr>
      <w:r>
        <w:t>2.3 Tax Treatment for the Recipient</w:t>
      </w:r>
    </w:p>
    <w:p>
      <w:r>
        <w:t xml:space="preserve">Royalty recipients are taxed on </w:t>
      </w:r>
      <w:r>
        <w:rPr>
          <w:b/>
        </w:rPr>
        <w:t>net income</w:t>
      </w:r>
      <w:r>
        <w:t>:</w:t>
      </w:r>
    </w:p>
    <w:p>
      <w:pPr>
        <w:shd w:fill="F0F0F0"/>
        <w:spacing w:after="0" w:line="240" w:lineRule="auto"/>
      </w:pPr>
      <w:r>
        <w:rPr>
          <w:rFonts w:ascii="Courier New" w:hAnsi="Courier New"/>
          <w:sz w:val="20"/>
        </w:rPr>
        <w:t>Gross royalty income</w:t>
      </w:r>
    </w:p>
    <w:p>
      <w:pPr>
        <w:shd w:fill="F0F0F0"/>
        <w:spacing w:after="0" w:line="240" w:lineRule="auto"/>
      </w:pPr>
      <w:r>
        <w:rPr>
          <w:rFonts w:ascii="Courier New" w:hAnsi="Courier New"/>
          <w:sz w:val="20"/>
        </w:rPr>
        <w:t>Less: Direct expenses (IP maintenance, patent renewal fees)</w:t>
      </w:r>
    </w:p>
    <w:p>
      <w:pPr>
        <w:shd w:fill="F0F0F0"/>
        <w:spacing w:after="0" w:line="240" w:lineRule="auto"/>
      </w:pPr>
      <w:r>
        <w:rPr>
          <w:rFonts w:ascii="Courier New" w:hAnsi="Courier New"/>
          <w:sz w:val="20"/>
        </w:rPr>
        <w:t>Less: Allocated overhead (management, legal, accounting)</w:t>
      </w:r>
    </w:p>
    <w:p>
      <w:pPr>
        <w:shd w:fill="F0F0F0"/>
        <w:spacing w:after="0" w:line="240" w:lineRule="auto"/>
      </w:pPr>
      <w:r>
        <w:rPr>
          <w:rFonts w:ascii="Courier New" w:hAnsi="Courier New"/>
          <w:sz w:val="20"/>
        </w:rPr>
        <w:t>= Net taxable royalty income</w:t>
      </w:r>
    </w:p>
    <w:p/>
    <w:p>
      <w:r>
        <w:rPr>
          <w:b/>
        </w:rPr>
        <w:t>Patent Box Regimes</w:t>
      </w:r>
      <w:r>
        <w:t xml:space="preserve">: Some jurisdictions offer </w:t>
      </w:r>
      <w:r>
        <w:rPr>
          <w:b/>
        </w:rPr>
        <w:t>preferential tax rates</w:t>
      </w:r>
      <w:r>
        <w:t xml:space="preserve"> on qualifying IP income (see Chapter 35).</w:t>
      </w:r>
    </w:p>
    <w:p>
      <w:r>
        <w:rPr>
          <w:b/>
        </w:rPr>
        <w:t>Foreign Tax Credit</w:t>
      </w:r>
      <w:r>
        <w:t xml:space="preserve">: If royalties are subject to WHT in the source country, the recipient may claim a </w:t>
      </w:r>
      <w:r>
        <w:rPr>
          <w:b/>
        </w:rPr>
        <w:t>foreign tax credit</w:t>
      </w:r>
      <w:r>
        <w:t xml:space="preserve"> in the residence country:</w:t>
      </w:r>
    </w:p>
    <w:p>
      <w:pPr>
        <w:shd w:fill="F0F0F0"/>
        <w:spacing w:after="0" w:line="240" w:lineRule="auto"/>
      </w:pPr>
      <w:r>
        <w:rPr>
          <w:rFonts w:ascii="Courier New" w:hAnsi="Courier New"/>
          <w:sz w:val="20"/>
        </w:rPr>
        <w:t>Foreign tax credit = MIN(Foreign tax paid, Domestic tax on foreign income)</w:t>
      </w:r>
    </w:p>
    <w:p/>
    <w:p>
      <w:r>
        <w:rPr>
          <w:b/>
        </w:rPr>
        <w:t>Example</w:t>
      </w:r>
      <w:r>
        <w:t>:</w:t>
      </w:r>
    </w:p>
    <w:p>
      <w:pPr>
        <w:pStyle w:val="ListBullet"/>
      </w:pPr>
      <w:r>
        <w:t>UK company receives $1 million royalty from Nigerian subsidiary</w:t>
      </w:r>
    </w:p>
    <w:p>
      <w:pPr>
        <w:pStyle w:val="ListBullet"/>
      </w:pPr>
      <w:r>
        <w:t>Nigeria WHT: 7.5% = $75,000</w:t>
      </w:r>
    </w:p>
    <w:p>
      <w:pPr>
        <w:pStyle w:val="ListBullet"/>
      </w:pPr>
      <w:r>
        <w:t>UK tax on royalty: 25% = $250,000</w:t>
      </w:r>
    </w:p>
    <w:p>
      <w:pPr>
        <w:pStyle w:val="ListBullet"/>
      </w:pPr>
      <w:r>
        <w:t>UK foreign tax credit: $75,000</w:t>
      </w:r>
    </w:p>
    <w:p>
      <w:pPr>
        <w:pStyle w:val="ListBullet"/>
      </w:pPr>
      <w:r>
        <w:t>Net UK tax payable: $250,000 - $75,000 = $175,000</w:t>
      </w:r>
    </w:p>
    <w:p>
      <w:pPr>
        <w:spacing w:before="120" w:after="120"/>
        <w:pBdr>
          <w:bottom w:val="single" w:sz="6" w:space="1" w:color="auto"/>
        </w:pBdr>
      </w:pPr>
    </w:p>
    <w:p>
      <w:pPr>
        <w:pStyle w:val="Heading2"/>
      </w:pPr>
      <w:r>
        <w:t>3. Article 12 vs. Article 7: Classification Issues</w:t>
      </w:r>
    </w:p>
    <w:p>
      <w:pPr>
        <w:pStyle w:val="Heading3"/>
      </w:pPr>
      <w:r>
        <w:t>3.1 Royalties (Article 12) vs. Business Profits (Article 7)</w:t>
      </w:r>
    </w:p>
    <w:p>
      <w:r>
        <w:t xml:space="preserve">The distinction between </w:t>
      </w:r>
      <w:r>
        <w:rPr>
          <w:b/>
        </w:rPr>
        <w:t>royalties</w:t>
      </w:r>
      <w:r>
        <w:t xml:space="preserve"> and </w:t>
      </w:r>
      <w:r>
        <w:rPr>
          <w:b/>
        </w:rPr>
        <w:t>business profits</w:t>
      </w:r>
      <w:r>
        <w:t xml:space="preserve"> determines:</w:t>
      </w:r>
    </w:p>
    <w:p>
      <w:pPr>
        <w:pStyle w:val="ListNumber"/>
      </w:pPr>
      <w:r>
        <w:rPr>
          <w:b/>
        </w:rPr>
        <w:t>Withholding tax</w:t>
      </w:r>
      <w:r>
        <w:t>: Article 12 allows source country WHT; Article 7 typically does not</w:t>
      </w:r>
    </w:p>
    <w:p>
      <w:pPr>
        <w:pStyle w:val="ListNumber"/>
      </w:pPr>
      <w:r>
        <w:rPr>
          <w:b/>
        </w:rPr>
        <w:t>PE threshold</w:t>
      </w:r>
      <w:r>
        <w:t xml:space="preserve">: Business profits taxable only if </w:t>
      </w:r>
      <w:r>
        <w:rPr>
          <w:b/>
        </w:rPr>
        <w:t>permanent establishment (PE)</w:t>
      </w:r>
      <w:r>
        <w:t xml:space="preserve"> exists</w:t>
      </w:r>
    </w:p>
    <w:p>
      <w:pPr>
        <w:pStyle w:val="ListNumber"/>
      </w:pPr>
      <w:r>
        <w:rPr>
          <w:b/>
        </w:rPr>
        <w:t>Compliance</w:t>
      </w:r>
      <w:r>
        <w:t>: Different documentation and reporting requirements</w:t>
      </w:r>
    </w:p>
    <w:p>
      <w:pPr>
        <w:pStyle w:val="Heading4"/>
      </w:pPr>
      <w:r>
        <w:t>Key Differentiators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Royalties (Article 12)</w:t>
            </w:r>
          </w:p>
        </w:tc>
        <w:tc>
          <w:tcPr>
            <w:tcW w:type="dxa" w:w="2880"/>
          </w:tcPr>
          <w:p>
            <w:r>
              <w:rPr>
                <w:b/>
              </w:rPr>
            </w:r>
            <w:r>
              <w:rPr>
                <w:b/>
              </w:rPr>
              <w:t>Business Profits (Article 7)</w:t>
            </w:r>
          </w:p>
        </w:tc>
      </w:tr>
      <w:tr>
        <w:tc>
          <w:tcPr>
            <w:tcW w:type="dxa" w:w="2880"/>
          </w:tcPr>
          <w:p>
            <w:r/>
            <w:r>
              <w:rPr>
                <w:b/>
              </w:rPr>
              <w:t>Nature of payment</w:t>
            </w:r>
          </w:p>
        </w:tc>
        <w:tc>
          <w:tcPr>
            <w:tcW w:type="dxa" w:w="2880"/>
          </w:tcPr>
          <w:p>
            <w:r/>
            <w:r>
              <w:rPr>
                <w:b/>
              </w:rPr>
              <w:t>Passive income</w:t>
            </w:r>
            <w:r>
              <w:t xml:space="preserve"> for use of IP</w:t>
            </w:r>
          </w:p>
        </w:tc>
        <w:tc>
          <w:tcPr>
            <w:tcW w:type="dxa" w:w="2880"/>
          </w:tcPr>
          <w:p>
            <w:r/>
            <w:r>
              <w:rPr>
                <w:b/>
              </w:rPr>
              <w:t>Active income</w:t>
            </w:r>
            <w:r>
              <w:t xml:space="preserve"> from services or sales</w:t>
            </w:r>
          </w:p>
        </w:tc>
      </w:tr>
      <w:tr>
        <w:tc>
          <w:tcPr>
            <w:tcW w:type="dxa" w:w="2880"/>
          </w:tcPr>
          <w:p>
            <w:r/>
            <w:r>
              <w:rPr>
                <w:b/>
              </w:rPr>
              <w:t>Transferor involvement</w:t>
            </w:r>
          </w:p>
        </w:tc>
        <w:tc>
          <w:tcPr>
            <w:tcW w:type="dxa" w:w="2880"/>
          </w:tcPr>
          <w:p>
            <w:r/>
            <w:r>
              <w:t>Minimal ongoing involvement</w:t>
            </w:r>
          </w:p>
        </w:tc>
        <w:tc>
          <w:tcPr>
            <w:tcW w:type="dxa" w:w="2880"/>
          </w:tcPr>
          <w:p>
            <w:r/>
            <w:r>
              <w:t>Significant provider effort</w:t>
            </w:r>
          </w:p>
        </w:tc>
      </w:tr>
      <w:tr>
        <w:tc>
          <w:tcPr>
            <w:tcW w:type="dxa" w:w="2880"/>
          </w:tcPr>
          <w:p>
            <w:r/>
            <w:r>
              <w:rPr>
                <w:b/>
              </w:rPr>
              <w:t>Risk allocation</w:t>
            </w:r>
          </w:p>
        </w:tc>
        <w:tc>
          <w:tcPr>
            <w:tcW w:type="dxa" w:w="2880"/>
          </w:tcPr>
          <w:p>
            <w:r/>
            <w:r>
              <w:t>User bears performance risk</w:t>
            </w:r>
          </w:p>
        </w:tc>
        <w:tc>
          <w:tcPr>
            <w:tcW w:type="dxa" w:w="2880"/>
          </w:tcPr>
          <w:p>
            <w:r/>
            <w:r>
              <w:t>Provider bears performance risk</w:t>
            </w:r>
          </w:p>
        </w:tc>
      </w:tr>
      <w:tr>
        <w:tc>
          <w:tcPr>
            <w:tcW w:type="dxa" w:w="2880"/>
          </w:tcPr>
          <w:p>
            <w:r/>
            <w:r>
              <w:rPr>
                <w:b/>
              </w:rPr>
              <w:t>PE requirement</w:t>
            </w:r>
          </w:p>
        </w:tc>
        <w:tc>
          <w:tcPr>
            <w:tcW w:type="dxa" w:w="2880"/>
          </w:tcPr>
          <w:p>
            <w:r/>
            <w:r>
              <w:t>No PE needed for source taxation</w:t>
            </w:r>
          </w:p>
        </w:tc>
        <w:tc>
          <w:tcPr>
            <w:tcW w:type="dxa" w:w="2880"/>
          </w:tcPr>
          <w:p>
            <w:r/>
            <w:r>
              <w:t>PE required for source taxation</w:t>
            </w:r>
          </w:p>
        </w:tc>
      </w:tr>
    </w:tbl>
    <w:p/>
    <w:p>
      <w:pPr>
        <w:pStyle w:val="Heading3"/>
      </w:pPr>
      <w:r>
        <w:t>3.2 Common Disputes: Services vs. Royalties</w:t>
      </w:r>
    </w:p>
    <w:p>
      <w:pPr>
        <w:pStyle w:val="Heading4"/>
      </w:pPr>
      <w:r>
        <w:t>Technical Services with Know-How Transfer</w:t>
      </w:r>
    </w:p>
    <w:p>
      <w:r>
        <w:rPr>
          <w:b/>
        </w:rPr>
        <w:t>Scenario</w:t>
      </w:r>
      <w:r>
        <w:t xml:space="preserve">: An oilfield services company provides </w:t>
      </w:r>
      <w:r>
        <w:rPr>
          <w:b/>
        </w:rPr>
        <w:t>drilling optimization services</w:t>
      </w:r>
      <w:r>
        <w:t xml:space="preserve"> that include:</w:t>
      </w:r>
    </w:p>
    <w:p>
      <w:pPr>
        <w:pStyle w:val="ListBullet"/>
      </w:pPr>
      <w:r>
        <w:t>On-site engineers using proprietary software</w:t>
      </w:r>
    </w:p>
    <w:p>
      <w:pPr>
        <w:pStyle w:val="ListBullet"/>
      </w:pPr>
      <w:r>
        <w:t>Training of operator personnel on the software</w:t>
      </w:r>
    </w:p>
    <w:p>
      <w:pPr>
        <w:pStyle w:val="ListBullet"/>
      </w:pPr>
      <w:r>
        <w:t>Real-time monitoring and recommendations</w:t>
      </w:r>
    </w:p>
    <w:p>
      <w:r>
        <w:rPr>
          <w:b/>
        </w:rPr>
        <w:t>Question</w:t>
      </w:r>
      <w:r>
        <w:t xml:space="preserve">: Is the payment for </w:t>
      </w:r>
      <w:r>
        <w:rPr>
          <w:b/>
        </w:rPr>
        <w:t>services (Article 7)</w:t>
      </w:r>
      <w:r>
        <w:t xml:space="preserve"> or </w:t>
      </w:r>
      <w:r>
        <w:rPr>
          <w:b/>
        </w:rPr>
        <w:t>royalties (Article 12)</w:t>
      </w:r>
      <w:r>
        <w:t>?</w:t>
      </w:r>
    </w:p>
    <w:p>
      <w:r>
        <w:rPr>
          <w:b/>
        </w:rPr>
        <w:t>Analysis</w:t>
      </w:r>
      <w:r>
        <w:t>:</w:t>
      </w:r>
    </w:p>
    <w:p>
      <w:r>
        <w:rPr>
          <w:b/>
        </w:rPr>
        <w:t>Factors suggesting services (Article 7)</w:t>
      </w:r>
      <w:r>
        <w:t>:</w:t>
      </w:r>
    </w:p>
    <w:p>
      <w:pPr>
        <w:pStyle w:val="ListBullet"/>
      </w:pPr>
      <w:r>
        <w:t>Provider's personnel actively involved on-site</w:t>
      </w:r>
    </w:p>
    <w:p>
      <w:pPr>
        <w:pStyle w:val="ListBullet"/>
      </w:pPr>
      <w:r>
        <w:t xml:space="preserve">Payment is for </w:t>
      </w:r>
      <w:r>
        <w:rPr>
          <w:b/>
        </w:rPr>
        <w:t>services rendered</w:t>
      </w:r>
      <w:r>
        <w:t>, not merely software license</w:t>
      </w:r>
    </w:p>
    <w:p>
      <w:pPr>
        <w:pStyle w:val="ListBullet"/>
      </w:pPr>
      <w:r>
        <w:t>Provider bears performance risk (drilling outcome depends on provider's expertise)</w:t>
      </w:r>
    </w:p>
    <w:p>
      <w:r>
        <w:rPr>
          <w:b/>
        </w:rPr>
        <w:t>Factors suggesting royalties (Article 12)</w:t>
      </w:r>
      <w:r>
        <w:t>:</w:t>
      </w:r>
    </w:p>
    <w:p>
      <w:pPr>
        <w:pStyle w:val="ListBullet"/>
      </w:pPr>
      <w:r>
        <w:t>Proprietary software is essential to service delivery</w:t>
      </w:r>
    </w:p>
    <w:p>
      <w:pPr>
        <w:pStyle w:val="ListBullet"/>
      </w:pPr>
      <w:r>
        <w:t xml:space="preserve">Training transfers </w:t>
      </w:r>
      <w:r>
        <w:rPr>
          <w:b/>
        </w:rPr>
        <w:t>know-how</w:t>
      </w:r>
      <w:r>
        <w:t xml:space="preserve"> to the operator</w:t>
      </w:r>
    </w:p>
    <w:p>
      <w:pPr>
        <w:pStyle w:val="ListBullet"/>
      </w:pPr>
      <w:r>
        <w:t>Software license is a distinct component of the arrangement</w:t>
      </w:r>
    </w:p>
    <w:p>
      <w:r>
        <w:rPr>
          <w:b/>
        </w:rPr>
        <w:t>OECD Guidance</w:t>
      </w:r>
      <w:r>
        <w:t xml:space="preserve">: If the </w:t>
      </w:r>
      <w:r>
        <w:rPr>
          <w:b/>
        </w:rPr>
        <w:t>predominant character</w:t>
      </w:r>
      <w:r>
        <w:t xml:space="preserve"> of the payment is for </w:t>
      </w:r>
      <w:r>
        <w:rPr>
          <w:b/>
        </w:rPr>
        <w:t>human skill and expertise</w:t>
      </w:r>
      <w:r>
        <w:t xml:space="preserve">, it should be classified as </w:t>
      </w:r>
      <w:r>
        <w:rPr>
          <w:b/>
        </w:rPr>
        <w:t>business profits</w:t>
      </w:r>
      <w:r>
        <w:t xml:space="preserve">, even if some IP is used. However, if the payment is </w:t>
      </w:r>
      <w:r>
        <w:rPr>
          <w:b/>
        </w:rPr>
        <w:t>primarily for the right to use IP</w:t>
      </w:r>
      <w:r>
        <w:t>, it is a royalty.</w:t>
      </w:r>
    </w:p>
    <w:p>
      <w:r>
        <w:rPr>
          <w:b/>
        </w:rPr>
        <w:t>Resolution</w:t>
      </w:r>
      <w:r>
        <w:t xml:space="preserve">: Often requires </w:t>
      </w:r>
      <w:r>
        <w:rPr>
          <w:b/>
        </w:rPr>
        <w:t>bifurcation</w:t>
      </w:r>
      <w:r>
        <w:t xml:space="preserve"> of the payment into:</w:t>
      </w:r>
    </w:p>
    <w:p>
      <w:pPr>
        <w:pStyle w:val="ListNumber"/>
      </w:pPr>
      <w:r>
        <w:rPr>
          <w:b/>
        </w:rPr>
        <w:t>Software license component</w:t>
      </w:r>
      <w:r>
        <w:t>: Treated as royalty subject to WHT</w:t>
      </w:r>
    </w:p>
    <w:p>
      <w:pPr>
        <w:pStyle w:val="ListNumber"/>
      </w:pPr>
      <w:r>
        <w:rPr>
          <w:b/>
        </w:rPr>
        <w:t>Service component</w:t>
      </w:r>
      <w:r>
        <w:t>: Treated as business profits (taxable only if PE exists)</w:t>
      </w:r>
    </w:p>
    <w:p>
      <w:pPr>
        <w:pStyle w:val="Heading3"/>
      </w:pPr>
      <w:r>
        <w:t>3.3 Embedded Royalties in Supply Contracts</w:t>
      </w:r>
    </w:p>
    <w:p>
      <w:r>
        <w:rPr>
          <w:b/>
        </w:rPr>
        <w:t>Scenario</w:t>
      </w:r>
      <w:r>
        <w:t xml:space="preserve">: A contractor purchases </w:t>
      </w:r>
      <w:r>
        <w:rPr>
          <w:b/>
        </w:rPr>
        <w:t>drilling equipment</w:t>
      </w:r>
      <w:r>
        <w:t xml:space="preserve"> from an affiliated manufacturer. The equipment incorporates </w:t>
      </w:r>
      <w:r>
        <w:rPr>
          <w:b/>
        </w:rPr>
        <w:t>patented technology</w:t>
      </w:r>
      <w:r>
        <w:t xml:space="preserve">. The sale price includes a </w:t>
      </w:r>
      <w:r>
        <w:rPr>
          <w:b/>
        </w:rPr>
        <w:t>markup for the embedded IP</w:t>
      </w:r>
      <w:r>
        <w:t>.</w:t>
      </w:r>
    </w:p>
    <w:p>
      <w:r>
        <w:rPr>
          <w:b/>
        </w:rPr>
        <w:t>Question</w:t>
      </w:r>
      <w:r>
        <w:t xml:space="preserve">: Should part of the purchase price be recharacterized as a </w:t>
      </w:r>
      <w:r>
        <w:rPr>
          <w:b/>
        </w:rPr>
        <w:t>royalty</w:t>
      </w:r>
      <w:r>
        <w:t>?</w:t>
      </w:r>
    </w:p>
    <w:p>
      <w:r>
        <w:rPr>
          <w:b/>
        </w:rPr>
        <w:t>Tax Authority Position</w:t>
      </w:r>
      <w:r>
        <w:t xml:space="preserve">: Some jurisdictions argue that the </w:t>
      </w:r>
      <w:r>
        <w:rPr>
          <w:b/>
        </w:rPr>
        <w:t>IP component</w:t>
      </w:r>
      <w:r>
        <w:t xml:space="preserve"> should be separately identified and subjected to WHT as a royalty.</w:t>
      </w:r>
    </w:p>
    <w:p>
      <w:r>
        <w:rPr>
          <w:b/>
        </w:rPr>
        <w:t>Taxpayer Defense</w:t>
      </w:r>
      <w:r>
        <w:t>:</w:t>
      </w:r>
    </w:p>
    <w:p>
      <w:pPr>
        <w:pStyle w:val="ListBullet"/>
      </w:pPr>
      <w:r>
        <w:t xml:space="preserve">Sale of equipment transfers </w:t>
      </w:r>
      <w:r>
        <w:rPr>
          <w:b/>
        </w:rPr>
        <w:t>ownership</w:t>
      </w:r>
      <w:r>
        <w:t xml:space="preserve"> of physical goods containing IP</w:t>
      </w:r>
    </w:p>
    <w:p>
      <w:pPr>
        <w:pStyle w:val="ListBullet"/>
      </w:pPr>
      <w:r>
        <w:t>No separate "right to use" IP is granted</w:t>
      </w:r>
    </w:p>
    <w:p>
      <w:pPr>
        <w:pStyle w:val="ListBullet"/>
      </w:pPr>
      <w:r>
        <w:t xml:space="preserve">Under </w:t>
      </w:r>
      <w:r>
        <w:rPr>
          <w:b/>
        </w:rPr>
        <w:t>Article 12</w:t>
      </w:r>
      <w:r>
        <w:t>, royalties are for "use or right to use" IP, not embedded in purchased goods</w:t>
      </w:r>
    </w:p>
    <w:p>
      <w:r>
        <w:rPr>
          <w:b/>
        </w:rPr>
        <w:t>Treaty Analysis</w:t>
      </w:r>
      <w:r>
        <w:t xml:space="preserve">: Most treaties would classify this as a </w:t>
      </w:r>
      <w:r>
        <w:rPr>
          <w:b/>
        </w:rPr>
        <w:t>sale of goods (Article 7)</w:t>
      </w:r>
      <w:r>
        <w:t xml:space="preserve">, not a royalty, unless there is a </w:t>
      </w:r>
      <w:r>
        <w:rPr>
          <w:b/>
        </w:rPr>
        <w:t>separate license</w:t>
      </w:r>
      <w:r>
        <w:t xml:space="preserve"> for the IP rights.</w:t>
      </w:r>
    </w:p>
    <w:p>
      <w:pPr>
        <w:spacing w:before="120" w:after="120"/>
        <w:pBdr>
          <w:bottom w:val="single" w:sz="6" w:space="1" w:color="auto"/>
        </w:pBdr>
      </w:pPr>
    </w:p>
    <w:p>
      <w:pPr>
        <w:pStyle w:val="Heading2"/>
      </w:pPr>
      <w:r>
        <w:t>4. Transfer Pricing for Royalties</w:t>
      </w:r>
    </w:p>
    <w:p>
      <w:pPr>
        <w:pStyle w:val="Heading3"/>
      </w:pPr>
      <w:r>
        <w:t>4.1 Arm's Length Royalty Rates</w:t>
      </w:r>
    </w:p>
    <w:p>
      <w:r>
        <w:rPr>
          <w:b/>
        </w:rPr>
        <w:t>OECD Transfer Pricing Guidelines</w:t>
      </w:r>
      <w:r>
        <w:t xml:space="preserve"> require that royalties between </w:t>
      </w:r>
      <w:r>
        <w:rPr>
          <w:b/>
        </w:rPr>
        <w:t>related parties</w:t>
      </w:r>
      <w:r>
        <w:t xml:space="preserve"> reflect </w:t>
      </w:r>
      <w:r>
        <w:rPr>
          <w:b/>
        </w:rPr>
        <w:t>arm's length rates</w:t>
      </w:r>
      <w:r>
        <w:t xml:space="preserve"> charged between independent parties.</w:t>
      </w:r>
    </w:p>
    <w:p>
      <w:pPr>
        <w:pStyle w:val="Heading4"/>
      </w:pPr>
      <w:r>
        <w:t>Factors Affecting Arm's Length Rates</w:t>
      </w:r>
    </w:p>
    <w:p>
      <w:pPr>
        <w:pStyle w:val="ListNumber"/>
      </w:pPr>
      <w:r>
        <w:rPr>
          <w:b/>
        </w:rPr>
        <w:t>Exclusivity</w:t>
      </w:r>
      <w:r>
        <w:t>: Exclusive licenses command higher rates than non-exclusive</w:t>
      </w:r>
    </w:p>
    <w:p>
      <w:pPr>
        <w:pStyle w:val="ListNumber"/>
      </w:pPr>
      <w:r>
        <w:rPr>
          <w:b/>
        </w:rPr>
        <w:t>Geographic scope</w:t>
      </w:r>
      <w:r>
        <w:t>: Worldwide rights vs. limited territory</w:t>
      </w:r>
    </w:p>
    <w:p>
      <w:pPr>
        <w:pStyle w:val="ListNumber"/>
      </w:pPr>
      <w:r>
        <w:rPr>
          <w:b/>
        </w:rPr>
        <w:t>Industry sector</w:t>
      </w:r>
      <w:r>
        <w:t>: High-tech industries typically have higher rates</w:t>
      </w:r>
    </w:p>
    <w:p>
      <w:pPr>
        <w:pStyle w:val="ListNumber"/>
      </w:pPr>
      <w:r>
        <w:rPr>
          <w:b/>
        </w:rPr>
        <w:t>Competitive alternatives</w:t>
      </w:r>
      <w:r>
        <w:t>: Availability of substitute technologies affects pricing</w:t>
      </w:r>
    </w:p>
    <w:p>
      <w:pPr>
        <w:pStyle w:val="ListNumber"/>
      </w:pPr>
      <w:r>
        <w:rPr>
          <w:b/>
        </w:rPr>
        <w:t>Stage of development</w:t>
      </w:r>
      <w:r>
        <w:t>: Proven technologies vs. experimental</w:t>
      </w:r>
    </w:p>
    <w:p>
      <w:pPr>
        <w:pStyle w:val="ListNumber"/>
      </w:pPr>
      <w:r>
        <w:rPr>
          <w:b/>
        </w:rPr>
        <w:t>Economic environment</w:t>
      </w:r>
      <w:r>
        <w:t>: Market size, growth potential, risk profile</w:t>
      </w:r>
    </w:p>
    <w:p>
      <w:pPr>
        <w:pStyle w:val="Heading4"/>
      </w:pPr>
      <w:r>
        <w:t>Benchmark Royalty Rates by Technology Type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Technology Type</w:t>
            </w:r>
          </w:p>
        </w:tc>
        <w:tc>
          <w:tcPr>
            <w:tcW w:type="dxa" w:w="4320"/>
          </w:tcPr>
          <w:p>
            <w:r>
              <w:rPr>
                <w:b/>
              </w:rPr>
            </w:r>
            <w:r>
              <w:rPr>
                <w:b/>
              </w:rPr>
              <w:t>Typical Royalty Rate (% of Revenue)</w:t>
            </w:r>
          </w:p>
        </w:tc>
      </w:tr>
      <w:tr>
        <w:tc>
          <w:tcPr>
            <w:tcW w:type="dxa" w:w="4320"/>
          </w:tcPr>
          <w:p>
            <w:r/>
            <w:r>
              <w:rPr>
                <w:b/>
              </w:rPr>
              <w:t>Seismic processing software</w:t>
            </w:r>
          </w:p>
        </w:tc>
        <w:tc>
          <w:tcPr>
            <w:tcW w:type="dxa" w:w="4320"/>
          </w:tcPr>
          <w:p>
            <w:r/>
            <w:r>
              <w:t>5-10%</w:t>
            </w:r>
          </w:p>
        </w:tc>
      </w:tr>
      <w:tr>
        <w:tc>
          <w:tcPr>
            <w:tcW w:type="dxa" w:w="4320"/>
          </w:tcPr>
          <w:p>
            <w:r/>
            <w:r>
              <w:rPr>
                <w:b/>
              </w:rPr>
              <w:t>Drilling optimization systems</w:t>
            </w:r>
          </w:p>
        </w:tc>
        <w:tc>
          <w:tcPr>
            <w:tcW w:type="dxa" w:w="4320"/>
          </w:tcPr>
          <w:p>
            <w:r/>
            <w:r>
              <w:t>3-7%</w:t>
            </w:r>
          </w:p>
        </w:tc>
      </w:tr>
      <w:tr>
        <w:tc>
          <w:tcPr>
            <w:tcW w:type="dxa" w:w="4320"/>
          </w:tcPr>
          <w:p>
            <w:r/>
            <w:r>
              <w:rPr>
                <w:b/>
              </w:rPr>
              <w:t>EOR chemical formulations</w:t>
            </w:r>
          </w:p>
        </w:tc>
        <w:tc>
          <w:tcPr>
            <w:tcW w:type="dxa" w:w="4320"/>
          </w:tcPr>
          <w:p>
            <w:r/>
            <w:r>
              <w:t>4-8%</w:t>
            </w:r>
          </w:p>
        </w:tc>
      </w:tr>
      <w:tr>
        <w:tc>
          <w:tcPr>
            <w:tcW w:type="dxa" w:w="4320"/>
          </w:tcPr>
          <w:p>
            <w:r/>
            <w:r>
              <w:rPr>
                <w:b/>
              </w:rPr>
              <w:t>Production monitoring platforms</w:t>
            </w:r>
          </w:p>
        </w:tc>
        <w:tc>
          <w:tcPr>
            <w:tcW w:type="dxa" w:w="4320"/>
          </w:tcPr>
          <w:p>
            <w:r/>
            <w:r>
              <w:t>5-12%</w:t>
            </w:r>
          </w:p>
        </w:tc>
      </w:tr>
      <w:tr>
        <w:tc>
          <w:tcPr>
            <w:tcW w:type="dxa" w:w="4320"/>
          </w:tcPr>
          <w:p>
            <w:r/>
            <w:r>
              <w:rPr>
                <w:b/>
              </w:rPr>
              <w:t>Generic software licenses</w:t>
            </w:r>
          </w:p>
        </w:tc>
        <w:tc>
          <w:tcPr>
            <w:tcW w:type="dxa" w:w="4320"/>
          </w:tcPr>
          <w:p>
            <w:r/>
            <w:r>
              <w:t>3-5%</w:t>
            </w:r>
          </w:p>
        </w:tc>
      </w:tr>
    </w:tbl>
    <w:p/>
    <w:p>
      <w:r>
        <w:rPr>
          <w:b/>
        </w:rPr>
        <w:t>Note</w:t>
      </w:r>
      <w:r>
        <w:t xml:space="preserve">: These are </w:t>
      </w:r>
      <w:r>
        <w:rPr>
          <w:b/>
        </w:rPr>
        <w:t>general ranges</w:t>
      </w:r>
      <w:r>
        <w:t xml:space="preserve">. Actual arm's length rates depend on specific circumstances and must be supported by </w:t>
      </w:r>
      <w:r>
        <w:rPr>
          <w:b/>
        </w:rPr>
        <w:t>comparability analysis</w:t>
      </w:r>
      <w:r>
        <w:t>.</w:t>
      </w:r>
    </w:p>
    <w:p>
      <w:pPr>
        <w:pStyle w:val="Heading3"/>
      </w:pPr>
      <w:r>
        <w:t>4.2 Transfer Pricing Methods for Royalties</w:t>
      </w:r>
    </w:p>
    <w:p>
      <w:pPr>
        <w:pStyle w:val="Heading4"/>
      </w:pPr>
      <w:r>
        <w:t>Comparable Uncontrolled Price (CUP) Method</w:t>
      </w:r>
    </w:p>
    <w:p>
      <w:r>
        <w:rPr>
          <w:b/>
        </w:rPr>
        <w:t>Most reliable method</w:t>
      </w:r>
      <w:r>
        <w:t xml:space="preserve"> when comparable third-party licenses exist:</w:t>
      </w:r>
    </w:p>
    <w:p>
      <w:r>
        <w:rPr>
          <w:b/>
        </w:rPr>
        <w:t>Internal CUP</w:t>
      </w:r>
      <w:r>
        <w:t>: Licensor licenses similar IP to unrelated parties under comparable terms.</w:t>
      </w:r>
    </w:p>
    <w:p>
      <w:r>
        <w:rPr>
          <w:b/>
        </w:rPr>
        <w:t>External CUP</w:t>
      </w:r>
      <w:r>
        <w:t>: Unrelated parties license comparable IP under comparable terms.</w:t>
      </w:r>
    </w:p>
    <w:p>
      <w:r>
        <w:rPr>
          <w:b/>
        </w:rPr>
        <w:t>Adjustments required for</w:t>
      </w:r>
      <w:r>
        <w:t>:</w:t>
      </w:r>
    </w:p>
    <w:p>
      <w:pPr>
        <w:pStyle w:val="ListBullet"/>
      </w:pPr>
      <w:r>
        <w:t>Differences in IP functionality and value</w:t>
      </w:r>
    </w:p>
    <w:p>
      <w:pPr>
        <w:pStyle w:val="ListBullet"/>
      </w:pPr>
      <w:r>
        <w:t>Geographic market differences</w:t>
      </w:r>
    </w:p>
    <w:p>
      <w:pPr>
        <w:pStyle w:val="ListBullet"/>
      </w:pPr>
      <w:r>
        <w:t>Exclusivity and restrictions</w:t>
      </w:r>
    </w:p>
    <w:p>
      <w:pPr>
        <w:pStyle w:val="ListBullet"/>
      </w:pPr>
      <w:r>
        <w:t>License duration and renewal terms</w:t>
      </w:r>
    </w:p>
    <w:p>
      <w:pPr>
        <w:pStyle w:val="Heading4"/>
      </w:pPr>
      <w:r>
        <w:t>Profit Split Method</w:t>
      </w:r>
    </w:p>
    <w:p>
      <w:r>
        <w:t xml:space="preserve">Used when </w:t>
      </w:r>
      <w:r>
        <w:rPr>
          <w:b/>
        </w:rPr>
        <w:t>no comparable transactions</w:t>
      </w:r>
      <w:r>
        <w:t xml:space="preserve"> exist and both parties make unique, valuable contributions:</w:t>
      </w:r>
    </w:p>
    <w:p>
      <w:r>
        <w:rPr>
          <w:b/>
        </w:rPr>
        <w:t>Residual Profit Split</w:t>
      </w:r>
      <w:r>
        <w:t>:</w:t>
      </w:r>
    </w:p>
    <w:p>
      <w:pPr>
        <w:pStyle w:val="ListNumber"/>
      </w:pPr>
      <w:r>
        <w:t xml:space="preserve">Allocate </w:t>
      </w:r>
      <w:r>
        <w:rPr>
          <w:b/>
        </w:rPr>
        <w:t>routine returns</w:t>
      </w:r>
      <w:r>
        <w:t xml:space="preserve"> to each party for non-IP functions (manufacturing, distribution, services)</w:t>
      </w:r>
    </w:p>
    <w:p>
      <w:pPr>
        <w:pStyle w:val="ListNumber"/>
      </w:pPr>
      <w:r>
        <w:t xml:space="preserve">Allocate </w:t>
      </w:r>
      <w:r>
        <w:rPr>
          <w:b/>
        </w:rPr>
        <w:t>residual profit</w:t>
      </w:r>
      <w:r>
        <w:t xml:space="preserve"> (profit above routine returns) based on relative IP contributions</w:t>
      </w:r>
    </w:p>
    <w:p>
      <w:r>
        <w:rPr>
          <w:b/>
        </w:rPr>
        <w:t>Example</w:t>
      </w:r>
      <w:r>
        <w:t>:</w:t>
      </w:r>
    </w:p>
    <w:p>
      <w:pPr>
        <w:shd w:fill="F0F0F0"/>
        <w:spacing w:after="0" w:line="240" w:lineRule="auto"/>
      </w:pPr>
      <w:r>
        <w:rPr>
          <w:rFonts w:ascii="Courier New" w:hAnsi="Courier New"/>
          <w:sz w:val="20"/>
        </w:rPr>
        <w:t>Combined profit from licensed product = $20 million</w:t>
      </w:r>
    </w:p>
    <w:p>
      <w:pPr>
        <w:shd w:fill="F0F0F0"/>
        <w:spacing w:after="0" w:line="240" w:lineRule="auto"/>
      </w:pPr>
      <w:r>
        <w:rPr>
          <w:rFonts w:ascii="Courier New" w:hAnsi="Courier New"/>
          <w:sz w:val="20"/>
        </w:rPr>
        <w:t>Routine return to licensee (distribution function) = $5 million</w:t>
      </w:r>
    </w:p>
    <w:p>
      <w:pPr>
        <w:shd w:fill="F0F0F0"/>
        <w:spacing w:after="0" w:line="240" w:lineRule="auto"/>
      </w:pPr>
      <w:r>
        <w:rPr>
          <w:rFonts w:ascii="Courier New" w:hAnsi="Courier New"/>
          <w:sz w:val="20"/>
        </w:rPr>
        <w:t>Residual profit attributable to IP = $15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If licensor developed 80% of the IP value and licensee 20%:</w:t>
      </w:r>
    </w:p>
    <w:p>
      <w:pPr>
        <w:shd w:fill="F0F0F0"/>
        <w:spacing w:after="0" w:line="240" w:lineRule="auto"/>
      </w:pPr>
      <w:r>
        <w:rPr>
          <w:rFonts w:ascii="Courier New" w:hAnsi="Courier New"/>
          <w:sz w:val="20"/>
        </w:rPr>
        <w:t>Licensor's share of residual profit = $15M × 80% = $12 million</w:t>
      </w:r>
    </w:p>
    <w:p>
      <w:pPr>
        <w:shd w:fill="F0F0F0"/>
        <w:spacing w:after="0" w:line="240" w:lineRule="auto"/>
      </w:pPr>
      <w:r>
        <w:rPr>
          <w:rFonts w:ascii="Courier New" w:hAnsi="Courier New"/>
          <w:sz w:val="20"/>
        </w:rPr>
        <w:t>Licensee's share = $15M × 20% = $3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Implied royalty rate = $12M / Licensee's revenue</w:t>
      </w:r>
    </w:p>
    <w:p/>
    <w:p>
      <w:pPr>
        <w:pStyle w:val="Heading4"/>
      </w:pPr>
      <w:r>
        <w:t>Transactional Net Margin Method (TNMM)</w:t>
      </w:r>
    </w:p>
    <w:p>
      <w:r>
        <w:t xml:space="preserve">Compares </w:t>
      </w:r>
      <w:r>
        <w:rPr>
          <w:b/>
        </w:rPr>
        <w:t>net profit margin</w:t>
      </w:r>
      <w:r>
        <w:t xml:space="preserve"> of the </w:t>
      </w:r>
      <w:r>
        <w:rPr>
          <w:b/>
        </w:rPr>
        <w:t>tested party</w:t>
      </w:r>
      <w:r>
        <w:t xml:space="preserve"> (typically the licensee) to comparable companies:</w:t>
      </w:r>
    </w:p>
    <w:p>
      <w:r>
        <w:rPr>
          <w:b/>
        </w:rPr>
        <w:t>Analysis</w:t>
      </w:r>
      <w:r>
        <w:t>:</w:t>
      </w:r>
    </w:p>
    <w:p>
      <w:pPr>
        <w:pStyle w:val="ListNumber"/>
      </w:pPr>
      <w:r>
        <w:t>Identify comparable companies that license similar technology</w:t>
      </w:r>
    </w:p>
    <w:p>
      <w:pPr>
        <w:pStyle w:val="ListNumber"/>
      </w:pPr>
      <w:r>
        <w:t xml:space="preserve">Calculate comparable </w:t>
      </w:r>
      <w:r>
        <w:rPr>
          <w:b/>
        </w:rPr>
        <w:t>operating margin</w:t>
      </w:r>
      <w:r>
        <w:t xml:space="preserve"> range</w:t>
      </w:r>
    </w:p>
    <w:p>
      <w:pPr>
        <w:pStyle w:val="ListNumber"/>
      </w:pPr>
      <w:r>
        <w:t>Ensure tested party's margin falls within arm's length range</w:t>
      </w:r>
    </w:p>
    <w:p>
      <w:pPr>
        <w:pStyle w:val="ListNumber"/>
      </w:pPr>
      <w:r>
        <w:t>Implied royalty rate is the rate that yields an arm's length margin</w:t>
      </w:r>
    </w:p>
    <w:p>
      <w:r>
        <w:rPr>
          <w:b/>
        </w:rPr>
        <w:t>Limitation</w:t>
      </w:r>
      <w:r>
        <w:t>: Requires reliable comparables with similar functions, assets, and risks.</w:t>
      </w:r>
    </w:p>
    <w:p>
      <w:pPr>
        <w:pStyle w:val="Heading3"/>
      </w:pPr>
      <w:r>
        <w:t>4.3 Documentation Requirements</w:t>
      </w:r>
    </w:p>
    <w:p>
      <w:r>
        <w:rPr>
          <w:b/>
        </w:rPr>
        <w:t>Master File</w:t>
      </w:r>
      <w:r>
        <w:t xml:space="preserve"> (group-wide TP documentation):</w:t>
      </w:r>
    </w:p>
    <w:p>
      <w:pPr>
        <w:pStyle w:val="ListBullet"/>
      </w:pPr>
      <w:r>
        <w:t>Description of the MNE's IP, including ownership and value chain</w:t>
      </w:r>
    </w:p>
    <w:p>
      <w:pPr>
        <w:pStyle w:val="ListBullet"/>
      </w:pPr>
      <w:r>
        <w:t>List of IP-related agreements</w:t>
      </w:r>
    </w:p>
    <w:p>
      <w:pPr>
        <w:pStyle w:val="ListBullet"/>
      </w:pPr>
      <w:r>
        <w:t>Group's overall TP policies for IP</w:t>
      </w:r>
    </w:p>
    <w:p>
      <w:pPr>
        <w:pStyle w:val="ListBullet"/>
      </w:pPr>
      <w:r>
        <w:t>Explanation of how IP value was determined</w:t>
      </w:r>
    </w:p>
    <w:p>
      <w:r>
        <w:rPr>
          <w:b/>
        </w:rPr>
        <w:t>Local File</w:t>
      </w:r>
      <w:r>
        <w:t xml:space="preserve"> (entity-specific):</w:t>
      </w:r>
    </w:p>
    <w:p>
      <w:pPr>
        <w:pStyle w:val="ListBullet"/>
      </w:pPr>
      <w:r>
        <w:t>Detailed functional analysis of IP development and exploitation</w:t>
      </w:r>
    </w:p>
    <w:p>
      <w:pPr>
        <w:pStyle w:val="ListBullet"/>
      </w:pPr>
      <w:r>
        <w:t>Economic analysis supporting royalty rate</w:t>
      </w:r>
    </w:p>
    <w:p>
      <w:pPr>
        <w:pStyle w:val="ListBullet"/>
      </w:pPr>
      <w:r>
        <w:t>Comparability analysis with adjustments</w:t>
      </w:r>
    </w:p>
    <w:p>
      <w:pPr>
        <w:pStyle w:val="ListBullet"/>
      </w:pPr>
      <w:r>
        <w:t>Financial data supporting the method applied</w:t>
      </w:r>
    </w:p>
    <w:p>
      <w:r>
        <w:rPr>
          <w:b/>
        </w:rPr>
        <w:t>CbCR Considerations</w:t>
      </w:r>
      <w:r>
        <w:t xml:space="preserve">: Royalty flows between jurisdictions must be disclosed in </w:t>
      </w:r>
      <w:r>
        <w:rPr>
          <w:b/>
        </w:rPr>
        <w:t>Country-by-Country Reporting</w:t>
      </w:r>
      <w:r>
        <w:t>, highlighting structures where IP income is concentrated in low-tax jurisdictions.</w:t>
      </w:r>
    </w:p>
    <w:p>
      <w:pPr>
        <w:spacing w:before="120" w:after="120"/>
        <w:pBdr>
          <w:bottom w:val="single" w:sz="6" w:space="1" w:color="auto"/>
        </w:pBdr>
      </w:pPr>
    </w:p>
    <w:p>
      <w:pPr>
        <w:pStyle w:val="Heading2"/>
      </w:pPr>
      <w:r>
        <w:t>5. Anti-Avoidance and Limitation on Benefits</w:t>
      </w:r>
    </w:p>
    <w:p>
      <w:pPr>
        <w:pStyle w:val="Heading3"/>
      </w:pPr>
      <w:r>
        <w:t>5.1 Excessive Royalty Provisions</w:t>
      </w:r>
    </w:p>
    <w:p>
      <w:r>
        <w:rPr>
          <w:b/>
        </w:rPr>
        <w:t>Article 12(6) of OECD Model</w:t>
      </w:r>
      <w:r>
        <w:t xml:space="preserve"> contains an </w:t>
      </w:r>
      <w:r>
        <w:rPr>
          <w:b/>
        </w:rPr>
        <w:t>anti-avoidance provision</w:t>
      </w:r>
      <w:r>
        <w:t>:</w:t>
      </w:r>
    </w:p>
    <w:p>
      <w:r>
        <w:t>&gt; "Where, by reason of a special relationship between the payer and the beneficial owner..., the amount of the royalties...exceeds the amount which would have been agreed upon by the payer and the beneficial owner in the absence of such relationship, the provisions of this Article shall apply only to the last-mentioned amount. The excess part of the payments shall remain taxable according to the laws of each Contracting State..."</w:t>
      </w:r>
    </w:p>
    <w:p>
      <w:r>
        <w:rPr>
          <w:b/>
        </w:rPr>
        <w:t>Effect</w:t>
      </w:r>
      <w:r>
        <w:t xml:space="preserve">: If royalties exceed arm's length rates, the </w:t>
      </w:r>
      <w:r>
        <w:rPr>
          <w:b/>
        </w:rPr>
        <w:t>excess amount</w:t>
      </w:r>
      <w:r>
        <w:t>:</w:t>
      </w:r>
    </w:p>
    <w:p>
      <w:pPr>
        <w:pStyle w:val="ListBullet"/>
      </w:pPr>
      <w:r>
        <w:rPr>
          <w:b/>
        </w:rPr>
        <w:t>Loses treaty protection</w:t>
      </w:r>
      <w:r>
        <w:t xml:space="preserve"> (subject to full domestic WHT rate)</w:t>
      </w:r>
    </w:p>
    <w:p>
      <w:pPr>
        <w:pStyle w:val="ListBullet"/>
      </w:pPr>
      <w:r>
        <w:t xml:space="preserve">May be </w:t>
      </w:r>
      <w:r>
        <w:rPr>
          <w:b/>
        </w:rPr>
        <w:t>recharacterized</w:t>
      </w:r>
      <w:r>
        <w:t xml:space="preserve"> as a different type of payment (e.g., dividend)</w:t>
      </w:r>
    </w:p>
    <w:p>
      <w:pPr>
        <w:pStyle w:val="ListBullet"/>
      </w:pPr>
      <w:r>
        <w:t xml:space="preserve">Triggers </w:t>
      </w:r>
      <w:r>
        <w:rPr>
          <w:b/>
        </w:rPr>
        <w:t>transfer pricing adjustments</w:t>
      </w:r>
      <w:r>
        <w:t xml:space="preserve"> and potential penalties</w:t>
      </w:r>
    </w:p>
    <w:p>
      <w:pPr>
        <w:pStyle w:val="Heading3"/>
      </w:pPr>
      <w:r>
        <w:t>5.2 Limitation on Benefits (LOB) Clauses</w:t>
      </w:r>
    </w:p>
    <w:p>
      <w:r>
        <w:t xml:space="preserve">Many U.S. tax treaties include </w:t>
      </w:r>
      <w:r>
        <w:rPr>
          <w:b/>
        </w:rPr>
        <w:t>LOB provisions</w:t>
      </w:r>
      <w:r>
        <w:t xml:space="preserve"> to prevent </w:t>
      </w:r>
      <w:r>
        <w:rPr>
          <w:b/>
        </w:rPr>
        <w:t>treaty shopping</w:t>
      </w:r>
      <w:r>
        <w:t>:</w:t>
      </w:r>
    </w:p>
    <w:p>
      <w:r>
        <w:rPr>
          <w:b/>
        </w:rPr>
        <w:t>Example</w:t>
      </w:r>
      <w:r>
        <w:t xml:space="preserve">: A Cayman Islands company establishes a </w:t>
      </w:r>
      <w:r>
        <w:rPr>
          <w:b/>
        </w:rPr>
        <w:t>Netherlands subsidiary</w:t>
      </w:r>
      <w:r>
        <w:t xml:space="preserve"> solely to receive royalties from a U.S. licensee and benefit from the </w:t>
      </w:r>
      <w:r>
        <w:rPr>
          <w:b/>
        </w:rPr>
        <w:t>0% WHT</w:t>
      </w:r>
      <w:r>
        <w:t xml:space="preserve"> under the U.S.-Netherlands treaty.</w:t>
      </w:r>
    </w:p>
    <w:p>
      <w:r>
        <w:rPr>
          <w:b/>
        </w:rPr>
        <w:t>LOB Test</w:t>
      </w:r>
      <w:r>
        <w:t>: The Netherlands company must satisfy one of the following:</w:t>
      </w:r>
    </w:p>
    <w:p>
      <w:pPr>
        <w:pStyle w:val="ListNumber"/>
      </w:pPr>
      <w:r>
        <w:rPr>
          <w:b/>
        </w:rPr>
        <w:t>Qualified person test</w:t>
      </w:r>
      <w:r>
        <w:t>: Meets ownership and base erosion thresholds</w:t>
      </w:r>
    </w:p>
    <w:p>
      <w:pPr>
        <w:pStyle w:val="ListNumber"/>
      </w:pPr>
      <w:r>
        <w:rPr>
          <w:b/>
        </w:rPr>
        <w:t>Active trade or business test</w:t>
      </w:r>
      <w:r>
        <w:t>: Engaged in active business in Netherlands related to royalty income</w:t>
      </w:r>
    </w:p>
    <w:p>
      <w:pPr>
        <w:pStyle w:val="ListNumber"/>
      </w:pPr>
      <w:r>
        <w:rPr>
          <w:b/>
        </w:rPr>
        <w:t>Derivative benefits test</w:t>
      </w:r>
      <w:r>
        <w:t>: Owned by residents of qualified countries</w:t>
      </w:r>
    </w:p>
    <w:p>
      <w:pPr>
        <w:pStyle w:val="ListNumber"/>
      </w:pPr>
      <w:r>
        <w:rPr>
          <w:b/>
        </w:rPr>
        <w:t>Discretionary relief</w:t>
      </w:r>
      <w:r>
        <w:t>: Competent authority grants treaty benefits</w:t>
      </w:r>
    </w:p>
    <w:p>
      <w:r>
        <w:rPr>
          <w:b/>
        </w:rPr>
        <w:t>Substance Requirements</w:t>
      </w:r>
      <w:r>
        <w:t xml:space="preserve">: Even if LOB is satisfied, the Netherlands company must be the </w:t>
      </w:r>
      <w:r>
        <w:rPr>
          <w:b/>
        </w:rPr>
        <w:t>beneficial owner</w:t>
      </w:r>
      <w:r>
        <w:t xml:space="preserve"> (not a mere conduit).</w:t>
      </w:r>
    </w:p>
    <w:p>
      <w:pPr>
        <w:pStyle w:val="Heading3"/>
      </w:pPr>
      <w:r>
        <w:t>5.3 Principal Purpose Test (PPT)</w:t>
      </w:r>
    </w:p>
    <w:p>
      <w:r>
        <w:rPr>
          <w:b/>
        </w:rPr>
        <w:t>OECD BEPS Action 6</w:t>
      </w:r>
      <w:r>
        <w:t xml:space="preserve"> introduced the </w:t>
      </w:r>
      <w:r>
        <w:rPr>
          <w:b/>
        </w:rPr>
        <w:t>Principal Purpose Test (PPT)</w:t>
      </w:r>
      <w:r>
        <w:t xml:space="preserve"> to deny treaty benefits if:</w:t>
      </w:r>
    </w:p>
    <w:p>
      <w:r>
        <w:t xml:space="preserve">&gt; "...obtaining that benefit was </w:t>
      </w:r>
      <w:r>
        <w:rPr>
          <w:b/>
        </w:rPr>
        <w:t>one of the principal purposes</w:t>
      </w:r>
      <w:r>
        <w:t xml:space="preserve"> of any arrangement or transaction..., unless it is established that granting that benefit in these circumstances would be in accordance with the object and purpose of the relevant provisions of the treaty."</w:t>
      </w:r>
    </w:p>
    <w:p>
      <w:r>
        <w:rPr>
          <w:b/>
        </w:rPr>
        <w:t>Application to Royalties</w:t>
      </w:r>
      <w:r>
        <w:t xml:space="preserve">: If an IP holding structure's </w:t>
      </w:r>
      <w:r>
        <w:rPr>
          <w:b/>
        </w:rPr>
        <w:t>principal purpose</w:t>
      </w:r>
      <w:r>
        <w:t xml:space="preserve"> is to obtain favorable WHT treatment (rather than genuine business reasons), treaty benefits may be </w:t>
      </w:r>
      <w:r>
        <w:rPr>
          <w:b/>
        </w:rPr>
        <w:t>denied</w:t>
      </w:r>
      <w:r>
        <w:t>.</w:t>
      </w:r>
    </w:p>
    <w:p>
      <w:r>
        <w:rPr>
          <w:b/>
        </w:rPr>
        <w:t>Defenses</w:t>
      </w:r>
      <w:r>
        <w:t>:</w:t>
      </w:r>
    </w:p>
    <w:p>
      <w:pPr>
        <w:pStyle w:val="ListBullet"/>
      </w:pPr>
      <w:r>
        <w:t xml:space="preserve">Demonstrating </w:t>
      </w:r>
      <w:r>
        <w:rPr>
          <w:b/>
        </w:rPr>
        <w:t>commercial substance</w:t>
      </w:r>
      <w:r>
        <w:t xml:space="preserve"> and business reasons</w:t>
      </w:r>
    </w:p>
    <w:p>
      <w:pPr>
        <w:pStyle w:val="ListBullet"/>
      </w:pPr>
      <w:r>
        <w:t xml:space="preserve">Showing IP HoldCo has </w:t>
      </w:r>
      <w:r>
        <w:rPr>
          <w:b/>
        </w:rPr>
        <w:t>real decision-making authority</w:t>
      </w:r>
    </w:p>
    <w:p>
      <w:pPr>
        <w:pStyle w:val="ListBullet"/>
      </w:pPr>
      <w:r>
        <w:t xml:space="preserve">Evidencing </w:t>
      </w:r>
      <w:r>
        <w:rPr>
          <w:b/>
        </w:rPr>
        <w:t>value creation</w:t>
      </w:r>
      <w:r>
        <w:t xml:space="preserve"> in the IP HoldCo jurisdiction</w:t>
      </w:r>
    </w:p>
    <w:p>
      <w:pPr>
        <w:spacing w:before="120" w:after="120"/>
        <w:pBdr>
          <w:bottom w:val="single" w:sz="6" w:space="1" w:color="auto"/>
        </w:pBdr>
      </w:pPr>
    </w:p>
    <w:p>
      <w:pPr>
        <w:pStyle w:val="Heading2"/>
      </w:pPr>
      <w:r>
        <w:t>6. Special Issues in PSC and JOA Contexts</w:t>
      </w:r>
    </w:p>
    <w:p>
      <w:pPr>
        <w:pStyle w:val="Heading3"/>
      </w:pPr>
      <w:r>
        <w:t>6.1 Royalty-Free IP Sharing in Joint Ventures</w:t>
      </w:r>
    </w:p>
    <w:p>
      <w:r>
        <w:t xml:space="preserve">In </w:t>
      </w:r>
      <w:r>
        <w:rPr>
          <w:b/>
        </w:rPr>
        <w:t>Joint Operating Agreements (JOAs)</w:t>
      </w:r>
      <w:r>
        <w:t xml:space="preserve"> and </w:t>
      </w:r>
      <w:r>
        <w:rPr>
          <w:b/>
        </w:rPr>
        <w:t>production sharing contracts (PSCs)</w:t>
      </w:r>
      <w:r>
        <w:t xml:space="preserve">, parties often agree to </w:t>
      </w:r>
      <w:r>
        <w:rPr>
          <w:b/>
        </w:rPr>
        <w:t>share IP royalty-free</w:t>
      </w:r>
      <w:r>
        <w:t>:</w:t>
      </w:r>
    </w:p>
    <w:p>
      <w:r>
        <w:rPr>
          <w:b/>
        </w:rPr>
        <w:t>Typical Clause</w:t>
      </w:r>
      <w:r>
        <w:t>:</w:t>
      </w:r>
    </w:p>
    <w:p>
      <w:r>
        <w:t>&gt; "Each party grants to the other parties a non-exclusive, royalty-free license to use its proprietary technologies and know-how solely for purposes of operations under this Agreement."</w:t>
      </w:r>
    </w:p>
    <w:p>
      <w:r>
        <w:rPr>
          <w:b/>
        </w:rPr>
        <w:t>Tax Implications</w:t>
      </w:r>
      <w:r>
        <w:t>:</w:t>
      </w:r>
    </w:p>
    <w:p>
      <w:pPr>
        <w:pStyle w:val="ListNumber"/>
      </w:pPr>
      <w:r>
        <w:rPr>
          <w:b/>
        </w:rPr>
        <w:t>No royalty income</w:t>
      </w:r>
      <w:r>
        <w:t>: Parties do not recognize taxable royalty income from JOA partners</w:t>
      </w:r>
    </w:p>
    <w:p>
      <w:pPr>
        <w:pStyle w:val="ListNumber"/>
      </w:pPr>
      <w:r>
        <w:rPr>
          <w:b/>
        </w:rPr>
        <w:t>Cost sharing</w:t>
      </w:r>
      <w:r>
        <w:t>: IP development costs are shared proportionally to equity interests</w:t>
      </w:r>
    </w:p>
    <w:p>
      <w:pPr>
        <w:pStyle w:val="ListNumber"/>
      </w:pPr>
      <w:r>
        <w:rPr>
          <w:b/>
        </w:rPr>
        <w:t>Third-party royalties</w:t>
      </w:r>
      <w:r>
        <w:t>: Payments to non-JOA parties (e.g., Schlumberger) are cost-recoverable</w:t>
      </w:r>
    </w:p>
    <w:p>
      <w:r>
        <w:rPr>
          <w:b/>
        </w:rPr>
        <w:t>Transfer Pricing Consideration</w:t>
      </w:r>
      <w:r>
        <w:t xml:space="preserve">: Tax authorities may challenge whether the </w:t>
      </w:r>
      <w:r>
        <w:rPr>
          <w:b/>
        </w:rPr>
        <w:t>royalty-free arrangement</w:t>
      </w:r>
      <w:r>
        <w:t xml:space="preserve"> is arm's length if:</w:t>
      </w:r>
    </w:p>
    <w:p>
      <w:pPr>
        <w:pStyle w:val="ListBullet"/>
      </w:pPr>
      <w:r>
        <w:t>One party contributes significantly more valuable IP than others</w:t>
      </w:r>
    </w:p>
    <w:p>
      <w:pPr>
        <w:pStyle w:val="ListBullet"/>
      </w:pPr>
      <w:r>
        <w:t>Equity interests do not reflect IP contribution value</w:t>
      </w:r>
    </w:p>
    <w:p>
      <w:pPr>
        <w:pStyle w:val="ListBullet"/>
      </w:pPr>
      <w:r>
        <w:t>Similar IP is licensed to third parties on a royalty-bearing basis</w:t>
      </w:r>
    </w:p>
    <w:p>
      <w:r>
        <w:rPr>
          <w:b/>
        </w:rPr>
        <w:t>Defense</w:t>
      </w:r>
      <w:r>
        <w:t xml:space="preserve">: Demonstrate that </w:t>
      </w:r>
      <w:r>
        <w:rPr>
          <w:b/>
        </w:rPr>
        <w:t>cost-sharing arrangement</w:t>
      </w:r>
      <w:r>
        <w:t xml:space="preserve"> is compensatory:</w:t>
      </w:r>
    </w:p>
    <w:p>
      <w:pPr>
        <w:shd w:fill="F0F0F0"/>
        <w:spacing w:after="0" w:line="240" w:lineRule="auto"/>
      </w:pPr>
      <w:r>
        <w:rPr>
          <w:rFonts w:ascii="Courier New" w:hAnsi="Courier New"/>
          <w:sz w:val="20"/>
        </w:rPr>
        <w:t>Party A's IP contribution value = $10 million</w:t>
      </w:r>
    </w:p>
    <w:p>
      <w:pPr>
        <w:shd w:fill="F0F0F0"/>
        <w:spacing w:after="0" w:line="240" w:lineRule="auto"/>
      </w:pPr>
      <w:r>
        <w:rPr>
          <w:rFonts w:ascii="Courier New" w:hAnsi="Courier New"/>
          <w:sz w:val="20"/>
        </w:rPr>
        <w:t>Party B's IP contribution value = $5 million</w:t>
      </w:r>
    </w:p>
    <w:p>
      <w:pPr>
        <w:shd w:fill="F0F0F0"/>
        <w:spacing w:after="0" w:line="240" w:lineRule="auto"/>
      </w:pPr>
      <w:r>
        <w:rPr>
          <w:rFonts w:ascii="Courier New" w:hAnsi="Courier New"/>
          <w:sz w:val="20"/>
        </w:rPr>
        <w:t>Total IP pool value = $15 million</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Party A's equity interest = 66.67%</w:t>
      </w:r>
    </w:p>
    <w:p>
      <w:pPr>
        <w:shd w:fill="F0F0F0"/>
        <w:spacing w:after="0" w:line="240" w:lineRule="auto"/>
      </w:pPr>
      <w:r>
        <w:rPr>
          <w:rFonts w:ascii="Courier New" w:hAnsi="Courier New"/>
          <w:sz w:val="20"/>
        </w:rPr>
        <w:t>Party B's equity interest = 33.33%</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Equity interests reflect IP contribution → Arm's length</w:t>
      </w:r>
    </w:p>
    <w:p/>
    <w:p>
      <w:pPr>
        <w:pStyle w:val="Heading3"/>
      </w:pPr>
      <w:r>
        <w:t>6.2 Government Rights to Contractor IP</w:t>
      </w:r>
    </w:p>
    <w:p>
      <w:r>
        <w:t xml:space="preserve">Many </w:t>
      </w:r>
      <w:r>
        <w:rPr>
          <w:b/>
        </w:rPr>
        <w:t>PSCs</w:t>
      </w:r>
      <w:r>
        <w:t xml:space="preserve"> and </w:t>
      </w:r>
      <w:r>
        <w:rPr>
          <w:b/>
        </w:rPr>
        <w:t>concession agreements</w:t>
      </w:r>
      <w:r>
        <w:t xml:space="preserve"> include provisions requiring contractors to grant the </w:t>
      </w:r>
      <w:r>
        <w:rPr>
          <w:b/>
        </w:rPr>
        <w:t>host government</w:t>
      </w:r>
      <w:r>
        <w:t xml:space="preserve"> or </w:t>
      </w:r>
      <w:r>
        <w:rPr>
          <w:b/>
        </w:rPr>
        <w:t>national oil company (NOC)</w:t>
      </w:r>
      <w:r>
        <w:t xml:space="preserve"> royalty-free access to IP developed under the contract:</w:t>
      </w:r>
    </w:p>
    <w:p>
      <w:r>
        <w:rPr>
          <w:b/>
        </w:rPr>
        <w:t>Typical Provision</w:t>
      </w:r>
      <w:r>
        <w:t>:</w:t>
      </w:r>
    </w:p>
    <w:p>
      <w:r>
        <w:t>&gt; "All data, information, and technologies developed in the course of petroleum operations shall be the property of the State and made available to [NOC] without royalty or restriction."</w:t>
      </w:r>
    </w:p>
    <w:p>
      <w:r>
        <w:rPr>
          <w:b/>
        </w:rPr>
        <w:t>Tax Implications</w:t>
      </w:r>
      <w:r>
        <w:t>:</w:t>
      </w:r>
    </w:p>
    <w:p>
      <w:pPr>
        <w:pStyle w:val="ListNumber"/>
      </w:pPr>
      <w:r>
        <w:rPr>
          <w:b/>
        </w:rPr>
        <w:t>No deduction for IP loss</w:t>
      </w:r>
      <w:r>
        <w:t>: Contractor cannot deduct the value of IP transferred to government</w:t>
      </w:r>
    </w:p>
    <w:p>
      <w:pPr>
        <w:pStyle w:val="ListNumber"/>
      </w:pPr>
      <w:r>
        <w:rPr>
          <w:b/>
        </w:rPr>
        <w:t>Cost recovery</w:t>
      </w:r>
      <w:r>
        <w:t xml:space="preserve">: Costs of developing the IP are recoverable as </w:t>
      </w:r>
      <w:r>
        <w:rPr>
          <w:b/>
        </w:rPr>
        <w:t>capital costs</w:t>
      </w:r>
      <w:r>
        <w:t xml:space="preserve"> under the PSC</w:t>
      </w:r>
    </w:p>
    <w:p>
      <w:pPr>
        <w:pStyle w:val="ListNumber"/>
      </w:pPr>
      <w:r>
        <w:rPr>
          <w:b/>
        </w:rPr>
        <w:t>Withholding tax</w:t>
      </w:r>
      <w:r>
        <w:t>: Generally no WHT applies since no cross-border payment occurs</w:t>
      </w:r>
    </w:p>
    <w:p>
      <w:r>
        <w:rPr>
          <w:b/>
        </w:rPr>
        <w:t>Commercial Impact</w:t>
      </w:r>
      <w:r>
        <w:t>: Contractors may be reluctant to deploy most advanced proprietary technologies if they must surrender IP rights to the government.</w:t>
      </w:r>
    </w:p>
    <w:p>
      <w:pPr>
        <w:spacing w:before="120" w:after="120"/>
        <w:pBdr>
          <w:bottom w:val="single" w:sz="6" w:space="1" w:color="auto"/>
        </w:pBdr>
      </w:pPr>
    </w:p>
    <w:p>
      <w:pPr>
        <w:pStyle w:val="Heading2"/>
      </w:pPr>
      <w:r>
        <w:t>7. Recent Developments and BEPS Considerations</w:t>
      </w:r>
    </w:p>
    <w:p>
      <w:pPr>
        <w:pStyle w:val="Heading3"/>
      </w:pPr>
      <w:r>
        <w:t>7.1 OECD BEPS Action 8-10: Transfer Pricing of Intangibles</w:t>
      </w:r>
    </w:p>
    <w:p>
      <w:r>
        <w:rPr>
          <w:b/>
        </w:rPr>
        <w:t>Key Changes</w:t>
      </w:r>
      <w:r>
        <w:t>:</w:t>
      </w:r>
    </w:p>
    <w:p>
      <w:pPr>
        <w:pStyle w:val="ListNumber"/>
      </w:pPr>
      <w:r>
        <w:rPr>
          <w:b/>
        </w:rPr>
        <w:t>Broader definition of intangibles</w:t>
      </w:r>
      <w:r>
        <w:t>: Includes anything of value not classified as physical or financial asset</w:t>
      </w:r>
    </w:p>
    <w:p>
      <w:pPr>
        <w:pStyle w:val="ListNumber"/>
      </w:pPr>
      <w:r>
        <w:rPr>
          <w:b/>
        </w:rPr>
        <w:t>Legal ownership alone insufficient</w:t>
      </w:r>
      <w:r>
        <w:t xml:space="preserve">: Transfer pricing outcomes must align with </w:t>
      </w:r>
      <w:r>
        <w:rPr>
          <w:b/>
        </w:rPr>
        <w:t>value creation</w:t>
      </w:r>
    </w:p>
    <w:p>
      <w:pPr>
        <w:pStyle w:val="ListNumber"/>
      </w:pPr>
      <w:r>
        <w:rPr>
          <w:b/>
        </w:rPr>
        <w:t>Hard-to-Value Intangibles (HTVI)</w:t>
      </w:r>
      <w:r>
        <w:t xml:space="preserve">: Tax authorities may use </w:t>
      </w:r>
      <w:r>
        <w:rPr>
          <w:b/>
        </w:rPr>
        <w:t>ex-post outcomes</w:t>
      </w:r>
      <w:r>
        <w:t xml:space="preserve"> to challenge pricing</w:t>
      </w:r>
    </w:p>
    <w:p>
      <w:pPr>
        <w:pStyle w:val="ListNumber"/>
      </w:pPr>
      <w:r>
        <w:rPr>
          <w:b/>
        </w:rPr>
        <w:t>Cost contribution arrangements (CCAs)</w:t>
      </w:r>
      <w:r>
        <w:t xml:space="preserve">: Must reflect participants' </w:t>
      </w:r>
      <w:r>
        <w:rPr>
          <w:b/>
        </w:rPr>
        <w:t>actual contributions</w:t>
      </w:r>
      <w:r>
        <w:t xml:space="preserve"> and benefits</w:t>
      </w:r>
    </w:p>
    <w:p>
      <w:pPr>
        <w:pStyle w:val="Heading3"/>
      </w:pPr>
      <w:r>
        <w:t>7.2 Digital Services Taxes (DST)</w:t>
      </w:r>
    </w:p>
    <w:p>
      <w:r>
        <w:t xml:space="preserve">Some countries have introduced </w:t>
      </w:r>
      <w:r>
        <w:rPr>
          <w:b/>
        </w:rPr>
        <w:t>Digital Services Taxes</w:t>
      </w:r>
      <w:r>
        <w:t xml:space="preserve"> on revenues from digital activities:</w:t>
      </w:r>
    </w:p>
    <w:p>
      <w:r>
        <w:rPr>
          <w:b/>
        </w:rPr>
        <w:t>Typical DST Structure</w:t>
      </w:r>
      <w:r>
        <w:t>:</w:t>
      </w:r>
    </w:p>
    <w:p>
      <w:pPr>
        <w:pStyle w:val="ListBullet"/>
      </w:pPr>
      <w:r>
        <w:rPr>
          <w:b/>
        </w:rPr>
        <w:t>Tax base</w:t>
      </w:r>
      <w:r>
        <w:t>: Gross revenue from digital services (advertising, data sales, platform fees)</w:t>
      </w:r>
    </w:p>
    <w:p>
      <w:pPr>
        <w:pStyle w:val="ListBullet"/>
      </w:pPr>
      <w:r>
        <w:rPr>
          <w:b/>
        </w:rPr>
        <w:t>Rate</w:t>
      </w:r>
      <w:r>
        <w:t>: 2-7.5%</w:t>
      </w:r>
    </w:p>
    <w:p>
      <w:pPr>
        <w:pStyle w:val="ListBullet"/>
      </w:pPr>
      <w:r>
        <w:rPr>
          <w:b/>
        </w:rPr>
        <w:t>Threshold</w:t>
      </w:r>
      <w:r>
        <w:t>: Applies to large multinationals exceeding revenue thresholds</w:t>
      </w:r>
    </w:p>
    <w:p>
      <w:r>
        <w:rPr>
          <w:b/>
        </w:rPr>
        <w:t>Impact on Software Royalties</w:t>
      </w:r>
      <w:r>
        <w:t xml:space="preserve">: DST may apply to software-as-a-service (SaaS) licensing, potentially creating </w:t>
      </w:r>
      <w:r>
        <w:rPr>
          <w:b/>
        </w:rPr>
        <w:t>double taxation</w:t>
      </w:r>
      <w:r>
        <w:t>:</w:t>
      </w:r>
    </w:p>
    <w:p>
      <w:pPr>
        <w:pStyle w:val="ListBullet"/>
      </w:pPr>
      <w:r>
        <w:rPr>
          <w:b/>
        </w:rPr>
        <w:t>DST</w:t>
      </w:r>
      <w:r>
        <w:t xml:space="preserve"> on gross revenue in source country</w:t>
      </w:r>
    </w:p>
    <w:p>
      <w:pPr>
        <w:pStyle w:val="ListBullet"/>
      </w:pPr>
      <w:r>
        <w:rPr>
          <w:b/>
        </w:rPr>
        <w:t>Corporate income tax</w:t>
      </w:r>
      <w:r>
        <w:t xml:space="preserve"> on net income in residence country</w:t>
      </w:r>
    </w:p>
    <w:p>
      <w:pPr>
        <w:pStyle w:val="ListBullet"/>
      </w:pPr>
      <w:r>
        <w:rPr>
          <w:b/>
        </w:rPr>
        <w:t>Limited credit</w:t>
      </w:r>
      <w:r>
        <w:t>: DST often not creditable against income tax</w:t>
      </w:r>
    </w:p>
    <w:p>
      <w:pPr>
        <w:pStyle w:val="Heading3"/>
      </w:pPr>
      <w:r>
        <w:t>7.3 Pillar Two and IP Structures</w:t>
      </w:r>
    </w:p>
    <w:p>
      <w:r>
        <w:rPr>
          <w:b/>
        </w:rPr>
        <w:t>OECD Pillar Two Global Minimum Tax (15%)</w:t>
      </w:r>
      <w:r>
        <w:t xml:space="preserve"> impacts IP holding structures:</w:t>
      </w:r>
    </w:p>
    <w:p>
      <w:r>
        <w:rPr>
          <w:b/>
        </w:rPr>
        <w:t>Effect</w:t>
      </w:r>
      <w:r>
        <w:t>:</w:t>
      </w:r>
    </w:p>
    <w:p>
      <w:pPr>
        <w:pStyle w:val="ListBullet"/>
      </w:pPr>
      <w:r>
        <w:t xml:space="preserve">IP income taxed at less than 15% may be subject to </w:t>
      </w:r>
      <w:r>
        <w:rPr>
          <w:b/>
        </w:rPr>
        <w:t>top-up tax</w:t>
      </w:r>
      <w:r>
        <w:t xml:space="preserve"> in parent jurisdiction</w:t>
      </w:r>
    </w:p>
    <w:p>
      <w:pPr>
        <w:pStyle w:val="ListBullet"/>
      </w:pPr>
      <w:r>
        <w:rPr>
          <w:b/>
        </w:rPr>
        <w:t>Patent Box regimes</w:t>
      </w:r>
      <w:r>
        <w:t xml:space="preserve"> offering rates below 15% become less attractive</w:t>
      </w:r>
    </w:p>
    <w:p>
      <w:pPr>
        <w:pStyle w:val="ListBullet"/>
      </w:pPr>
      <w:r>
        <w:rPr>
          <w:b/>
        </w:rPr>
        <w:t>Substance-based income exclusion (SBIE)</w:t>
      </w:r>
      <w:r>
        <w:t>: Provides limited carve-out for routine returns on tangible assets and payroll</w:t>
      </w:r>
    </w:p>
    <w:p>
      <w:r>
        <w:rPr>
          <w:b/>
        </w:rPr>
        <w:t>Strategic Implication</w:t>
      </w:r>
      <w:r>
        <w:t xml:space="preserve">: IP holding structures must be evaluated not just for traditional tax efficiency but also for </w:t>
      </w:r>
      <w:r>
        <w:rPr>
          <w:b/>
        </w:rPr>
        <w:t>Pillar Two ETR (Effective Tax Rate)</w:t>
      </w:r>
      <w:r>
        <w:t xml:space="preserve"> impact.</w:t>
      </w:r>
    </w:p>
    <w:p>
      <w:pPr>
        <w:spacing w:before="120" w:after="120"/>
        <w:pBdr>
          <w:bottom w:val="single" w:sz="6" w:space="1" w:color="auto"/>
        </w:pBdr>
      </w:pPr>
    </w:p>
    <w:p>
      <w:pPr>
        <w:pStyle w:val="Heading2"/>
      </w:pPr>
      <w:r>
        <w:t>WORKED EXAMPLE 1: Royalty Withholding Tax and Treaty Application</w:t>
      </w:r>
    </w:p>
    <w:p>
      <w:pPr>
        <w:pStyle w:val="Heading3"/>
      </w:pPr>
      <w:r>
        <w:t>Facts</w:t>
      </w:r>
    </w:p>
    <w:p>
      <w:r>
        <w:rPr>
          <w:b/>
        </w:rPr>
        <w:t>TechDrill Inc.</w:t>
      </w:r>
      <w:r>
        <w:t xml:space="preserve">, a U.S. company, has developed an innovative </w:t>
      </w:r>
      <w:r>
        <w:rPr>
          <w:b/>
        </w:rPr>
        <w:t>automated drilling control system (ADCS)</w:t>
      </w:r>
      <w:r>
        <w:t xml:space="preserve"> that uses artificial intelligence to optimize drilling parameters in real time. The system reduces drilling time by </w:t>
      </w:r>
      <w:r>
        <w:rPr>
          <w:b/>
        </w:rPr>
        <w:t>20%</w:t>
      </w:r>
      <w:r>
        <w:t xml:space="preserve"> and non-productive time (NPT) by </w:t>
      </w:r>
      <w:r>
        <w:rPr>
          <w:b/>
        </w:rPr>
        <w:t>35%</w:t>
      </w:r>
      <w:r>
        <w:t>, generating substantial cost savings for operators.</w:t>
      </w:r>
    </w:p>
    <w:p>
      <w:r>
        <w:rPr>
          <w:b/>
        </w:rPr>
        <w:t>TechDrill Inc.</w:t>
      </w:r>
      <w:r>
        <w:t xml:space="preserve"> licenses ADCS to </w:t>
      </w:r>
      <w:r>
        <w:rPr>
          <w:b/>
        </w:rPr>
        <w:t>NorthSea Energy ASA</w:t>
      </w:r>
      <w:r>
        <w:t>, a Norwegian operator, under the following terms:</w:t>
      </w:r>
    </w:p>
    <w:p>
      <w:pPr>
        <w:pStyle w:val="ListBullet"/>
      </w:pPr>
      <w:r>
        <w:rPr>
          <w:b/>
        </w:rPr>
        <w:t>License type</w:t>
      </w:r>
      <w:r>
        <w:t>: Non-exclusive license for use in NorthSea Energy's Norwegian Continental Shelf operations</w:t>
      </w:r>
    </w:p>
    <w:p>
      <w:pPr>
        <w:pStyle w:val="ListBullet"/>
      </w:pPr>
      <w:r>
        <w:rPr>
          <w:b/>
        </w:rPr>
        <w:t>Royalty rate</w:t>
      </w:r>
      <w:r>
        <w:t xml:space="preserve">: </w:t>
      </w:r>
      <w:r>
        <w:rPr>
          <w:b/>
        </w:rPr>
        <w:t>6% of cost savings</w:t>
      </w:r>
      <w:r>
        <w:t xml:space="preserve"> attributable to ADCS</w:t>
      </w:r>
    </w:p>
    <w:p>
      <w:pPr>
        <w:pStyle w:val="ListBullet"/>
      </w:pPr>
      <w:r>
        <w:rPr>
          <w:b/>
        </w:rPr>
        <w:t>Contract term</w:t>
      </w:r>
      <w:r>
        <w:t>: 5 years with automatic renewal</w:t>
      </w:r>
    </w:p>
    <w:p>
      <w:pPr>
        <w:pStyle w:val="ListBullet"/>
      </w:pPr>
      <w:r>
        <w:rPr>
          <w:b/>
        </w:rPr>
        <w:t>2024 cost savings</w:t>
      </w:r>
      <w:r>
        <w:t>: $12 million</w:t>
      </w:r>
    </w:p>
    <w:p>
      <w:pPr>
        <w:pStyle w:val="ListBullet"/>
      </w:pPr>
      <w:r>
        <w:rPr>
          <w:b/>
        </w:rPr>
        <w:t>2024 royalty payment</w:t>
      </w:r>
      <w:r>
        <w:t xml:space="preserve">: $12M × 6% = </w:t>
      </w:r>
      <w:r>
        <w:rPr>
          <w:b/>
        </w:rPr>
        <w:t>$720,000</w:t>
      </w:r>
    </w:p>
    <w:p>
      <w:r>
        <w:rPr>
          <w:b/>
        </w:rPr>
        <w:t>NorthSea Energy ASA</w:t>
      </w:r>
      <w:r>
        <w:t xml:space="preserve"> pays the royalty but questions whether </w:t>
      </w:r>
      <w:r>
        <w:rPr>
          <w:b/>
        </w:rPr>
        <w:t>withholding tax</w:t>
      </w:r>
      <w:r>
        <w:t xml:space="preserve"> applies.</w:t>
      </w:r>
    </w:p>
    <w:p>
      <w:r>
        <w:rPr>
          <w:b/>
        </w:rPr>
        <w:t>Relevant Facts</w:t>
      </w:r>
      <w:r>
        <w:t>:</w:t>
      </w:r>
    </w:p>
    <w:p>
      <w:pPr>
        <w:pStyle w:val="ListBullet"/>
      </w:pPr>
      <w:r>
        <w:t xml:space="preserve">Norway domestic law: </w:t>
      </w:r>
      <w:r>
        <w:rPr>
          <w:b/>
        </w:rPr>
        <w:t>0% withholding tax</w:t>
      </w:r>
      <w:r>
        <w:t xml:space="preserve"> on royalties paid to non-residents</w:t>
      </w:r>
    </w:p>
    <w:p>
      <w:pPr>
        <w:pStyle w:val="ListBullet"/>
      </w:pPr>
      <w:r>
        <w:t xml:space="preserve">U.S.-Norway tax treaty Article 12: Royalties taxable </w:t>
      </w:r>
      <w:r>
        <w:rPr>
          <w:b/>
        </w:rPr>
        <w:t>only in the State of residence</w:t>
      </w:r>
      <w:r>
        <w:t xml:space="preserve"> of the beneficial owner</w:t>
      </w:r>
    </w:p>
    <w:p>
      <w:pPr>
        <w:pStyle w:val="ListBullet"/>
      </w:pPr>
      <w:r>
        <w:t xml:space="preserve">TechDrill Inc.'s U.S. corporate tax rate: </w:t>
      </w:r>
      <w:r>
        <w:rPr>
          <w:b/>
        </w:rPr>
        <w:t>21%</w:t>
      </w:r>
    </w:p>
    <w:p>
      <w:pPr>
        <w:pStyle w:val="ListBullet"/>
      </w:pPr>
      <w:r>
        <w:t xml:space="preserve">TechDrill Inc. has </w:t>
      </w:r>
      <w:r>
        <w:rPr>
          <w:b/>
        </w:rPr>
        <w:t>no permanent establishment</w:t>
      </w:r>
      <w:r>
        <w:t xml:space="preserve"> in Norway</w:t>
      </w:r>
    </w:p>
    <w:p>
      <w:r>
        <w:rPr>
          <w:b/>
        </w:rPr>
        <w:t>Additional Complication</w:t>
      </w:r>
      <w:r>
        <w:t xml:space="preserve">: NorthSea Energy's legal team argues that the payment should be characterized as </w:t>
      </w:r>
      <w:r>
        <w:rPr>
          <w:b/>
        </w:rPr>
        <w:t>payment for services (Article 7)</w:t>
      </w:r>
      <w:r>
        <w:t xml:space="preserve">, not royalties, because TechDrill provides </w:t>
      </w:r>
      <w:r>
        <w:rPr>
          <w:b/>
        </w:rPr>
        <w:t>ongoing technical support</w:t>
      </w:r>
      <w:r>
        <w:t xml:space="preserve"> including:</w:t>
      </w:r>
    </w:p>
    <w:p>
      <w:pPr>
        <w:pStyle w:val="ListBullet"/>
      </w:pPr>
      <w:r>
        <w:t>Software updates and bug fixes</w:t>
      </w:r>
    </w:p>
    <w:p>
      <w:pPr>
        <w:pStyle w:val="ListBullet"/>
      </w:pPr>
      <w:r>
        <w:t>Remote monitoring and troubleshooting</w:t>
      </w:r>
    </w:p>
    <w:p>
      <w:pPr>
        <w:pStyle w:val="ListBullet"/>
      </w:pPr>
      <w:r>
        <w:t>Annual on-site training for drilling engineers</w:t>
      </w:r>
    </w:p>
    <w:p>
      <w:pPr>
        <w:pStyle w:val="ListBullet"/>
      </w:pPr>
      <w:r>
        <w:t>Performance optimization recommendations</w:t>
      </w:r>
    </w:p>
    <w:p>
      <w:pPr>
        <w:pStyle w:val="Heading3"/>
      </w:pPr>
      <w:r>
        <w:t>Required</w:t>
      </w:r>
    </w:p>
    <w:p>
      <w:pPr>
        <w:pStyle w:val="ListNumber"/>
      </w:pPr>
      <w:r>
        <w:t xml:space="preserve">Determine whether the payment constitutes </w:t>
      </w:r>
      <w:r>
        <w:rPr>
          <w:b/>
        </w:rPr>
        <w:t>royalties (Article 12)</w:t>
      </w:r>
      <w:r>
        <w:t xml:space="preserve"> or </w:t>
      </w:r>
      <w:r>
        <w:rPr>
          <w:b/>
        </w:rPr>
        <w:t>business profits (Article 7)</w:t>
      </w:r>
    </w:p>
    <w:p>
      <w:pPr>
        <w:pStyle w:val="ListNumber"/>
      </w:pPr>
      <w:r>
        <w:t xml:space="preserve">Calculate the </w:t>
      </w:r>
      <w:r>
        <w:rPr>
          <w:b/>
        </w:rPr>
        <w:t>withholding tax obligation</w:t>
      </w:r>
      <w:r>
        <w:t>, if any</w:t>
      </w:r>
    </w:p>
    <w:p>
      <w:pPr>
        <w:pStyle w:val="ListNumber"/>
      </w:pPr>
      <w:r>
        <w:t xml:space="preserve">Analyze whether TechDrill Inc.'s technical support activities create a </w:t>
      </w:r>
      <w:r>
        <w:rPr>
          <w:b/>
        </w:rPr>
        <w:t>permanent establishment</w:t>
      </w:r>
      <w:r>
        <w:t xml:space="preserve"> in Norway</w:t>
      </w:r>
    </w:p>
    <w:p>
      <w:pPr>
        <w:pStyle w:val="ListNumber"/>
      </w:pPr>
      <w:r>
        <w:t>Determine the U.S. tax treatment for TechDrill Inc.</w:t>
      </w:r>
    </w:p>
    <w:p>
      <w:pPr>
        <w:pStyle w:val="Heading3"/>
      </w:pPr>
      <w:r>
        <w:t>Analysis</w:t>
      </w:r>
    </w:p>
    <w:p>
      <w:r>
        <w:rPr>
          <w:b/>
        </w:rPr>
        <w:t>Step 1: Classification - Royalties vs. Business Profits</w:t>
      </w:r>
    </w:p>
    <w:p>
      <w:r>
        <w:rPr>
          <w:b/>
        </w:rPr>
        <w:t>Article 12(2) Definition</w:t>
      </w:r>
      <w:r>
        <w:t>: Royalties are payments for "the use of, or the right to use, any patent, trade mark, design or model, plan, secret formula or process, or for information concerning industrial, commercial or scientific experience."</w:t>
      </w:r>
    </w:p>
    <w:p>
      <w:r>
        <w:rPr>
          <w:b/>
        </w:rPr>
        <w:t>Analysis of Payment Character</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Factor</w:t>
            </w:r>
          </w:p>
        </w:tc>
        <w:tc>
          <w:tcPr>
            <w:tcW w:type="dxa" w:w="2880"/>
          </w:tcPr>
          <w:p>
            <w:r>
              <w:rPr>
                <w:b/>
              </w:rPr>
            </w:r>
            <w:r>
              <w:rPr>
                <w:b/>
              </w:rPr>
              <w:t>Evidence</w:t>
            </w:r>
          </w:p>
        </w:tc>
        <w:tc>
          <w:tcPr>
            <w:tcW w:type="dxa" w:w="2880"/>
          </w:tcPr>
          <w:p>
            <w:r>
              <w:rPr>
                <w:b/>
              </w:rPr>
            </w:r>
            <w:r>
              <w:rPr>
                <w:b/>
              </w:rPr>
              <w:t>Classification Impact</w:t>
            </w:r>
          </w:p>
        </w:tc>
      </w:tr>
      <w:tr>
        <w:tc>
          <w:tcPr>
            <w:tcW w:type="dxa" w:w="2880"/>
          </w:tcPr>
          <w:p>
            <w:r/>
            <w:r>
              <w:rPr>
                <w:b/>
              </w:rPr>
              <w:t>Primary consideration</w:t>
            </w:r>
          </w:p>
        </w:tc>
        <w:tc>
          <w:tcPr>
            <w:tcW w:type="dxa" w:w="2880"/>
          </w:tcPr>
          <w:p>
            <w:r/>
            <w:r>
              <w:t xml:space="preserve">License to use </w:t>
            </w:r>
            <w:r>
              <w:rPr>
                <w:b/>
              </w:rPr>
              <w:t>patented ADCS technology</w:t>
            </w:r>
          </w:p>
        </w:tc>
        <w:tc>
          <w:tcPr>
            <w:tcW w:type="dxa" w:w="2880"/>
          </w:tcPr>
          <w:p>
            <w:r/>
            <w:r>
              <w:rPr>
                <w:b/>
              </w:rPr>
              <w:t>Royalty</w:t>
            </w:r>
          </w:p>
        </w:tc>
      </w:tr>
      <w:tr>
        <w:tc>
          <w:tcPr>
            <w:tcW w:type="dxa" w:w="2880"/>
          </w:tcPr>
          <w:p>
            <w:r/>
            <w:r>
              <w:rPr>
                <w:b/>
              </w:rPr>
              <w:t>Ongoing support</w:t>
            </w:r>
          </w:p>
        </w:tc>
        <w:tc>
          <w:tcPr>
            <w:tcW w:type="dxa" w:w="2880"/>
          </w:tcPr>
          <w:p>
            <w:r/>
            <w:r>
              <w:t>Software updates, remote monitoring, training</w:t>
            </w:r>
          </w:p>
        </w:tc>
        <w:tc>
          <w:tcPr>
            <w:tcW w:type="dxa" w:w="2880"/>
          </w:tcPr>
          <w:p>
            <w:r/>
            <w:r>
              <w:rPr>
                <w:b/>
              </w:rPr>
              <w:t>Service</w:t>
            </w:r>
            <w:r>
              <w:t xml:space="preserve"> element</w:t>
            </w:r>
          </w:p>
        </w:tc>
      </w:tr>
      <w:tr>
        <w:tc>
          <w:tcPr>
            <w:tcW w:type="dxa" w:w="2880"/>
          </w:tcPr>
          <w:p>
            <w:r/>
            <w:r>
              <w:rPr>
                <w:b/>
              </w:rPr>
              <w:t>Risk allocation</w:t>
            </w:r>
          </w:p>
        </w:tc>
        <w:tc>
          <w:tcPr>
            <w:tcW w:type="dxa" w:w="2880"/>
          </w:tcPr>
          <w:p>
            <w:r/>
            <w:r>
              <w:t>NorthSea Energy bears performance risk (savings not guaranteed)</w:t>
            </w:r>
          </w:p>
        </w:tc>
        <w:tc>
          <w:tcPr>
            <w:tcW w:type="dxa" w:w="2880"/>
          </w:tcPr>
          <w:p>
            <w:r/>
            <w:r>
              <w:rPr>
                <w:b/>
              </w:rPr>
              <w:t>Royalty</w:t>
            </w:r>
            <w:r>
              <w:t xml:space="preserve"> (passive income)</w:t>
            </w:r>
          </w:p>
        </w:tc>
      </w:tr>
      <w:tr>
        <w:tc>
          <w:tcPr>
            <w:tcW w:type="dxa" w:w="2880"/>
          </w:tcPr>
          <w:p>
            <w:r/>
            <w:r>
              <w:rPr>
                <w:b/>
              </w:rPr>
              <w:t>TechDrill involvement</w:t>
            </w:r>
          </w:p>
        </w:tc>
        <w:tc>
          <w:tcPr>
            <w:tcW w:type="dxa" w:w="2880"/>
          </w:tcPr>
          <w:p>
            <w:r/>
            <w:r>
              <w:t>Limited to support (not active drilling operations)</w:t>
            </w:r>
          </w:p>
        </w:tc>
        <w:tc>
          <w:tcPr>
            <w:tcW w:type="dxa" w:w="2880"/>
          </w:tcPr>
          <w:p>
            <w:r/>
            <w:r>
              <w:rPr>
                <w:b/>
              </w:rPr>
              <w:t>Royalty</w:t>
            </w:r>
          </w:p>
        </w:tc>
      </w:tr>
      <w:tr>
        <w:tc>
          <w:tcPr>
            <w:tcW w:type="dxa" w:w="2880"/>
          </w:tcPr>
          <w:p>
            <w:r/>
            <w:r>
              <w:rPr>
                <w:b/>
              </w:rPr>
              <w:t>Payment basis</w:t>
            </w:r>
          </w:p>
        </w:tc>
        <w:tc>
          <w:tcPr>
            <w:tcW w:type="dxa" w:w="2880"/>
          </w:tcPr>
          <w:p>
            <w:r/>
            <w:r>
              <w:t xml:space="preserve">Based on </w:t>
            </w:r>
            <w:r>
              <w:rPr>
                <w:b/>
              </w:rPr>
              <w:t>use of IP</w:t>
            </w:r>
            <w:r>
              <w:t xml:space="preserve"> (cost savings from ADCS), not service hours</w:t>
            </w:r>
          </w:p>
        </w:tc>
        <w:tc>
          <w:tcPr>
            <w:tcW w:type="dxa" w:w="2880"/>
          </w:tcPr>
          <w:p>
            <w:r/>
            <w:r>
              <w:rPr>
                <w:b/>
              </w:rPr>
              <w:t>Royalty</w:t>
            </w:r>
          </w:p>
        </w:tc>
      </w:tr>
    </w:tbl>
    <w:p/>
    <w:p>
      <w:r>
        <w:rPr>
          <w:b/>
        </w:rPr>
        <w:t>Conclusion</w:t>
      </w:r>
      <w:r>
        <w:t xml:space="preserve">: The payment is </w:t>
      </w:r>
      <w:r>
        <w:rPr>
          <w:b/>
        </w:rPr>
        <w:t>predominantly for the right to use patented technology</w:t>
      </w:r>
      <w:r>
        <w:t xml:space="preserve">, with technical support being </w:t>
      </w:r>
      <w:r>
        <w:rPr>
          <w:b/>
        </w:rPr>
        <w:t>ancillary</w:t>
      </w:r>
      <w:r>
        <w:t xml:space="preserve"> to the license. Therefore, it should be classified as a </w:t>
      </w:r>
      <w:r>
        <w:rPr>
          <w:b/>
        </w:rPr>
        <w:t>royalty under Article 12</w:t>
      </w:r>
      <w:r>
        <w:t>.</w:t>
      </w:r>
    </w:p>
    <w:p>
      <w:r>
        <w:rPr>
          <w:b/>
        </w:rPr>
        <w:t>Alternative Analysis - Bifurcation</w:t>
      </w:r>
      <w:r>
        <w:t>:</w:t>
      </w:r>
    </w:p>
    <w:p>
      <w:r>
        <w:t>If the contract separately stated that $600,000 is for the license and $120,000 is for technical support, bifurcation would be appropriate:</w:t>
      </w:r>
    </w:p>
    <w:p>
      <w:pPr>
        <w:pStyle w:val="ListBullet"/>
      </w:pPr>
      <w:r>
        <w:rPr>
          <w:b/>
        </w:rPr>
        <w:t>$600,000</w:t>
      </w:r>
      <w:r>
        <w:t>: Royalty (Article 12)</w:t>
      </w:r>
    </w:p>
    <w:p>
      <w:pPr>
        <w:pStyle w:val="ListBullet"/>
      </w:pPr>
      <w:r>
        <w:rPr>
          <w:b/>
        </w:rPr>
        <w:t>$120,000</w:t>
      </w:r>
      <w:r>
        <w:t>: Service fee (Article 7, taxable only if PE exists)</w:t>
      </w:r>
    </w:p>
    <w:p>
      <w:r>
        <w:t xml:space="preserve">Since the contract does not separate these components, the </w:t>
      </w:r>
      <w:r>
        <w:rPr>
          <w:b/>
        </w:rPr>
        <w:t>entire payment</w:t>
      </w:r>
      <w:r>
        <w:t xml:space="preserve"> is treated as a royalty based on its </w:t>
      </w:r>
      <w:r>
        <w:rPr>
          <w:b/>
        </w:rPr>
        <w:t>predominant character</w:t>
      </w:r>
      <w:r>
        <w:t>.</w:t>
      </w:r>
    </w:p>
    <w:p>
      <w:r>
        <w:rPr>
          <w:b/>
        </w:rPr>
        <w:t>Step 2: Withholding Tax Obligation</w:t>
      </w:r>
    </w:p>
    <w:p>
      <w:r>
        <w:rPr>
          <w:b/>
        </w:rPr>
        <w:t>Norwegian Domestic Law</w:t>
      </w:r>
      <w:r>
        <w:t xml:space="preserve">: Norway imposes </w:t>
      </w:r>
      <w:r>
        <w:rPr>
          <w:b/>
        </w:rPr>
        <w:t>0% withholding tax</w:t>
      </w:r>
      <w:r>
        <w:t xml:space="preserve"> on royalties paid to non-residents.</w:t>
      </w:r>
    </w:p>
    <w:p>
      <w:r>
        <w:rPr>
          <w:b/>
        </w:rPr>
        <w:t>U.S.-Norway Tax Treaty Article 12(1)</w:t>
      </w:r>
      <w:r>
        <w:t>: "Royalties arising in a Contracting State and paid to a resident of the other Contracting State may be taxed only in that other State if such resident is the beneficial owner of the royalties."</w:t>
      </w:r>
    </w:p>
    <w:p>
      <w:r>
        <w:rPr>
          <w:b/>
        </w:rPr>
        <w:t>Application</w:t>
      </w:r>
      <w:r>
        <w:t>:</w:t>
      </w:r>
    </w:p>
    <w:p>
      <w:pPr>
        <w:pStyle w:val="ListBullet"/>
      </w:pPr>
      <w:r>
        <w:t xml:space="preserve">Royalty arises in </w:t>
      </w:r>
      <w:r>
        <w:rPr>
          <w:b/>
        </w:rPr>
        <w:t>Norway</w:t>
      </w:r>
      <w:r>
        <w:t xml:space="preserve"> (paid by Norwegian resident)</w:t>
      </w:r>
    </w:p>
    <w:p>
      <w:pPr>
        <w:pStyle w:val="ListBullet"/>
      </w:pPr>
      <w:r>
        <w:t xml:space="preserve">Paid to </w:t>
      </w:r>
      <w:r>
        <w:rPr>
          <w:b/>
        </w:rPr>
        <w:t>U.S. resident</w:t>
      </w:r>
      <w:r>
        <w:t xml:space="preserve"> (TechDrill Inc.)</w:t>
      </w:r>
    </w:p>
    <w:p>
      <w:pPr>
        <w:pStyle w:val="ListBullet"/>
      </w:pPr>
      <w:r>
        <w:t xml:space="preserve">TechDrill Inc. is the </w:t>
      </w:r>
      <w:r>
        <w:rPr>
          <w:b/>
        </w:rPr>
        <w:t>beneficial owner</w:t>
      </w:r>
      <w:r>
        <w:t xml:space="preserve"> (owns the IP, has right to use and enjoy the income)</w:t>
      </w:r>
    </w:p>
    <w:p>
      <w:pPr>
        <w:pStyle w:val="ListBullet"/>
      </w:pPr>
      <w:r>
        <w:t xml:space="preserve">Treaty grants </w:t>
      </w:r>
      <w:r>
        <w:rPr>
          <w:b/>
        </w:rPr>
        <w:t>exclusive taxing right</w:t>
      </w:r>
      <w:r>
        <w:t xml:space="preserve"> to the </w:t>
      </w:r>
      <w:r>
        <w:rPr>
          <w:b/>
        </w:rPr>
        <w:t>U.S. (residence country)</w:t>
      </w:r>
    </w:p>
    <w:p>
      <w:r>
        <w:rPr>
          <w:b/>
        </w:rPr>
        <w:t>Withholding Tax</w:t>
      </w:r>
      <w:r>
        <w:t xml:space="preserve">: </w:t>
      </w:r>
      <w:r>
        <w:rPr>
          <w:b/>
        </w:rPr>
        <w:t>$0</w:t>
      </w:r>
      <w:r>
        <w:t xml:space="preserve"> (Norway has no WHT on royalties, and treaty confirms exclusive U.S. taxation)</w:t>
      </w:r>
    </w:p>
    <w:p>
      <w:r>
        <w:rPr>
          <w:b/>
        </w:rPr>
        <w:t>Step 3: Permanent Establishment Analysis</w:t>
      </w:r>
    </w:p>
    <w:p>
      <w:r>
        <w:rPr>
          <w:b/>
        </w:rPr>
        <w:t>NorthSea Energy's Concern</w:t>
      </w:r>
      <w:r>
        <w:t xml:space="preserve">: Does TechDrill's technical support create a </w:t>
      </w:r>
      <w:r>
        <w:rPr>
          <w:b/>
        </w:rPr>
        <w:t>permanent establishment</w:t>
      </w:r>
      <w:r>
        <w:t xml:space="preserve"> in Norway, which would subject TechDrill to Norwegian corporate income tax?</w:t>
      </w:r>
    </w:p>
    <w:p>
      <w:r>
        <w:rPr>
          <w:b/>
        </w:rPr>
        <w:t>Article 5(1) PE Definition</w:t>
      </w:r>
      <w:r>
        <w:t>: "A fixed place of business through which the business of an enterprise is wholly or partly carried on."</w:t>
      </w:r>
    </w:p>
    <w:p>
      <w:r>
        <w:rPr>
          <w:b/>
        </w:rPr>
        <w:t>Facts</w:t>
      </w:r>
      <w:r>
        <w:t>:</w:t>
      </w:r>
    </w:p>
    <w:p>
      <w:pPr>
        <w:pStyle w:val="ListBullet"/>
      </w:pPr>
      <w:r>
        <w:t xml:space="preserve">TechDrill has </w:t>
      </w:r>
      <w:r>
        <w:rPr>
          <w:b/>
        </w:rPr>
        <w:t>no office or physical location</w:t>
      </w:r>
      <w:r>
        <w:t xml:space="preserve"> in Norway</w:t>
      </w:r>
    </w:p>
    <w:p>
      <w:pPr>
        <w:pStyle w:val="ListBullet"/>
      </w:pPr>
      <w:r>
        <w:t xml:space="preserve">Remote monitoring performed from </w:t>
      </w:r>
      <w:r>
        <w:rPr>
          <w:b/>
        </w:rPr>
        <w:t>U.S. headquarters</w:t>
      </w:r>
    </w:p>
    <w:p>
      <w:pPr>
        <w:pStyle w:val="ListBullet"/>
      </w:pPr>
      <w:r>
        <w:t xml:space="preserve">On-site training: </w:t>
      </w:r>
      <w:r>
        <w:rPr>
          <w:b/>
        </w:rPr>
        <w:t>Annual visits</w:t>
      </w:r>
      <w:r>
        <w:t xml:space="preserve"> (5 days per year)</w:t>
      </w:r>
    </w:p>
    <w:p>
      <w:pPr>
        <w:pStyle w:val="ListBullet"/>
      </w:pPr>
      <w:r>
        <w:t>No Norwegian employees or dependent agents</w:t>
      </w:r>
    </w:p>
    <w:p>
      <w:r>
        <w:rPr>
          <w:b/>
        </w:rPr>
        <w:t>Article 5(3) - Building Site/Installation PE</w:t>
      </w:r>
      <w:r>
        <w:t xml:space="preserve">: A building site or construction or installation project constitutes a PE only if it lasts more than </w:t>
      </w:r>
      <w:r>
        <w:rPr>
          <w:b/>
        </w:rPr>
        <w:t>12 months</w:t>
      </w:r>
      <w:r>
        <w:t xml:space="preserve"> (U.S.-Norway treaty threshold).</w:t>
      </w:r>
    </w:p>
    <w:p>
      <w:r>
        <w:rPr>
          <w:b/>
        </w:rPr>
        <w:t>Conclusion</w:t>
      </w:r>
      <w:r>
        <w:t xml:space="preserve">: TechDrill does </w:t>
      </w:r>
      <w:r>
        <w:rPr>
          <w:b/>
        </w:rPr>
        <w:t>not have a PE</w:t>
      </w:r>
      <w:r>
        <w:t xml:space="preserve"> in Norway:</w:t>
      </w:r>
    </w:p>
    <w:p>
      <w:pPr>
        <w:pStyle w:val="ListNumber"/>
      </w:pPr>
      <w:r>
        <w:rPr>
          <w:b/>
        </w:rPr>
        <w:t>No fixed place of business</w:t>
      </w:r>
      <w:r>
        <w:t>: Remote services do not create fixed place</w:t>
      </w:r>
    </w:p>
    <w:p>
      <w:pPr>
        <w:pStyle w:val="ListNumber"/>
      </w:pPr>
      <w:r>
        <w:rPr>
          <w:b/>
        </w:rPr>
        <w:t>Short duration</w:t>
      </w:r>
      <w:r>
        <w:t>: Annual 5-day visits do not exceed 12-month threshold</w:t>
      </w:r>
    </w:p>
    <w:p>
      <w:pPr>
        <w:pStyle w:val="ListNumber"/>
      </w:pPr>
      <w:r>
        <w:rPr>
          <w:b/>
        </w:rPr>
        <w:t>No dependent agent</w:t>
      </w:r>
      <w:r>
        <w:t>: NorthSea Energy is an independent customer, not TechDrill's agent</w:t>
      </w:r>
    </w:p>
    <w:p>
      <w:r>
        <w:rPr>
          <w:b/>
        </w:rPr>
        <w:t>Result</w:t>
      </w:r>
      <w:r>
        <w:t xml:space="preserve">: Even if part of the payment were characterized as </w:t>
      </w:r>
      <w:r>
        <w:rPr>
          <w:b/>
        </w:rPr>
        <w:t>service fees (Article 7)</w:t>
      </w:r>
      <w:r>
        <w:t xml:space="preserve">, those fees would </w:t>
      </w:r>
      <w:r>
        <w:rPr>
          <w:b/>
        </w:rPr>
        <w:t>not be taxable in Norway</w:t>
      </w:r>
      <w:r>
        <w:t xml:space="preserve"> absent a PE.</w:t>
      </w:r>
    </w:p>
    <w:p>
      <w:r>
        <w:rPr>
          <w:b/>
        </w:rPr>
        <w:t>Step 4: U.S. Tax Treatment</w:t>
      </w:r>
    </w:p>
    <w:p>
      <w:r>
        <w:rPr>
          <w:b/>
        </w:rPr>
        <w:t>Royalty Income Recognition</w:t>
      </w:r>
      <w:r>
        <w:t>:</w:t>
      </w:r>
    </w:p>
    <w:p>
      <w:pPr>
        <w:shd w:fill="F0F0F0"/>
        <w:spacing w:after="0" w:line="240" w:lineRule="auto"/>
      </w:pPr>
      <w:r>
        <w:rPr>
          <w:rFonts w:ascii="Courier New" w:hAnsi="Courier New"/>
          <w:sz w:val="20"/>
        </w:rPr>
        <w:t>Gross royalty income (2024) = $720,000</w:t>
      </w:r>
    </w:p>
    <w:p>
      <w:pPr>
        <w:shd w:fill="F0F0F0"/>
        <w:spacing w:after="0" w:line="240" w:lineRule="auto"/>
      </w:pPr>
      <w:r>
        <w:rPr>
          <w:rFonts w:ascii="Courier New" w:hAnsi="Courier New"/>
          <w:sz w:val="20"/>
        </w:rPr>
        <w:t>Less: Allocable expenses</w:t>
      </w:r>
    </w:p>
    <w:p>
      <w:pPr>
        <w:shd w:fill="F0F0F0"/>
        <w:spacing w:after="0" w:line="240" w:lineRule="auto"/>
      </w:pPr>
      <w:r>
        <w:rPr>
          <w:rFonts w:ascii="Courier New" w:hAnsi="Courier New"/>
          <w:sz w:val="20"/>
        </w:rPr>
        <w:t xml:space="preserve">  - Patent maintenance and legal fees = $30,000</w:t>
      </w:r>
    </w:p>
    <w:p>
      <w:pPr>
        <w:shd w:fill="F0F0F0"/>
        <w:spacing w:after="0" w:line="240" w:lineRule="auto"/>
      </w:pPr>
      <w:r>
        <w:rPr>
          <w:rFonts w:ascii="Courier New" w:hAnsi="Courier New"/>
          <w:sz w:val="20"/>
        </w:rPr>
        <w:t xml:space="preserve">  - Software hosting and update development = $100,000</w:t>
      </w:r>
    </w:p>
    <w:p>
      <w:pPr>
        <w:shd w:fill="F0F0F0"/>
        <w:spacing w:after="0" w:line="240" w:lineRule="auto"/>
      </w:pPr>
      <w:r>
        <w:rPr>
          <w:rFonts w:ascii="Courier New" w:hAnsi="Courier New"/>
          <w:sz w:val="20"/>
        </w:rPr>
        <w:t xml:space="preserve">  - Technical support staff (allocated) = $80,000</w:t>
      </w:r>
    </w:p>
    <w:p>
      <w:pPr>
        <w:shd w:fill="F0F0F0"/>
        <w:spacing w:after="0" w:line="240" w:lineRule="auto"/>
      </w:pPr>
      <w:r>
        <w:rPr>
          <w:rFonts w:ascii="Courier New" w:hAnsi="Courier New"/>
          <w:sz w:val="20"/>
        </w:rPr>
        <w:t xml:space="preserve">  - Allocated overhead (15% of direct costs) = $31,500</w:t>
      </w:r>
    </w:p>
    <w:p>
      <w:pPr>
        <w:shd w:fill="F0F0F0"/>
        <w:spacing w:after="0" w:line="240" w:lineRule="auto"/>
      </w:pPr>
      <w:r>
        <w:rPr>
          <w:rFonts w:ascii="Courier New" w:hAnsi="Courier New"/>
          <w:sz w:val="20"/>
        </w:rPr>
        <w:t>Net royalty income = $478,500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U.S. corporate tax at 21% = $100,485</w:t>
      </w:r>
    </w:p>
    <w:p/>
    <w:p>
      <w:r>
        <w:rPr>
          <w:b/>
        </w:rPr>
        <w:t>Foreign Tax Credit</w:t>
      </w:r>
      <w:r>
        <w:t xml:space="preserve">: Since Norway imposed </w:t>
      </w:r>
      <w:r>
        <w:rPr>
          <w:b/>
        </w:rPr>
        <w:t>no withholding tax</w:t>
      </w:r>
      <w:r>
        <w:t xml:space="preserve">, TechDrill has </w:t>
      </w:r>
      <w:r>
        <w:rPr>
          <w:b/>
        </w:rPr>
        <w:t>no foreign taxes to credit</w:t>
      </w:r>
      <w:r>
        <w:t>.</w:t>
      </w:r>
    </w:p>
    <w:p>
      <w:r>
        <w:rPr>
          <w:b/>
        </w:rPr>
        <w:t>Effective Tax Rate</w:t>
      </w:r>
      <w:r>
        <w:t>: 21% (full U.S. taxation)</w:t>
      </w:r>
    </w:p>
    <w:p>
      <w:pPr>
        <w:pStyle w:val="Heading3"/>
      </w:pPr>
      <w:r>
        <w:t>Recommendation</w:t>
      </w:r>
    </w:p>
    <w:p>
      <w:r>
        <w:rPr>
          <w:b/>
        </w:rPr>
        <w:t>For TechDrill Inc.</w:t>
      </w:r>
      <w:r>
        <w:t>:</w:t>
      </w:r>
    </w:p>
    <w:p>
      <w:pPr>
        <w:pStyle w:val="ListNumber"/>
      </w:pPr>
      <w:r>
        <w:rPr>
          <w:b/>
        </w:rPr>
        <w:t>Maintain current structure</w:t>
      </w:r>
      <w:r>
        <w:t>: No WHT burden and no PE risk</w:t>
      </w:r>
    </w:p>
    <w:p>
      <w:pPr>
        <w:pStyle w:val="ListNumber"/>
      </w:pPr>
      <w:r>
        <w:rPr>
          <w:b/>
        </w:rPr>
        <w:t>Document service components separately</w:t>
      </w:r>
      <w:r>
        <w:t>: If technical support is substantial, consider bifurcating the contract to allocate a portion to services (though this provides no tax benefit given Norway's 0% WHT on royalties)</w:t>
      </w:r>
    </w:p>
    <w:p>
      <w:pPr>
        <w:pStyle w:val="ListNumber"/>
      </w:pPr>
      <w:r>
        <w:rPr>
          <w:b/>
        </w:rPr>
        <w:t>Transfer pricing documentation</w:t>
      </w:r>
      <w:r>
        <w:t>: Prepare TP study supporting the 6% royalty rate as arm's length (benchmark against comparable drilling technology licenses)</w:t>
      </w:r>
    </w:p>
    <w:p>
      <w:r>
        <w:rPr>
          <w:b/>
        </w:rPr>
        <w:t>For NorthSea Energy ASA</w:t>
      </w:r>
      <w:r>
        <w:t>:</w:t>
      </w:r>
    </w:p>
    <w:p>
      <w:pPr>
        <w:pStyle w:val="ListNumber"/>
      </w:pPr>
      <w:r>
        <w:rPr>
          <w:b/>
        </w:rPr>
        <w:t>Confirm deductibility</w:t>
      </w:r>
      <w:r>
        <w:t>: Ensure royalty payments are deductible as ordinary business expenses under Norwegian tax law (generally yes, for production-related IP)</w:t>
      </w:r>
    </w:p>
    <w:p>
      <w:pPr>
        <w:pStyle w:val="ListNumber"/>
      </w:pPr>
      <w:r>
        <w:rPr>
          <w:b/>
        </w:rPr>
        <w:t>Cost recovery</w:t>
      </w:r>
      <w:r>
        <w:t xml:space="preserve">: If NorthSea Energy operates under a PSC on Norwegian Continental Shelf, confirm royalties are </w:t>
      </w:r>
      <w:r>
        <w:rPr>
          <w:b/>
        </w:rPr>
        <w:t>cost-recoverable</w:t>
      </w:r>
      <w:r>
        <w:t xml:space="preserve"> from Cost Oil/Gas</w:t>
      </w:r>
    </w:p>
    <w:p>
      <w:pPr>
        <w:pStyle w:val="ListNumber"/>
      </w:pPr>
      <w:r>
        <w:rPr>
          <w:b/>
        </w:rPr>
        <w:t>No WHT obligation</w:t>
      </w:r>
      <w:r>
        <w:t>: Verify with Norwegian tax authorities that 0% WHT applies (consistent with domestic law and treaty)</w:t>
      </w:r>
    </w:p>
    <w:p>
      <w:pPr>
        <w:spacing w:before="120" w:after="120"/>
        <w:pBdr>
          <w:bottom w:val="single" w:sz="6" w:space="1" w:color="auto"/>
        </w:pBdr>
      </w:pPr>
    </w:p>
    <w:p>
      <w:pPr>
        <w:pStyle w:val="Heading2"/>
      </w:pPr>
      <w:r>
        <w:t>WORKED EXAMPLE 2: Transfer Pricing Challenge on Royalty Rate</w:t>
      </w:r>
    </w:p>
    <w:p>
      <w:pPr>
        <w:pStyle w:val="Heading3"/>
      </w:pPr>
      <w:r>
        <w:t>Facts</w:t>
      </w:r>
    </w:p>
    <w:p>
      <w:r>
        <w:rPr>
          <w:b/>
        </w:rPr>
        <w:t>MegaOil International</w:t>
      </w:r>
      <w:r>
        <w:t xml:space="preserve">, a U.S.-based integrated oil company, has developed a proprietary </w:t>
      </w:r>
      <w:r>
        <w:rPr>
          <w:b/>
        </w:rPr>
        <w:t>enhanced oil recovery (EOR) chemical formulation</w:t>
      </w:r>
      <w:r>
        <w:t xml:space="preserve"> called </w:t>
      </w:r>
      <w:r>
        <w:rPr>
          <w:b/>
        </w:rPr>
        <w:t>"MegaSweep"</w:t>
      </w:r>
      <w:r>
        <w:t xml:space="preserve"> that significantly improves oil recovery rates in mature reservoirs. The technology involves a </w:t>
      </w:r>
      <w:r>
        <w:rPr>
          <w:b/>
        </w:rPr>
        <w:t>patented surfactant blend</w:t>
      </w:r>
      <w:r>
        <w:t xml:space="preserve"> that reduces interfacial tension and increases sweep efficiency.</w:t>
      </w:r>
    </w:p>
    <w:p>
      <w:r>
        <w:rPr>
          <w:b/>
        </w:rPr>
        <w:t>MegaOil International</w:t>
      </w:r>
      <w:r>
        <w:t xml:space="preserve"> licenses MegaSweep to its </w:t>
      </w:r>
      <w:r>
        <w:rPr>
          <w:b/>
        </w:rPr>
        <w:t>wholly-owned Brazilian subsidiary</w:t>
      </w:r>
      <w:r>
        <w:t xml:space="preserve">, </w:t>
      </w:r>
      <w:r>
        <w:rPr>
          <w:b/>
        </w:rPr>
        <w:t>MegaOil Brasil Ltda.</w:t>
      </w:r>
      <w:r>
        <w:t>, which operates mature onshore fields in the Recôncavo Basin. The license agreement provides:</w:t>
      </w:r>
    </w:p>
    <w:p>
      <w:pPr>
        <w:pStyle w:val="ListBullet"/>
      </w:pPr>
      <w:r>
        <w:rPr>
          <w:b/>
        </w:rPr>
        <w:t>Exclusive license</w:t>
      </w:r>
      <w:r>
        <w:t xml:space="preserve"> for use in all Brazilian operations</w:t>
      </w:r>
    </w:p>
    <w:p>
      <w:pPr>
        <w:pStyle w:val="ListBullet"/>
      </w:pPr>
      <w:r>
        <w:rPr>
          <w:b/>
        </w:rPr>
        <w:t>Royalty rate</w:t>
      </w:r>
      <w:r>
        <w:t xml:space="preserve">: </w:t>
      </w:r>
      <w:r>
        <w:rPr>
          <w:b/>
        </w:rPr>
        <w:t>8% of incremental oil production revenues</w:t>
      </w:r>
      <w:r>
        <w:t xml:space="preserve"> attributable to MegaSweep</w:t>
      </w:r>
    </w:p>
    <w:p>
      <w:pPr>
        <w:pStyle w:val="ListBullet"/>
      </w:pPr>
      <w:r>
        <w:rPr>
          <w:b/>
        </w:rPr>
        <w:t>Contract term</w:t>
      </w:r>
      <w:r>
        <w:t>: 10 years</w:t>
      </w:r>
    </w:p>
    <w:p>
      <w:pPr>
        <w:pStyle w:val="ListBullet"/>
      </w:pPr>
      <w:r>
        <w:rPr>
          <w:b/>
        </w:rPr>
        <w:t>Technical support</w:t>
      </w:r>
      <w:r>
        <w:t>: MegaOil International provides formulation adjustments and application engineering</w:t>
      </w:r>
    </w:p>
    <w:p>
      <w:r>
        <w:rPr>
          <w:b/>
        </w:rPr>
        <w:t>2024 Financial Results (MegaOil Brasil)</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Metric</w:t>
            </w:r>
          </w:p>
        </w:tc>
        <w:tc>
          <w:tcPr>
            <w:tcW w:type="dxa" w:w="4320"/>
          </w:tcPr>
          <w:p>
            <w:r>
              <w:rPr>
                <w:b/>
              </w:rPr>
            </w:r>
            <w:r>
              <w:rPr>
                <w:b/>
              </w:rPr>
              <w:t>Amount</w:t>
            </w:r>
          </w:p>
        </w:tc>
      </w:tr>
      <w:tr>
        <w:tc>
          <w:tcPr>
            <w:tcW w:type="dxa" w:w="4320"/>
          </w:tcPr>
          <w:p>
            <w:r/>
            <w:r>
              <w:t>Total oil production</w:t>
            </w:r>
          </w:p>
        </w:tc>
        <w:tc>
          <w:tcPr>
            <w:tcW w:type="dxa" w:w="4320"/>
          </w:tcPr>
          <w:p>
            <w:r/>
            <w:r>
              <w:t>15,000 bopd</w:t>
            </w:r>
          </w:p>
        </w:tc>
      </w:tr>
      <w:tr>
        <w:tc>
          <w:tcPr>
            <w:tcW w:type="dxa" w:w="4320"/>
          </w:tcPr>
          <w:p>
            <w:r/>
            <w:r>
              <w:t>Incremental production from MegaSweep</w:t>
            </w:r>
          </w:p>
        </w:tc>
        <w:tc>
          <w:tcPr>
            <w:tcW w:type="dxa" w:w="4320"/>
          </w:tcPr>
          <w:p>
            <w:r/>
            <w:r>
              <w:t>2,500 bopd</w:t>
            </w:r>
          </w:p>
        </w:tc>
      </w:tr>
      <w:tr>
        <w:tc>
          <w:tcPr>
            <w:tcW w:type="dxa" w:w="4320"/>
          </w:tcPr>
          <w:p>
            <w:r/>
            <w:r>
              <w:t>Average oil price (2024)</w:t>
            </w:r>
          </w:p>
        </w:tc>
        <w:tc>
          <w:tcPr>
            <w:tcW w:type="dxa" w:w="4320"/>
          </w:tcPr>
          <w:p>
            <w:r/>
            <w:r>
              <w:t>$75/bbl</w:t>
            </w:r>
          </w:p>
        </w:tc>
      </w:tr>
      <w:tr>
        <w:tc>
          <w:tcPr>
            <w:tcW w:type="dxa" w:w="4320"/>
          </w:tcPr>
          <w:p>
            <w:r/>
            <w:r>
              <w:t>Royalty base (incremental revenue)</w:t>
            </w:r>
          </w:p>
        </w:tc>
        <w:tc>
          <w:tcPr>
            <w:tcW w:type="dxa" w:w="4320"/>
          </w:tcPr>
          <w:p>
            <w:r/>
            <w:r>
              <w:t>$68.4M (2,500 bopd × 365 days × $75)</w:t>
            </w:r>
          </w:p>
        </w:tc>
      </w:tr>
      <w:tr>
        <w:tc>
          <w:tcPr>
            <w:tcW w:type="dxa" w:w="4320"/>
          </w:tcPr>
          <w:p>
            <w:r/>
            <w:r>
              <w:t>Royalty paid to U.S. parent</w:t>
            </w:r>
          </w:p>
        </w:tc>
        <w:tc>
          <w:tcPr>
            <w:tcW w:type="dxa" w:w="4320"/>
          </w:tcPr>
          <w:p>
            <w:r/>
            <w:r>
              <w:t>$5.47M (8% × $68.4M)</w:t>
            </w:r>
          </w:p>
        </w:tc>
      </w:tr>
      <w:tr>
        <w:tc>
          <w:tcPr>
            <w:tcW w:type="dxa" w:w="4320"/>
          </w:tcPr>
          <w:p>
            <w:r/>
            <w:r>
              <w:t>Brazilian WHT on royalty (15%)</w:t>
            </w:r>
          </w:p>
        </w:tc>
        <w:tc>
          <w:tcPr>
            <w:tcW w:type="dxa" w:w="4320"/>
          </w:tcPr>
          <w:p>
            <w:r/>
            <w:r>
              <w:t>$0.82M</w:t>
            </w:r>
          </w:p>
        </w:tc>
      </w:tr>
      <w:tr>
        <w:tc>
          <w:tcPr>
            <w:tcW w:type="dxa" w:w="4320"/>
          </w:tcPr>
          <w:p>
            <w:r/>
            <w:r>
              <w:t>Net royalty to U.S. parent</w:t>
            </w:r>
          </w:p>
        </w:tc>
        <w:tc>
          <w:tcPr>
            <w:tcW w:type="dxa" w:w="4320"/>
          </w:tcPr>
          <w:p>
            <w:r/>
            <w:r>
              <w:t>$4.65M</w:t>
            </w:r>
          </w:p>
        </w:tc>
      </w:tr>
    </w:tbl>
    <w:p/>
    <w:p>
      <w:r>
        <w:rPr>
          <w:b/>
        </w:rPr>
        <w:t>Brazilian Tax Authority Challenge</w:t>
      </w:r>
      <w:r>
        <w:t xml:space="preserve">: The Brazilian Receita Federal audits MegaOil Brasil and challenges the </w:t>
      </w:r>
      <w:r>
        <w:rPr>
          <w:b/>
        </w:rPr>
        <w:t>8% royalty rate</w:t>
      </w:r>
      <w:r>
        <w:t>, asserting that:</w:t>
      </w:r>
    </w:p>
    <w:p>
      <w:pPr>
        <w:pStyle w:val="ListNumber"/>
      </w:pPr>
      <w:r>
        <w:rPr>
          <w:b/>
        </w:rPr>
        <w:t>Third-party EOR chemical suppliers</w:t>
      </w:r>
      <w:r>
        <w:t xml:space="preserve"> charge </w:t>
      </w:r>
      <w:r>
        <w:rPr>
          <w:b/>
        </w:rPr>
        <w:t>3-5% of incremental revenue</w:t>
      </w:r>
    </w:p>
    <w:p>
      <w:pPr>
        <w:pStyle w:val="ListNumber"/>
      </w:pPr>
      <w:r>
        <w:t xml:space="preserve">The </w:t>
      </w:r>
      <w:r>
        <w:rPr>
          <w:b/>
        </w:rPr>
        <w:t>8% rate</w:t>
      </w:r>
      <w:r>
        <w:t xml:space="preserve"> is excessive and not arm's length</w:t>
      </w:r>
    </w:p>
    <w:p>
      <w:pPr>
        <w:pStyle w:val="ListNumber"/>
      </w:pPr>
      <w:r>
        <w:t xml:space="preserve">The </w:t>
      </w:r>
      <w:r>
        <w:rPr>
          <w:b/>
        </w:rPr>
        <w:t>excess amount</w:t>
      </w:r>
      <w:r>
        <w:t xml:space="preserve"> should be disallowed as a deduction and recharacterized as a </w:t>
      </w:r>
      <w:r>
        <w:rPr>
          <w:b/>
        </w:rPr>
        <w:t>disguised dividend</w:t>
      </w:r>
    </w:p>
    <w:p>
      <w:r>
        <w:rPr>
          <w:b/>
        </w:rPr>
        <w:t>MegaOil's Defense</w:t>
      </w:r>
      <w:r>
        <w:t>: The company argues that the 8% rate is justified because:</w:t>
      </w:r>
    </w:p>
    <w:p>
      <w:pPr>
        <w:pStyle w:val="ListBullet"/>
      </w:pPr>
      <w:r>
        <w:t xml:space="preserve">MegaSweep is </w:t>
      </w:r>
      <w:r>
        <w:rPr>
          <w:b/>
        </w:rPr>
        <w:t>proprietary and patented</w:t>
      </w:r>
      <w:r>
        <w:t xml:space="preserve"> (no direct comparables)</w:t>
      </w:r>
    </w:p>
    <w:p>
      <w:pPr>
        <w:pStyle w:val="ListBullet"/>
      </w:pPr>
      <w:r>
        <w:t xml:space="preserve">MegaSweep achieves </w:t>
      </w:r>
      <w:r>
        <w:rPr>
          <w:b/>
        </w:rPr>
        <w:t>20% better performance</w:t>
      </w:r>
      <w:r>
        <w:t xml:space="preserve"> than third-party chemicals</w:t>
      </w:r>
    </w:p>
    <w:p>
      <w:pPr>
        <w:pStyle w:val="ListBullet"/>
      </w:pPr>
      <w:r>
        <w:t xml:space="preserve">The rate is at the </w:t>
      </w:r>
      <w:r>
        <w:rPr>
          <w:b/>
        </w:rPr>
        <w:t>upper bound of the 5-10% range</w:t>
      </w:r>
      <w:r>
        <w:t xml:space="preserve"> observed for proprietary EOR technologies</w:t>
      </w:r>
    </w:p>
    <w:p>
      <w:pPr>
        <w:pStyle w:val="ListBullet"/>
      </w:pPr>
      <w:r>
        <w:t xml:space="preserve">MegaOil International assumes </w:t>
      </w:r>
      <w:r>
        <w:rPr>
          <w:b/>
        </w:rPr>
        <w:t>all R&amp;D risk</w:t>
      </w:r>
      <w:r>
        <w:t xml:space="preserve"> (invested $50M developing MegaSweep)</w:t>
      </w:r>
    </w:p>
    <w:p>
      <w:r>
        <w:rPr>
          <w:b/>
        </w:rPr>
        <w:t>Additional Facts</w:t>
      </w:r>
      <w:r>
        <w:t>:</w:t>
      </w:r>
    </w:p>
    <w:p>
      <w:pPr>
        <w:pStyle w:val="ListBullet"/>
      </w:pPr>
      <w:r>
        <w:rPr>
          <w:b/>
        </w:rPr>
        <w:t>Profit Split Analysis</w:t>
      </w:r>
      <w:r>
        <w:t xml:space="preserve">: MegaOil Brasil's operating margin (before royalties) is </w:t>
      </w:r>
      <w:r>
        <w:rPr>
          <w:b/>
        </w:rPr>
        <w:t>35%</w:t>
      </w:r>
      <w:r>
        <w:t xml:space="preserve">; comparable EOR operators without proprietary technology earn </w:t>
      </w:r>
      <w:r>
        <w:rPr>
          <w:b/>
        </w:rPr>
        <w:t>18-22% margins</w:t>
      </w:r>
    </w:p>
    <w:p>
      <w:pPr>
        <w:pStyle w:val="ListBullet"/>
      </w:pPr>
      <w:r>
        <w:rPr>
          <w:b/>
        </w:rPr>
        <w:t>Functional Analysis</w:t>
      </w:r>
      <w:r>
        <w:t>: MegaOil Brasil performs routine operations (application of chemicals); MegaOil International owns IP and provides technical expertise</w:t>
      </w:r>
    </w:p>
    <w:p>
      <w:pPr>
        <w:pStyle w:val="ListBullet"/>
      </w:pPr>
      <w:r>
        <w:rPr>
          <w:b/>
        </w:rPr>
        <w:t>U.S.-Brazil Tax Treaty Article 12</w:t>
      </w:r>
      <w:r>
        <w:t xml:space="preserve">: Royalties subject to </w:t>
      </w:r>
      <w:r>
        <w:rPr>
          <w:b/>
        </w:rPr>
        <w:t>15% WHT</w:t>
      </w:r>
      <w:r>
        <w:t xml:space="preserve"> in Brazil (already applied)</w:t>
      </w:r>
    </w:p>
    <w:p>
      <w:pPr>
        <w:pStyle w:val="ListBullet"/>
      </w:pPr>
      <w:r>
        <w:rPr>
          <w:b/>
        </w:rPr>
        <w:t>Brazil corporate tax rate</w:t>
      </w:r>
      <w:r>
        <w:t xml:space="preserve">: </w:t>
      </w:r>
      <w:r>
        <w:rPr>
          <w:b/>
        </w:rPr>
        <w:t>34%</w:t>
      </w:r>
      <w:r>
        <w:t xml:space="preserve"> (combined IRPJ and CSLL)</w:t>
      </w:r>
    </w:p>
    <w:p>
      <w:pPr>
        <w:pStyle w:val="ListBullet"/>
      </w:pPr>
      <w:r>
        <w:rPr>
          <w:b/>
        </w:rPr>
        <w:t>U.S. corporate tax rate</w:t>
      </w:r>
      <w:r>
        <w:t xml:space="preserve">: </w:t>
      </w:r>
      <w:r>
        <w:rPr>
          <w:b/>
        </w:rPr>
        <w:t>21%</w:t>
      </w:r>
    </w:p>
    <w:p>
      <w:pPr>
        <w:pStyle w:val="Heading3"/>
      </w:pPr>
      <w:r>
        <w:t>Required</w:t>
      </w:r>
    </w:p>
    <w:p>
      <w:pPr>
        <w:pStyle w:val="ListNumber"/>
      </w:pPr>
      <w:r>
        <w:t>Evaluate the arm's length nature of the 8% royalty rate using multiple transfer pricing methods</w:t>
      </w:r>
    </w:p>
    <w:p>
      <w:pPr>
        <w:pStyle w:val="ListNumber"/>
      </w:pPr>
      <w:r>
        <w:t xml:space="preserve">Calculate the tax impact of the Brazilian tax authority's proposed adjustment to </w:t>
      </w:r>
      <w:r>
        <w:rPr>
          <w:b/>
        </w:rPr>
        <w:t>5% royalty rate</w:t>
      </w:r>
    </w:p>
    <w:p>
      <w:pPr>
        <w:pStyle w:val="ListNumber"/>
      </w:pPr>
      <w:r>
        <w:t>Determine the implications of recharacterizing the excess as a dividend</w:t>
      </w:r>
    </w:p>
    <w:p>
      <w:pPr>
        <w:pStyle w:val="ListNumber"/>
      </w:pPr>
      <w:r>
        <w:t>Recommend a defense strategy for MegaOil International</w:t>
      </w:r>
    </w:p>
    <w:p>
      <w:pPr>
        <w:pStyle w:val="Heading3"/>
      </w:pPr>
      <w:r>
        <w:t>Analysis</w:t>
      </w:r>
    </w:p>
    <w:p>
      <w:r>
        <w:rPr>
          <w:b/>
        </w:rPr>
        <w:t>Step 1: Transfer Pricing Method Analysis</w:t>
      </w:r>
    </w:p>
    <w:p>
      <w:pPr>
        <w:pStyle w:val="Heading4"/>
      </w:pPr>
      <w:r>
        <w:t>Method 1: Comparable Uncontrolled Price (CUP)</w:t>
      </w:r>
    </w:p>
    <w:p>
      <w:r>
        <w:rPr>
          <w:b/>
        </w:rPr>
        <w:t>External Comparables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Supplier</w:t>
            </w:r>
          </w:p>
        </w:tc>
        <w:tc>
          <w:tcPr>
            <w:tcW w:type="dxa" w:w="2160"/>
          </w:tcPr>
          <w:p>
            <w:r>
              <w:rPr>
                <w:b/>
              </w:rPr>
            </w:r>
            <w:r>
              <w:rPr>
                <w:b/>
              </w:rPr>
              <w:t>Chemical Type</w:t>
            </w:r>
          </w:p>
        </w:tc>
        <w:tc>
          <w:tcPr>
            <w:tcW w:type="dxa" w:w="2160"/>
          </w:tcPr>
          <w:p>
            <w:r>
              <w:rPr>
                <w:b/>
              </w:rPr>
            </w:r>
            <w:r>
              <w:rPr>
                <w:b/>
              </w:rPr>
              <w:t>Performance</w:t>
            </w:r>
          </w:p>
        </w:tc>
        <w:tc>
          <w:tcPr>
            <w:tcW w:type="dxa" w:w="2160"/>
          </w:tcPr>
          <w:p>
            <w:r>
              <w:rPr>
                <w:b/>
              </w:rPr>
            </w:r>
            <w:r>
              <w:rPr>
                <w:b/>
              </w:rPr>
              <w:t>Royalty Rate</w:t>
            </w:r>
          </w:p>
        </w:tc>
      </w:tr>
      <w:tr>
        <w:tc>
          <w:tcPr>
            <w:tcW w:type="dxa" w:w="2160"/>
          </w:tcPr>
          <w:p>
            <w:r/>
            <w:r>
              <w:t>Chevron Phillips</w:t>
            </w:r>
          </w:p>
        </w:tc>
        <w:tc>
          <w:tcPr>
            <w:tcW w:type="dxa" w:w="2160"/>
          </w:tcPr>
          <w:p>
            <w:r/>
            <w:r>
              <w:t>Surfactant blend</w:t>
            </w:r>
          </w:p>
        </w:tc>
        <w:tc>
          <w:tcPr>
            <w:tcW w:type="dxa" w:w="2160"/>
          </w:tcPr>
          <w:p>
            <w:r/>
            <w:r>
              <w:t>Baseline</w:t>
            </w:r>
          </w:p>
        </w:tc>
        <w:tc>
          <w:tcPr>
            <w:tcW w:type="dxa" w:w="2160"/>
          </w:tcPr>
          <w:p>
            <w:r/>
            <w:r>
              <w:t>3-4%</w:t>
            </w:r>
          </w:p>
        </w:tc>
      </w:tr>
      <w:tr>
        <w:tc>
          <w:tcPr>
            <w:tcW w:type="dxa" w:w="2160"/>
          </w:tcPr>
          <w:p>
            <w:r/>
            <w:r>
              <w:t>Baker Hughes</w:t>
            </w:r>
          </w:p>
        </w:tc>
        <w:tc>
          <w:tcPr>
            <w:tcW w:type="dxa" w:w="2160"/>
          </w:tcPr>
          <w:p>
            <w:r/>
            <w:r>
              <w:t>Polymer flood</w:t>
            </w:r>
          </w:p>
        </w:tc>
        <w:tc>
          <w:tcPr>
            <w:tcW w:type="dxa" w:w="2160"/>
          </w:tcPr>
          <w:p>
            <w:r/>
            <w:r>
              <w:t>+10% vs. baseline</w:t>
            </w:r>
          </w:p>
        </w:tc>
        <w:tc>
          <w:tcPr>
            <w:tcW w:type="dxa" w:w="2160"/>
          </w:tcPr>
          <w:p>
            <w:r/>
            <w:r>
              <w:t>5%</w:t>
            </w:r>
          </w:p>
        </w:tc>
      </w:tr>
      <w:tr>
        <w:tc>
          <w:tcPr>
            <w:tcW w:type="dxa" w:w="2160"/>
          </w:tcPr>
          <w:p>
            <w:r/>
            <w:r>
              <w:t>Halliburton</w:t>
            </w:r>
          </w:p>
        </w:tc>
        <w:tc>
          <w:tcPr>
            <w:tcW w:type="dxa" w:w="2160"/>
          </w:tcPr>
          <w:p>
            <w:r/>
            <w:r>
              <w:t>Alkaline surfactant</w:t>
            </w:r>
          </w:p>
        </w:tc>
        <w:tc>
          <w:tcPr>
            <w:tcW w:type="dxa" w:w="2160"/>
          </w:tcPr>
          <w:p>
            <w:r/>
            <w:r>
              <w:t>+15% vs. baseline</w:t>
            </w:r>
          </w:p>
        </w:tc>
        <w:tc>
          <w:tcPr>
            <w:tcW w:type="dxa" w:w="2160"/>
          </w:tcPr>
          <w:p>
            <w:r/>
            <w:r>
              <w:t>6-7%</w:t>
            </w:r>
          </w:p>
        </w:tc>
      </w:tr>
    </w:tbl>
    <w:p/>
    <w:p>
      <w:r>
        <w:rPr>
          <w:b/>
        </w:rPr>
        <w:t>Adjustment for MegaSweep's Superior Performance (+20%)</w:t>
      </w:r>
      <w:r>
        <w:t>:</w:t>
      </w:r>
    </w:p>
    <w:p>
      <w:pPr>
        <w:shd w:fill="F0F0F0"/>
        <w:spacing w:after="0" w:line="240" w:lineRule="auto"/>
      </w:pPr>
      <w:r>
        <w:rPr>
          <w:rFonts w:ascii="Courier New" w:hAnsi="Courier New"/>
          <w:sz w:val="20"/>
        </w:rPr>
        <w:t>Base comparable rate (best third-party) = 6-7%</w:t>
      </w:r>
    </w:p>
    <w:p>
      <w:pPr>
        <w:shd w:fill="F0F0F0"/>
        <w:spacing w:after="0" w:line="240" w:lineRule="auto"/>
      </w:pPr>
      <w:r>
        <w:rPr>
          <w:rFonts w:ascii="Courier New" w:hAnsi="Courier New"/>
          <w:sz w:val="20"/>
        </w:rPr>
        <w:t>Adjustment for additional 5% performance = +1-2%</w:t>
      </w:r>
    </w:p>
    <w:p>
      <w:pPr>
        <w:shd w:fill="F0F0F0"/>
        <w:spacing w:after="0" w:line="240" w:lineRule="auto"/>
      </w:pPr>
      <w:r>
        <w:rPr>
          <w:rFonts w:ascii="Courier New" w:hAnsi="Courier New"/>
          <w:sz w:val="20"/>
        </w:rPr>
        <w:t>Adjusted CUP range = 7-9%</w:t>
      </w:r>
    </w:p>
    <w:p/>
    <w:p>
      <w:r>
        <w:rPr>
          <w:b/>
        </w:rPr>
        <w:t>Conclusion</w:t>
      </w:r>
      <w:r>
        <w:t xml:space="preserve">: The </w:t>
      </w:r>
      <w:r>
        <w:rPr>
          <w:b/>
        </w:rPr>
        <w:t>8% royalty rate</w:t>
      </w:r>
      <w:r>
        <w:t xml:space="preserve"> falls </w:t>
      </w:r>
      <w:r>
        <w:rPr>
          <w:b/>
        </w:rPr>
        <w:t>within the adjusted arm's length range</w:t>
      </w:r>
      <w:r>
        <w:t xml:space="preserve"> of </w:t>
      </w:r>
      <w:r>
        <w:rPr>
          <w:b/>
        </w:rPr>
        <w:t>7-9%</w:t>
      </w:r>
      <w:r>
        <w:t>.</w:t>
      </w:r>
    </w:p>
    <w:p>
      <w:pPr>
        <w:pStyle w:val="Heading4"/>
      </w:pPr>
      <w:r>
        <w:t>Method 2: Profit Split Analysis</w:t>
      </w:r>
    </w:p>
    <w:p>
      <w:r>
        <w:rPr>
          <w:b/>
        </w:rPr>
        <w:t>Step 1: Calculate Total Profit from MegaSweep</w:t>
      </w:r>
    </w:p>
    <w:p>
      <w:pPr>
        <w:shd w:fill="F0F0F0"/>
        <w:spacing w:after="0" w:line="240" w:lineRule="auto"/>
      </w:pPr>
      <w:r>
        <w:rPr>
          <w:rFonts w:ascii="Courier New" w:hAnsi="Courier New"/>
          <w:sz w:val="20"/>
        </w:rPr>
        <w:t>Incremental revenue from MegaSweep = $68,400,000</w:t>
      </w:r>
    </w:p>
    <w:p>
      <w:pPr>
        <w:shd w:fill="F0F0F0"/>
        <w:spacing w:after="0" w:line="240" w:lineRule="auto"/>
      </w:pPr>
      <w:r>
        <w:rPr>
          <w:rFonts w:ascii="Courier New" w:hAnsi="Courier New"/>
          <w:sz w:val="20"/>
        </w:rPr>
        <w:t>Less: Incremental operating costs (assumed 40% of revenue) = $27,360,000</w:t>
      </w:r>
    </w:p>
    <w:p>
      <w:pPr>
        <w:shd w:fill="F0F0F0"/>
        <w:spacing w:after="0" w:line="240" w:lineRule="auto"/>
      </w:pPr>
      <w:r>
        <w:rPr>
          <w:rFonts w:ascii="Courier New" w:hAnsi="Courier New"/>
          <w:sz w:val="20"/>
        </w:rPr>
        <w:t>Less: Royalty to parent = $5,470,000</w:t>
      </w:r>
    </w:p>
    <w:p>
      <w:pPr>
        <w:shd w:fill="F0F0F0"/>
        <w:spacing w:after="0" w:line="240" w:lineRule="auto"/>
      </w:pPr>
      <w:r>
        <w:rPr>
          <w:rFonts w:ascii="Courier New" w:hAnsi="Courier New"/>
          <w:sz w:val="20"/>
        </w:rPr>
        <w:t>MegaOil Brasil's operating profit = $35,570,000</w:t>
      </w:r>
    </w:p>
    <w:p>
      <w:pPr>
        <w:shd w:fill="F0F0F0"/>
        <w:spacing w:after="0" w:line="240" w:lineRule="auto"/>
      </w:pPr>
      <w:r>
        <w:rPr>
          <w:rFonts w:ascii="Courier New" w:hAnsi="Courier New"/>
          <w:sz w:val="20"/>
        </w:rPr>
        <w:t>Add back: Royalty = $5,470,000</w:t>
      </w:r>
    </w:p>
    <w:p>
      <w:pPr>
        <w:shd w:fill="F0F0F0"/>
        <w:spacing w:after="0" w:line="240" w:lineRule="auto"/>
      </w:pPr>
      <w:r>
        <w:rPr>
          <w:rFonts w:ascii="Courier New" w:hAnsi="Courier New"/>
          <w:sz w:val="20"/>
        </w:rPr>
        <w:t>Total combined profit from MegaSweep = $41,040,000</w:t>
      </w:r>
    </w:p>
    <w:p/>
    <w:p>
      <w:r>
        <w:rPr>
          <w:b/>
        </w:rPr>
        <w:t>Step 2: Allocate Routine Return to MegaOil Brasil</w:t>
      </w:r>
    </w:p>
    <w:p>
      <w:r>
        <w:t xml:space="preserve">Comparable operators without proprietary technology earn </w:t>
      </w:r>
      <w:r>
        <w:rPr>
          <w:b/>
        </w:rPr>
        <w:t>18-22% operating margins</w:t>
      </w:r>
      <w:r>
        <w:t xml:space="preserve">. Using </w:t>
      </w:r>
      <w:r>
        <w:rPr>
          <w:b/>
        </w:rPr>
        <w:t>20% midpoint</w:t>
      </w:r>
      <w:r>
        <w:t>:</w:t>
      </w:r>
    </w:p>
    <w:p>
      <w:pPr>
        <w:shd w:fill="F0F0F0"/>
        <w:spacing w:after="0" w:line="240" w:lineRule="auto"/>
      </w:pPr>
      <w:r>
        <w:rPr>
          <w:rFonts w:ascii="Courier New" w:hAnsi="Courier New"/>
          <w:sz w:val="20"/>
        </w:rPr>
        <w:t>Routine return to MegaOil Brasil = $68,400,000 × 20% = $13,680,000</w:t>
      </w:r>
    </w:p>
    <w:p/>
    <w:p>
      <w:r>
        <w:rPr>
          <w:b/>
        </w:rPr>
        <w:t>Step 3: Calculate Residual Profit Attributable to IP</w:t>
      </w:r>
    </w:p>
    <w:p>
      <w:pPr>
        <w:shd w:fill="F0F0F0"/>
        <w:spacing w:after="0" w:line="240" w:lineRule="auto"/>
      </w:pPr>
      <w:r>
        <w:rPr>
          <w:rFonts w:ascii="Courier New" w:hAnsi="Courier New"/>
          <w:sz w:val="20"/>
        </w:rPr>
        <w:t>Total combined profit = $41,040,000</w:t>
      </w:r>
    </w:p>
    <w:p>
      <w:pPr>
        <w:shd w:fill="F0F0F0"/>
        <w:spacing w:after="0" w:line="240" w:lineRule="auto"/>
      </w:pPr>
      <w:r>
        <w:rPr>
          <w:rFonts w:ascii="Courier New" w:hAnsi="Courier New"/>
          <w:sz w:val="20"/>
        </w:rPr>
        <w:t>Less: Routine return to MegaOil Brasil = $13,680,000</w:t>
      </w:r>
    </w:p>
    <w:p>
      <w:pPr>
        <w:shd w:fill="F0F0F0"/>
        <w:spacing w:after="0" w:line="240" w:lineRule="auto"/>
      </w:pPr>
      <w:r>
        <w:rPr>
          <w:rFonts w:ascii="Courier New" w:hAnsi="Courier New"/>
          <w:sz w:val="20"/>
        </w:rPr>
        <w:t>Residual profit (attributable to MegaSweep IP) = $27,360,000</w:t>
      </w:r>
    </w:p>
    <w:p/>
    <w:p>
      <w:r>
        <w:rPr>
          <w:b/>
        </w:rPr>
        <w:t>Step 4: Determine Appropriate Split of Residual Profit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Contribution</w:t>
            </w:r>
          </w:p>
        </w:tc>
        <w:tc>
          <w:tcPr>
            <w:tcW w:type="dxa" w:w="2160"/>
          </w:tcPr>
          <w:p>
            <w:r>
              <w:rPr>
                <w:b/>
              </w:rPr>
            </w:r>
            <w:r>
              <w:rPr>
                <w:b/>
              </w:rPr>
              <w:t>Party</w:t>
            </w:r>
          </w:p>
        </w:tc>
        <w:tc>
          <w:tcPr>
            <w:tcW w:type="dxa" w:w="2160"/>
          </w:tcPr>
          <w:p>
            <w:r>
              <w:rPr>
                <w:b/>
              </w:rPr>
            </w:r>
            <w:r>
              <w:rPr>
                <w:b/>
              </w:rPr>
              <w:t>Value</w:t>
            </w:r>
          </w:p>
        </w:tc>
        <w:tc>
          <w:tcPr>
            <w:tcW w:type="dxa" w:w="2160"/>
          </w:tcPr>
          <w:p>
            <w:r>
              <w:rPr>
                <w:b/>
              </w:rPr>
            </w:r>
            <w:r>
              <w:rPr>
                <w:b/>
              </w:rPr>
              <w:t>Split %</w:t>
            </w:r>
          </w:p>
        </w:tc>
      </w:tr>
      <w:tr>
        <w:tc>
          <w:tcPr>
            <w:tcW w:type="dxa" w:w="2160"/>
          </w:tcPr>
          <w:p>
            <w:r/>
            <w:r>
              <w:rPr>
                <w:b/>
              </w:rPr>
              <w:t>IP ownership and R&amp;D risk</w:t>
            </w:r>
          </w:p>
        </w:tc>
        <w:tc>
          <w:tcPr>
            <w:tcW w:type="dxa" w:w="2160"/>
          </w:tcPr>
          <w:p>
            <w:r/>
            <w:r>
              <w:t>MegaOil International</w:t>
            </w:r>
          </w:p>
        </w:tc>
        <w:tc>
          <w:tcPr>
            <w:tcW w:type="dxa" w:w="2160"/>
          </w:tcPr>
          <w:p>
            <w:r/>
            <w:r>
              <w:t>$50M investment</w:t>
            </w:r>
          </w:p>
        </w:tc>
        <w:tc>
          <w:tcPr>
            <w:tcW w:type="dxa" w:w="2160"/>
          </w:tcPr>
          <w:p>
            <w:r/>
            <w:r>
              <w:t>85%</w:t>
            </w:r>
          </w:p>
        </w:tc>
      </w:tr>
      <w:tr>
        <w:tc>
          <w:tcPr>
            <w:tcW w:type="dxa" w:w="2160"/>
          </w:tcPr>
          <w:p>
            <w:r/>
            <w:r>
              <w:rPr>
                <w:b/>
              </w:rPr>
              <w:t>Application expertise and field risk</w:t>
            </w:r>
          </w:p>
        </w:tc>
        <w:tc>
          <w:tcPr>
            <w:tcW w:type="dxa" w:w="2160"/>
          </w:tcPr>
          <w:p>
            <w:r/>
            <w:r>
              <w:t>MegaOil Brasil</w:t>
            </w:r>
          </w:p>
        </w:tc>
        <w:tc>
          <w:tcPr>
            <w:tcW w:type="dxa" w:w="2160"/>
          </w:tcPr>
          <w:p>
            <w:r/>
            <w:r>
              <w:t>Operational know-how</w:t>
            </w:r>
          </w:p>
        </w:tc>
        <w:tc>
          <w:tcPr>
            <w:tcW w:type="dxa" w:w="2160"/>
          </w:tcPr>
          <w:p>
            <w:r/>
            <w:r>
              <w:t>15%</w:t>
            </w:r>
          </w:p>
        </w:tc>
      </w:tr>
    </w:tbl>
    <w:p/>
    <w:p>
      <w:r>
        <w:rPr>
          <w:b/>
        </w:rPr>
        <w:t>Residual Profit Allocation</w:t>
      </w:r>
      <w:r>
        <w:t>:</w:t>
      </w:r>
    </w:p>
    <w:p>
      <w:pPr>
        <w:shd w:fill="F0F0F0"/>
        <w:spacing w:after="0" w:line="240" w:lineRule="auto"/>
      </w:pPr>
      <w:r>
        <w:rPr>
          <w:rFonts w:ascii="Courier New" w:hAnsi="Courier New"/>
          <w:sz w:val="20"/>
        </w:rPr>
        <w:t>MegaOil International's share = $27,360,000 × 85% = $23,256,000</w:t>
      </w:r>
    </w:p>
    <w:p>
      <w:pPr>
        <w:shd w:fill="F0F0F0"/>
        <w:spacing w:after="0" w:line="240" w:lineRule="auto"/>
      </w:pPr>
      <w:r>
        <w:rPr>
          <w:rFonts w:ascii="Courier New" w:hAnsi="Courier New"/>
          <w:sz w:val="20"/>
        </w:rPr>
        <w:t>MegaOil Brasil's share = $27,360,000 × 15% = $4,104,000</w:t>
      </w:r>
    </w:p>
    <w:p/>
    <w:p>
      <w:r>
        <w:rPr>
          <w:b/>
        </w:rPr>
        <w:t>Implied Arm's Length Royalty</w:t>
      </w:r>
      <w:r>
        <w:t>:</w:t>
      </w:r>
    </w:p>
    <w:p>
      <w:pPr>
        <w:shd w:fill="F0F0F0"/>
        <w:spacing w:after="0" w:line="240" w:lineRule="auto"/>
      </w:pPr>
      <w:r>
        <w:rPr>
          <w:rFonts w:ascii="Courier New" w:hAnsi="Courier New"/>
          <w:sz w:val="20"/>
        </w:rPr>
        <w:t>Arm's length royalty = $23,256,000</w:t>
      </w:r>
    </w:p>
    <w:p>
      <w:pPr>
        <w:shd w:fill="F0F0F0"/>
        <w:spacing w:after="0" w:line="240" w:lineRule="auto"/>
      </w:pPr>
      <w:r>
        <w:rPr>
          <w:rFonts w:ascii="Courier New" w:hAnsi="Courier New"/>
          <w:sz w:val="20"/>
        </w:rPr>
        <w:t>As % of incremental revenue = $23,256,000 / $68,400,000 = 34%</w:t>
      </w:r>
    </w:p>
    <w:p/>
    <w:p>
      <w:r>
        <w:rPr>
          <w:b/>
        </w:rPr>
        <w:t>Issue</w:t>
      </w:r>
      <w:r>
        <w:t xml:space="preserve">: This suggests the arm's length royalty should be </w:t>
      </w:r>
      <w:r>
        <w:rPr>
          <w:b/>
        </w:rPr>
        <w:t>34%</w:t>
      </w:r>
      <w:r>
        <w:t xml:space="preserve">, much higher than the actual </w:t>
      </w:r>
      <w:r>
        <w:rPr>
          <w:b/>
        </w:rPr>
        <w:t>8%</w:t>
      </w:r>
      <w:r>
        <w:t>!</w:t>
      </w:r>
    </w:p>
    <w:p>
      <w:r>
        <w:rPr>
          <w:b/>
        </w:rPr>
        <w:t>Reconciliation</w:t>
      </w:r>
      <w:r>
        <w:t xml:space="preserve">: The profit split analysis assumes that </w:t>
      </w:r>
      <w:r>
        <w:rPr>
          <w:b/>
        </w:rPr>
        <w:t>all residual profit</w:t>
      </w:r>
      <w:r>
        <w:t xml:space="preserve"> should be allocated via royalty. However, the U.S. parent may also earn profit through:</w:t>
      </w:r>
    </w:p>
    <w:p>
      <w:pPr>
        <w:pStyle w:val="ListBullet"/>
      </w:pPr>
      <w:r>
        <w:rPr>
          <w:b/>
        </w:rPr>
        <w:t>Management fees</w:t>
      </w:r>
    </w:p>
    <w:p>
      <w:pPr>
        <w:pStyle w:val="ListBullet"/>
      </w:pPr>
      <w:r>
        <w:rPr>
          <w:b/>
        </w:rPr>
        <w:t>Technical service fees</w:t>
      </w:r>
    </w:p>
    <w:p>
      <w:pPr>
        <w:pStyle w:val="ListBullet"/>
      </w:pPr>
      <w:r>
        <w:rPr>
          <w:b/>
        </w:rPr>
        <w:t>Dividends</w:t>
      </w:r>
      <w:r>
        <w:t xml:space="preserve"> from equity ownership</w:t>
      </w:r>
    </w:p>
    <w:p>
      <w:r>
        <w:t xml:space="preserve">If we assume the U.S. parent earns its 85% share through a </w:t>
      </w:r>
      <w:r>
        <w:rPr>
          <w:b/>
        </w:rPr>
        <w:t>combination</w:t>
      </w:r>
      <w:r>
        <w:t xml:space="preserve"> of:</w:t>
      </w:r>
    </w:p>
    <w:p>
      <w:pPr>
        <w:pStyle w:val="ListBullet"/>
      </w:pPr>
      <w:r>
        <w:t xml:space="preserve">Royalty: </w:t>
      </w:r>
      <w:r>
        <w:rPr>
          <w:b/>
        </w:rPr>
        <w:t>$5.47M</w:t>
      </w:r>
      <w:r>
        <w:t xml:space="preserve"> (8%)</w:t>
      </w:r>
    </w:p>
    <w:p>
      <w:pPr>
        <w:pStyle w:val="ListBullet"/>
      </w:pPr>
      <w:r>
        <w:t xml:space="preserve">Retained earnings distributed as dividends: </w:t>
      </w:r>
      <w:r>
        <w:rPr>
          <w:b/>
        </w:rPr>
        <w:t>$17.79M</w:t>
      </w:r>
    </w:p>
    <w:p>
      <w:r>
        <w:t>Then the allocation is appropriate.</w:t>
      </w:r>
    </w:p>
    <w:p>
      <w:r>
        <w:rPr>
          <w:b/>
        </w:rPr>
        <w:t>Alternative Calculation - Royalty-Only Analysis</w:t>
      </w:r>
      <w:r>
        <w:t>:</w:t>
      </w:r>
    </w:p>
    <w:p>
      <w:r>
        <w:t>If the entire U.S. parent return must come from royalties (no dividends):</w:t>
      </w:r>
    </w:p>
    <w:p>
      <w:pPr>
        <w:shd w:fill="F0F0F0"/>
        <w:spacing w:after="0" w:line="240" w:lineRule="auto"/>
      </w:pPr>
      <w:r>
        <w:rPr>
          <w:rFonts w:ascii="Courier New" w:hAnsi="Courier New"/>
          <w:sz w:val="20"/>
        </w:rPr>
        <w:t>Required return to U.S. parent = $23,256,000</w:t>
      </w:r>
    </w:p>
    <w:p>
      <w:pPr>
        <w:shd w:fill="F0F0F0"/>
        <w:spacing w:after="0" w:line="240" w:lineRule="auto"/>
      </w:pPr>
      <w:r>
        <w:rPr>
          <w:rFonts w:ascii="Courier New" w:hAnsi="Courier New"/>
          <w:sz w:val="20"/>
        </w:rPr>
        <w:t>Implied royalty rate = $23,256,000 / $68,400,000 = 34%</w:t>
      </w:r>
    </w:p>
    <w:p/>
    <w:p>
      <w:r>
        <w:t xml:space="preserve">This is </w:t>
      </w:r>
      <w:r>
        <w:rPr>
          <w:b/>
        </w:rPr>
        <w:t>not realistic</w:t>
      </w:r>
      <w:r>
        <w:t xml:space="preserve"> for commodity chemical applications. It suggests that the </w:t>
      </w:r>
      <w:r>
        <w:rPr>
          <w:b/>
        </w:rPr>
        <w:t>MegaSweep technology should be owned by MegaOil Brasil</w:t>
      </w:r>
      <w:r>
        <w:t>, not licensed from the parent, to avoid excessive royalty rates.</w:t>
      </w:r>
    </w:p>
    <w:p>
      <w:pPr>
        <w:pStyle w:val="Heading4"/>
      </w:pPr>
      <w:r>
        <w:t>Method 3: Transactional Net Margin Method (TNMM)</w:t>
      </w:r>
    </w:p>
    <w:p>
      <w:r>
        <w:rPr>
          <w:b/>
        </w:rPr>
        <w:t>Tested Party</w:t>
      </w:r>
      <w:r>
        <w:t>: MegaOil Brasil (licensee)</w:t>
      </w:r>
    </w:p>
    <w:p>
      <w:r>
        <w:rPr>
          <w:b/>
        </w:rPr>
        <w:t>Comparable Companies</w:t>
      </w:r>
      <w:r>
        <w:t>: Operators using licensed EOR technology (operating margins of 18-22%)</w:t>
      </w:r>
    </w:p>
    <w:p>
      <w:r>
        <w:rPr>
          <w:b/>
        </w:rPr>
        <w:t>MegaOil Brasil's Margin</w:t>
      </w:r>
      <w:r>
        <w:t>:</w:t>
      </w:r>
    </w:p>
    <w:p>
      <w:pPr>
        <w:shd w:fill="F0F0F0"/>
        <w:spacing w:after="0" w:line="240" w:lineRule="auto"/>
      </w:pPr>
      <w:r>
        <w:rPr>
          <w:rFonts w:ascii="Courier New" w:hAnsi="Courier New"/>
          <w:sz w:val="20"/>
        </w:rPr>
        <w:t>Total revenue = $68,400,000</w:t>
      </w:r>
    </w:p>
    <w:p>
      <w:pPr>
        <w:shd w:fill="F0F0F0"/>
        <w:spacing w:after="0" w:line="240" w:lineRule="auto"/>
      </w:pPr>
      <w:r>
        <w:rPr>
          <w:rFonts w:ascii="Courier New" w:hAnsi="Courier New"/>
          <w:sz w:val="20"/>
        </w:rPr>
        <w:t>Total costs (including royalty) = $32,830,000</w:t>
      </w:r>
    </w:p>
    <w:p>
      <w:pPr>
        <w:shd w:fill="F0F0F0"/>
        <w:spacing w:after="0" w:line="240" w:lineRule="auto"/>
      </w:pPr>
      <w:r>
        <w:rPr>
          <w:rFonts w:ascii="Courier New" w:hAnsi="Courier New"/>
          <w:sz w:val="20"/>
        </w:rPr>
        <w:t>Operating profit = $35,570,000</w:t>
      </w:r>
    </w:p>
    <w:p>
      <w:pPr>
        <w:shd w:fill="F0F0F0"/>
        <w:spacing w:after="0" w:line="240" w:lineRule="auto"/>
      </w:pPr>
      <w:r>
        <w:rPr>
          <w:rFonts w:ascii="Courier New" w:hAnsi="Courier New"/>
          <w:sz w:val="20"/>
        </w:rPr>
        <w:t>Operating margin = 52%</w:t>
      </w:r>
    </w:p>
    <w:p/>
    <w:p>
      <w:r>
        <w:rPr>
          <w:b/>
        </w:rPr>
        <w:t>MegaOil Brasil with 5% Royalty (Brazilian proposal)</w:t>
      </w:r>
      <w:r>
        <w:t>:</w:t>
      </w:r>
    </w:p>
    <w:p>
      <w:pPr>
        <w:shd w:fill="F0F0F0"/>
        <w:spacing w:after="0" w:line="240" w:lineRule="auto"/>
      </w:pPr>
      <w:r>
        <w:rPr>
          <w:rFonts w:ascii="Courier New" w:hAnsi="Courier New"/>
          <w:sz w:val="20"/>
        </w:rPr>
        <w:t>Royalty at 5% = $3,420,000</w:t>
      </w:r>
    </w:p>
    <w:p>
      <w:pPr>
        <w:shd w:fill="F0F0F0"/>
        <w:spacing w:after="0" w:line="240" w:lineRule="auto"/>
      </w:pPr>
      <w:r>
        <w:rPr>
          <w:rFonts w:ascii="Courier New" w:hAnsi="Courier New"/>
          <w:sz w:val="20"/>
        </w:rPr>
        <w:t>Revised operating profit = $35,570,000 + ($5,470,000 - $3,420,000) = $37,620,000</w:t>
      </w:r>
    </w:p>
    <w:p>
      <w:pPr>
        <w:shd w:fill="F0F0F0"/>
        <w:spacing w:after="0" w:line="240" w:lineRule="auto"/>
      </w:pPr>
      <w:r>
        <w:rPr>
          <w:rFonts w:ascii="Courier New" w:hAnsi="Courier New"/>
          <w:sz w:val="20"/>
        </w:rPr>
        <w:t>Operating margin = 55%</w:t>
      </w:r>
    </w:p>
    <w:p/>
    <w:p>
      <w:r>
        <w:t xml:space="preserve">Both the </w:t>
      </w:r>
      <w:r>
        <w:rPr>
          <w:b/>
        </w:rPr>
        <w:t>8% royalty</w:t>
      </w:r>
      <w:r>
        <w:t xml:space="preserve"> (52% margin) and </w:t>
      </w:r>
      <w:r>
        <w:rPr>
          <w:b/>
        </w:rPr>
        <w:t>5% royalty</w:t>
      </w:r>
      <w:r>
        <w:t xml:space="preserve"> (55% margin) result in MegaOil Brasil earning </w:t>
      </w:r>
      <w:r>
        <w:rPr>
          <w:b/>
        </w:rPr>
        <w:t>significantly higher margins</w:t>
      </w:r>
      <w:r>
        <w:t xml:space="preserve"> than comparable operators (18-22%), suggesting </w:t>
      </w:r>
      <w:r>
        <w:rPr>
          <w:b/>
        </w:rPr>
        <w:t>both rates may be conservative</w:t>
      </w:r>
      <w:r>
        <w:t xml:space="preserve"> and the technology creates substantial value.</w:t>
      </w:r>
    </w:p>
    <w:p>
      <w:r>
        <w:rPr>
          <w:b/>
        </w:rPr>
        <w:t>Conclusion from TNMM</w:t>
      </w:r>
      <w:r>
        <w:t xml:space="preserve">: The </w:t>
      </w:r>
      <w:r>
        <w:rPr>
          <w:b/>
        </w:rPr>
        <w:t>8% royalty rate</w:t>
      </w:r>
      <w:r>
        <w:t xml:space="preserve"> leaves MegaOil Brasil with an </w:t>
      </w:r>
      <w:r>
        <w:rPr>
          <w:b/>
        </w:rPr>
        <w:t>adequate arm's length return</w:t>
      </w:r>
      <w:r>
        <w:t xml:space="preserve">, and reducing it to 5% would actually </w:t>
      </w:r>
      <w:r>
        <w:rPr>
          <w:b/>
        </w:rPr>
        <w:t>increase</w:t>
      </w:r>
      <w:r>
        <w:t xml:space="preserve"> the Brazilian subsidiary's margin further, which does not support the tax authority's position that 8% is excessive.</w:t>
      </w:r>
    </w:p>
    <w:p>
      <w:r>
        <w:rPr>
          <w:b/>
        </w:rPr>
        <w:t>Step 2: Tax Impact of Brazilian Adjustment to 5% Royalty</w:t>
      </w:r>
    </w:p>
    <w:p>
      <w:r>
        <w:rPr>
          <w:b/>
        </w:rPr>
        <w:t>Scenario 1: Current Structure (8% Royalty)</w:t>
      </w:r>
    </w:p>
    <w:p>
      <w:r>
        <w:rPr>
          <w:b/>
        </w:rPr>
        <w:t>MegaOil Brasil (Brazil)</w:t>
      </w:r>
      <w:r>
        <w:t>:</w:t>
      </w:r>
    </w:p>
    <w:p>
      <w:pPr>
        <w:shd w:fill="F0F0F0"/>
        <w:spacing w:after="0" w:line="240" w:lineRule="auto"/>
      </w:pPr>
      <w:r>
        <w:rPr>
          <w:rFonts w:ascii="Courier New" w:hAnsi="Courier New"/>
          <w:sz w:val="20"/>
        </w:rPr>
        <w:t>Incremental revenue = $68,400,000</w:t>
      </w:r>
    </w:p>
    <w:p>
      <w:pPr>
        <w:shd w:fill="F0F0F0"/>
        <w:spacing w:after="0" w:line="240" w:lineRule="auto"/>
      </w:pPr>
      <w:r>
        <w:rPr>
          <w:rFonts w:ascii="Courier New" w:hAnsi="Courier New"/>
          <w:sz w:val="20"/>
        </w:rPr>
        <w:t>Incremental operating costs = $27,360,000</w:t>
      </w:r>
    </w:p>
    <w:p>
      <w:pPr>
        <w:shd w:fill="F0F0F0"/>
        <w:spacing w:after="0" w:line="240" w:lineRule="auto"/>
      </w:pPr>
      <w:r>
        <w:rPr>
          <w:rFonts w:ascii="Courier New" w:hAnsi="Courier New"/>
          <w:sz w:val="20"/>
        </w:rPr>
        <w:t>Royalty deduction = $5,470,000</w:t>
      </w:r>
    </w:p>
    <w:p>
      <w:pPr>
        <w:shd w:fill="F0F0F0"/>
        <w:spacing w:after="0" w:line="240" w:lineRule="auto"/>
      </w:pPr>
      <w:r>
        <w:rPr>
          <w:rFonts w:ascii="Courier New" w:hAnsi="Courier New"/>
          <w:sz w:val="20"/>
        </w:rPr>
        <w:t>Taxable income = $35,570,000</w:t>
      </w:r>
    </w:p>
    <w:p>
      <w:pPr>
        <w:shd w:fill="F0F0F0"/>
        <w:spacing w:after="0" w:line="240" w:lineRule="auto"/>
      </w:pPr>
      <w:r>
        <w:rPr>
          <w:rFonts w:ascii="Courier New" w:hAnsi="Courier New"/>
          <w:sz w:val="20"/>
        </w:rPr>
        <w:t>Brazil tax at 34% = $12,093,800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WHT on royalty (15% × $5,470,000) = $820,500</w:t>
      </w:r>
    </w:p>
    <w:p>
      <w:pPr>
        <w:shd w:fill="F0F0F0"/>
        <w:spacing w:after="0" w:line="240" w:lineRule="auto"/>
      </w:pPr>
      <w:r>
        <w:rPr>
          <w:rFonts w:ascii="Courier New" w:hAnsi="Courier New"/>
          <w:sz w:val="20"/>
        </w:rPr>
        <w:t>Total Brazil tax = $12,914,300</w:t>
      </w:r>
    </w:p>
    <w:p/>
    <w:p>
      <w:r>
        <w:rPr>
          <w:b/>
        </w:rPr>
        <w:t>MegaOil International (U.S.)</w:t>
      </w:r>
      <w:r>
        <w:t>:</w:t>
      </w:r>
    </w:p>
    <w:p>
      <w:pPr>
        <w:shd w:fill="F0F0F0"/>
        <w:spacing w:after="0" w:line="240" w:lineRule="auto"/>
      </w:pPr>
      <w:r>
        <w:rPr>
          <w:rFonts w:ascii="Courier New" w:hAnsi="Courier New"/>
          <w:sz w:val="20"/>
        </w:rPr>
        <w:t>Royalty income (after Brazil WHT) = $4,649,500</w:t>
      </w:r>
    </w:p>
    <w:p>
      <w:pPr>
        <w:shd w:fill="F0F0F0"/>
        <w:spacing w:after="0" w:line="240" w:lineRule="auto"/>
      </w:pPr>
      <w:r>
        <w:rPr>
          <w:rFonts w:ascii="Courier New" w:hAnsi="Courier New"/>
          <w:sz w:val="20"/>
        </w:rPr>
        <w:t>Allocable expenses (10% of royalty) = $547,000</w:t>
      </w:r>
    </w:p>
    <w:p>
      <w:pPr>
        <w:shd w:fill="F0F0F0"/>
        <w:spacing w:after="0" w:line="240" w:lineRule="auto"/>
      </w:pPr>
      <w:r>
        <w:rPr>
          <w:rFonts w:ascii="Courier New" w:hAnsi="Courier New"/>
          <w:sz w:val="20"/>
        </w:rPr>
        <w:t>Net income = $4,102,500</w:t>
      </w:r>
    </w:p>
    <w:p>
      <w:pPr>
        <w:shd w:fill="F0F0F0"/>
        <w:spacing w:after="0" w:line="240" w:lineRule="auto"/>
      </w:pPr>
      <w:r>
        <w:rPr>
          <w:rFonts w:ascii="Courier New" w:hAnsi="Courier New"/>
          <w:sz w:val="20"/>
        </w:rPr>
        <w:t>U.S. tax at 21% = $861,525</w:t>
      </w:r>
    </w:p>
    <w:p>
      <w:pPr>
        <w:shd w:fill="F0F0F0"/>
        <w:spacing w:after="0" w:line="240" w:lineRule="auto"/>
      </w:pPr>
      <w:r>
        <w:rPr>
          <w:rFonts w:ascii="Courier New" w:hAnsi="Courier New"/>
          <w:sz w:val="20"/>
        </w:rPr>
        <w:t>Foreign tax credit (Brazil WHT) = $820,500</w:t>
      </w:r>
    </w:p>
    <w:p>
      <w:pPr>
        <w:shd w:fill="F0F0F0"/>
        <w:spacing w:after="0" w:line="240" w:lineRule="auto"/>
      </w:pPr>
      <w:r>
        <w:rPr>
          <w:rFonts w:ascii="Courier New" w:hAnsi="Courier New"/>
          <w:sz w:val="20"/>
        </w:rPr>
        <w:t>Net U.S. tax = $41,025</w:t>
      </w:r>
    </w:p>
    <w:p/>
    <w:p>
      <w:r>
        <w:rPr>
          <w:b/>
        </w:rPr>
        <w:t>Combined Group Tax</w:t>
      </w:r>
      <w:r>
        <w:t>:</w:t>
      </w:r>
    </w:p>
    <w:p>
      <w:pPr>
        <w:shd w:fill="F0F0F0"/>
        <w:spacing w:after="0" w:line="240" w:lineRule="auto"/>
      </w:pPr>
      <w:r>
        <w:rPr>
          <w:rFonts w:ascii="Courier New" w:hAnsi="Courier New"/>
          <w:sz w:val="20"/>
        </w:rPr>
        <w:t>Brazil: $12,914,300</w:t>
      </w:r>
    </w:p>
    <w:p>
      <w:pPr>
        <w:shd w:fill="F0F0F0"/>
        <w:spacing w:after="0" w:line="240" w:lineRule="auto"/>
      </w:pPr>
      <w:r>
        <w:rPr>
          <w:rFonts w:ascii="Courier New" w:hAnsi="Courier New"/>
          <w:sz w:val="20"/>
        </w:rPr>
        <w:t>U.S.: $41,025</w:t>
      </w:r>
    </w:p>
    <w:p>
      <w:pPr>
        <w:shd w:fill="F0F0F0"/>
        <w:spacing w:after="0" w:line="240" w:lineRule="auto"/>
      </w:pPr>
      <w:r>
        <w:rPr>
          <w:rFonts w:ascii="Courier New" w:hAnsi="Courier New"/>
          <w:sz w:val="20"/>
        </w:rPr>
        <w:t>Total: $12,955,325</w:t>
      </w:r>
    </w:p>
    <w:p/>
    <w:p>
      <w:r>
        <w:rPr>
          <w:b/>
        </w:rPr>
        <w:t>Scenario 2: Brazilian Proposal (5% Royalty)</w:t>
      </w:r>
    </w:p>
    <w:p>
      <w:r>
        <w:rPr>
          <w:b/>
        </w:rPr>
        <w:t>MegaOil Brasil (Brazil)</w:t>
      </w:r>
      <w:r>
        <w:t>:</w:t>
      </w:r>
    </w:p>
    <w:p>
      <w:pPr>
        <w:shd w:fill="F0F0F0"/>
        <w:spacing w:after="0" w:line="240" w:lineRule="auto"/>
      </w:pPr>
      <w:r>
        <w:rPr>
          <w:rFonts w:ascii="Courier New" w:hAnsi="Courier New"/>
          <w:sz w:val="20"/>
        </w:rPr>
        <w:t>Royalty deduction = $3,420,000</w:t>
      </w:r>
    </w:p>
    <w:p>
      <w:pPr>
        <w:shd w:fill="F0F0F0"/>
        <w:spacing w:after="0" w:line="240" w:lineRule="auto"/>
      </w:pPr>
      <w:r>
        <w:rPr>
          <w:rFonts w:ascii="Courier New" w:hAnsi="Courier New"/>
          <w:sz w:val="20"/>
        </w:rPr>
        <w:t>Excess royalty disallowed = $2,050,000</w:t>
      </w:r>
    </w:p>
    <w:p>
      <w:pPr>
        <w:shd w:fill="F0F0F0"/>
        <w:spacing w:after="0" w:line="240" w:lineRule="auto"/>
      </w:pPr>
      <w:r>
        <w:rPr>
          <w:rFonts w:ascii="Courier New" w:hAnsi="Courier New"/>
          <w:sz w:val="20"/>
        </w:rPr>
        <w:t>Revised taxable income = $35,570,000 + $2,050,000 = $37,620,000</w:t>
      </w:r>
    </w:p>
    <w:p>
      <w:pPr>
        <w:shd w:fill="F0F0F0"/>
        <w:spacing w:after="0" w:line="240" w:lineRule="auto"/>
      </w:pPr>
      <w:r>
        <w:rPr>
          <w:rFonts w:ascii="Courier New" w:hAnsi="Courier New"/>
          <w:sz w:val="20"/>
        </w:rPr>
        <w:t>Brazil tax at 34% = $12,790,800</w:t>
      </w:r>
    </w:p>
    <w:p>
      <w:pPr>
        <w:shd w:fill="F0F0F0"/>
        <w:spacing w:after="0" w:line="240" w:lineRule="auto"/>
      </w:pPr>
      <w:r>
        <w:rPr>
          <w:rFonts w:ascii="Courier New" w:hAnsi="Courier New"/>
          <w:sz w:val="20"/>
        </w:rPr>
      </w:r>
    </w:p>
    <w:p>
      <w:pPr>
        <w:shd w:fill="F0F0F0"/>
        <w:spacing w:after="0" w:line="240" w:lineRule="auto"/>
      </w:pPr>
      <w:r>
        <w:rPr>
          <w:rFonts w:ascii="Courier New" w:hAnsi="Courier New"/>
          <w:sz w:val="20"/>
        </w:rPr>
        <w:t>WHT on allowed royalty (15% × $3,420,000) = $513,000</w:t>
      </w:r>
    </w:p>
    <w:p>
      <w:pPr>
        <w:shd w:fill="F0F0F0"/>
        <w:spacing w:after="0" w:line="240" w:lineRule="auto"/>
      </w:pPr>
      <w:r>
        <w:rPr>
          <w:rFonts w:ascii="Courier New" w:hAnsi="Courier New"/>
          <w:sz w:val="20"/>
        </w:rPr>
        <w:t>Total Brazil tax (before dividend recharacterization) = $13,303,800</w:t>
      </w:r>
    </w:p>
    <w:p/>
    <w:p>
      <w:r>
        <w:rPr>
          <w:b/>
        </w:rPr>
        <w:t>If excess recharacterized as dividend</w:t>
      </w:r>
      <w:r>
        <w:t>:</w:t>
      </w:r>
    </w:p>
    <w:p>
      <w:pPr>
        <w:shd w:fill="F0F0F0"/>
        <w:spacing w:after="0" w:line="240" w:lineRule="auto"/>
      </w:pPr>
      <w:r>
        <w:rPr>
          <w:rFonts w:ascii="Courier New" w:hAnsi="Courier New"/>
          <w:sz w:val="20"/>
        </w:rPr>
        <w:t>Dividend = $2,050,000</w:t>
      </w:r>
    </w:p>
    <w:p>
      <w:pPr>
        <w:shd w:fill="F0F0F0"/>
        <w:spacing w:after="0" w:line="240" w:lineRule="auto"/>
      </w:pPr>
      <w:r>
        <w:rPr>
          <w:rFonts w:ascii="Courier New" w:hAnsi="Courier New"/>
          <w:sz w:val="20"/>
        </w:rPr>
        <w:t>Brazil WHT on dividends = 0% (U.S.-Brazil treaty, 100% ownership)</w:t>
      </w:r>
    </w:p>
    <w:p>
      <w:pPr>
        <w:shd w:fill="F0F0F0"/>
        <w:spacing w:after="0" w:line="240" w:lineRule="auto"/>
      </w:pPr>
      <w:r>
        <w:rPr>
          <w:rFonts w:ascii="Courier New" w:hAnsi="Courier New"/>
          <w:sz w:val="20"/>
        </w:rPr>
        <w:t>Additional Brazil tax from recharacterization = $0</w:t>
      </w:r>
    </w:p>
    <w:p>
      <w:pPr>
        <w:shd w:fill="F0F0F0"/>
        <w:spacing w:after="0" w:line="240" w:lineRule="auto"/>
      </w:pPr>
      <w:r>
        <w:rPr>
          <w:rFonts w:ascii="Courier New" w:hAnsi="Courier New"/>
          <w:sz w:val="20"/>
        </w:rPr>
        <w:t>Total Brazil tax = $13,303,800</w:t>
      </w:r>
    </w:p>
    <w:p/>
    <w:p>
      <w:r>
        <w:rPr>
          <w:b/>
        </w:rPr>
        <w:t>MegaOil International (U.S.)</w:t>
      </w:r>
      <w:r>
        <w:t>:</w:t>
      </w:r>
    </w:p>
    <w:p>
      <w:pPr>
        <w:shd w:fill="F0F0F0"/>
        <w:spacing w:after="0" w:line="240" w:lineRule="auto"/>
      </w:pPr>
      <w:r>
        <w:rPr>
          <w:rFonts w:ascii="Courier New" w:hAnsi="Courier New"/>
          <w:sz w:val="20"/>
        </w:rPr>
        <w:t>Royalty income (after Brazil WHT) = $2,907,000</w:t>
      </w:r>
    </w:p>
    <w:p>
      <w:pPr>
        <w:shd w:fill="F0F0F0"/>
        <w:spacing w:after="0" w:line="240" w:lineRule="auto"/>
      </w:pPr>
      <w:r>
        <w:rPr>
          <w:rFonts w:ascii="Courier New" w:hAnsi="Courier New"/>
          <w:sz w:val="20"/>
        </w:rPr>
        <w:t>Dividend income (no Brazil WHT) = $2,050,000</w:t>
      </w:r>
    </w:p>
    <w:p>
      <w:pPr>
        <w:shd w:fill="F0F0F0"/>
        <w:spacing w:after="0" w:line="240" w:lineRule="auto"/>
      </w:pPr>
      <w:r>
        <w:rPr>
          <w:rFonts w:ascii="Courier New" w:hAnsi="Courier New"/>
          <w:sz w:val="20"/>
        </w:rPr>
        <w:t>Total income = $4,957,000</w:t>
      </w:r>
    </w:p>
    <w:p>
      <w:pPr>
        <w:shd w:fill="F0F0F0"/>
        <w:spacing w:after="0" w:line="240" w:lineRule="auto"/>
      </w:pPr>
      <w:r>
        <w:rPr>
          <w:rFonts w:ascii="Courier New" w:hAnsi="Courier New"/>
          <w:sz w:val="20"/>
        </w:rPr>
        <w:t>Allocable expenses = $342,000</w:t>
      </w:r>
    </w:p>
    <w:p>
      <w:pPr>
        <w:shd w:fill="F0F0F0"/>
        <w:spacing w:after="0" w:line="240" w:lineRule="auto"/>
      </w:pPr>
      <w:r>
        <w:rPr>
          <w:rFonts w:ascii="Courier New" w:hAnsi="Courier New"/>
          <w:sz w:val="20"/>
        </w:rPr>
        <w:t>Net income = $4,615,000</w:t>
      </w:r>
    </w:p>
    <w:p>
      <w:pPr>
        <w:shd w:fill="F0F0F0"/>
        <w:spacing w:after="0" w:line="240" w:lineRule="auto"/>
      </w:pPr>
      <w:r>
        <w:rPr>
          <w:rFonts w:ascii="Courier New" w:hAnsi="Courier New"/>
          <w:sz w:val="20"/>
        </w:rPr>
        <w:t>U.S. tax at 21% = $969,150</w:t>
      </w:r>
    </w:p>
    <w:p>
      <w:pPr>
        <w:shd w:fill="F0F0F0"/>
        <w:spacing w:after="0" w:line="240" w:lineRule="auto"/>
      </w:pPr>
      <w:r>
        <w:rPr>
          <w:rFonts w:ascii="Courier New" w:hAnsi="Courier New"/>
          <w:sz w:val="20"/>
        </w:rPr>
        <w:t>Foreign tax credit (Brazil WHT on royalty) = $513,000</w:t>
      </w:r>
    </w:p>
    <w:p>
      <w:pPr>
        <w:shd w:fill="F0F0F0"/>
        <w:spacing w:after="0" w:line="240" w:lineRule="auto"/>
      </w:pPr>
      <w:r>
        <w:rPr>
          <w:rFonts w:ascii="Courier New" w:hAnsi="Courier New"/>
          <w:sz w:val="20"/>
        </w:rPr>
        <w:t>Net U.S. tax = $456,150</w:t>
      </w:r>
    </w:p>
    <w:p/>
    <w:p>
      <w:r>
        <w:rPr>
          <w:b/>
        </w:rPr>
        <w:t>Note</w:t>
      </w:r>
      <w:r>
        <w:t xml:space="preserve">: Dividends from foreign subsidiaries are generally </w:t>
      </w:r>
      <w:r>
        <w:rPr>
          <w:b/>
        </w:rPr>
        <w:t>exempt</w:t>
      </w:r>
      <w:r>
        <w:t xml:space="preserve"> under the </w:t>
      </w:r>
      <w:r>
        <w:rPr>
          <w:b/>
        </w:rPr>
        <w:t>US Internal Revenue Code Section 245A</w:t>
      </w:r>
      <w:r>
        <w:t xml:space="preserve"> participation exemption (if MegaOil Brasil is a CFC and other requirements are met). If exempt:</w:t>
      </w:r>
    </w:p>
    <w:p>
      <w:pPr>
        <w:shd w:fill="F0F0F0"/>
        <w:spacing w:after="0" w:line="240" w:lineRule="auto"/>
      </w:pPr>
      <w:r>
        <w:rPr>
          <w:rFonts w:ascii="Courier New" w:hAnsi="Courier New"/>
          <w:sz w:val="20"/>
        </w:rPr>
        <w:t>Taxable income = Royalty income only = $2,907,000 - $342,000 = $2,565,000</w:t>
      </w:r>
    </w:p>
    <w:p>
      <w:pPr>
        <w:shd w:fill="F0F0F0"/>
        <w:spacing w:after="0" w:line="240" w:lineRule="auto"/>
      </w:pPr>
      <w:r>
        <w:rPr>
          <w:rFonts w:ascii="Courier New" w:hAnsi="Courier New"/>
          <w:sz w:val="20"/>
        </w:rPr>
        <w:t>U.S. tax at 21% = $538,650</w:t>
      </w:r>
    </w:p>
    <w:p>
      <w:pPr>
        <w:shd w:fill="F0F0F0"/>
        <w:spacing w:after="0" w:line="240" w:lineRule="auto"/>
      </w:pPr>
      <w:r>
        <w:rPr>
          <w:rFonts w:ascii="Courier New" w:hAnsi="Courier New"/>
          <w:sz w:val="20"/>
        </w:rPr>
        <w:t>Foreign tax credit = $513,000</w:t>
      </w:r>
    </w:p>
    <w:p>
      <w:pPr>
        <w:shd w:fill="F0F0F0"/>
        <w:spacing w:after="0" w:line="240" w:lineRule="auto"/>
      </w:pPr>
      <w:r>
        <w:rPr>
          <w:rFonts w:ascii="Courier New" w:hAnsi="Courier New"/>
          <w:sz w:val="20"/>
        </w:rPr>
        <w:t>Net U.S. tax = $25,650</w:t>
      </w:r>
    </w:p>
    <w:p/>
    <w:p>
      <w:r>
        <w:rPr>
          <w:b/>
        </w:rPr>
        <w:t>Combined Group Tax</w:t>
      </w:r>
      <w:r>
        <w:t xml:space="preserve"> (with Section 245A dividend exemption):</w:t>
      </w:r>
    </w:p>
    <w:p>
      <w:pPr>
        <w:shd w:fill="F0F0F0"/>
        <w:spacing w:after="0" w:line="240" w:lineRule="auto"/>
      </w:pPr>
      <w:r>
        <w:rPr>
          <w:rFonts w:ascii="Courier New" w:hAnsi="Courier New"/>
          <w:sz w:val="20"/>
        </w:rPr>
        <w:t>Brazil: $13,303,800</w:t>
      </w:r>
    </w:p>
    <w:p>
      <w:pPr>
        <w:shd w:fill="F0F0F0"/>
        <w:spacing w:after="0" w:line="240" w:lineRule="auto"/>
      </w:pPr>
      <w:r>
        <w:rPr>
          <w:rFonts w:ascii="Courier New" w:hAnsi="Courier New"/>
          <w:sz w:val="20"/>
        </w:rPr>
        <w:t>U.S.: $25,650</w:t>
      </w:r>
    </w:p>
    <w:p>
      <w:pPr>
        <w:shd w:fill="F0F0F0"/>
        <w:spacing w:after="0" w:line="240" w:lineRule="auto"/>
      </w:pPr>
      <w:r>
        <w:rPr>
          <w:rFonts w:ascii="Courier New" w:hAnsi="Courier New"/>
          <w:sz w:val="20"/>
        </w:rPr>
        <w:t>Total: $13,329,450</w:t>
      </w:r>
    </w:p>
    <w:p/>
    <w:p>
      <w:r>
        <w:rPr>
          <w:b/>
        </w:rPr>
        <w:t>Tax Cost of Brazilian Adjustment</w:t>
      </w:r>
      <w:r>
        <w:t>:</w:t>
      </w:r>
    </w:p>
    <w:p>
      <w:pPr>
        <w:shd w:fill="F0F0F0"/>
        <w:spacing w:after="0" w:line="240" w:lineRule="auto"/>
      </w:pPr>
      <w:r>
        <w:rPr>
          <w:rFonts w:ascii="Courier New" w:hAnsi="Courier New"/>
          <w:sz w:val="20"/>
        </w:rPr>
        <w:t>Scenario 2 total tax = $13,329,450</w:t>
      </w:r>
    </w:p>
    <w:p>
      <w:pPr>
        <w:shd w:fill="F0F0F0"/>
        <w:spacing w:after="0" w:line="240" w:lineRule="auto"/>
      </w:pPr>
      <w:r>
        <w:rPr>
          <w:rFonts w:ascii="Courier New" w:hAnsi="Courier New"/>
          <w:sz w:val="20"/>
        </w:rPr>
        <w:t>Scenario 1 total tax = $12,955,325</w:t>
      </w:r>
    </w:p>
    <w:p>
      <w:pPr>
        <w:shd w:fill="F0F0F0"/>
        <w:spacing w:after="0" w:line="240" w:lineRule="auto"/>
      </w:pPr>
      <w:r>
        <w:rPr>
          <w:rFonts w:ascii="Courier New" w:hAnsi="Courier New"/>
          <w:sz w:val="20"/>
        </w:rPr>
        <w:t>Additional tax cost = $374,125</w:t>
      </w:r>
    </w:p>
    <w:p/>
    <w:p>
      <w:r>
        <w:rPr>
          <w:b/>
        </w:rPr>
        <w:t>Plus</w:t>
      </w:r>
      <w:r>
        <w:t>: Interest, penalties (potentially 20-75% in Brazil), and audit/legal costs.</w:t>
      </w:r>
    </w:p>
    <w:p>
      <w:r>
        <w:rPr>
          <w:b/>
        </w:rPr>
        <w:t>Step 3: Defense Strategy for MegaOil International</w:t>
      </w:r>
    </w:p>
    <w:p>
      <w:r>
        <w:rPr>
          <w:b/>
        </w:rPr>
        <w:t>1. Strengthen TP Documentation</w:t>
      </w:r>
      <w:r>
        <w:t>:</w:t>
      </w:r>
    </w:p>
    <w:p>
      <w:pPr>
        <w:pStyle w:val="ListBullet"/>
      </w:pPr>
      <w:r>
        <w:rPr>
          <w:b/>
        </w:rPr>
        <w:t>CUP analysis</w:t>
      </w:r>
      <w:r>
        <w:t xml:space="preserve"> with adjustments for superior performance (showing 8% within 7-9% range)</w:t>
      </w:r>
    </w:p>
    <w:p>
      <w:pPr>
        <w:pStyle w:val="ListBullet"/>
      </w:pPr>
      <w:r>
        <w:rPr>
          <w:b/>
        </w:rPr>
        <w:t>Profit split analysis</w:t>
      </w:r>
      <w:r>
        <w:t xml:space="preserve"> demonstrating MegaOil Brasil retains adequate returns</w:t>
      </w:r>
    </w:p>
    <w:p>
      <w:pPr>
        <w:pStyle w:val="ListBullet"/>
      </w:pPr>
      <w:r>
        <w:rPr>
          <w:b/>
        </w:rPr>
        <w:t>TNMM validation</w:t>
      </w:r>
      <w:r>
        <w:t xml:space="preserve"> showing Brazilian subsidiary's margin exceeds comparables</w:t>
      </w:r>
    </w:p>
    <w:p>
      <w:r>
        <w:rPr>
          <w:b/>
        </w:rPr>
        <w:t>2. Emphasize Economic Substance</w:t>
      </w:r>
      <w:r>
        <w:t>:</w:t>
      </w:r>
    </w:p>
    <w:p>
      <w:pPr>
        <w:pStyle w:val="ListBullet"/>
      </w:pPr>
      <w:r>
        <w:rPr>
          <w:b/>
        </w:rPr>
        <w:t>R&amp;D investment</w:t>
      </w:r>
      <w:r>
        <w:t>: $50M development cost by U.S. parent</w:t>
      </w:r>
    </w:p>
    <w:p>
      <w:pPr>
        <w:pStyle w:val="ListBullet"/>
      </w:pPr>
      <w:r>
        <w:rPr>
          <w:b/>
        </w:rPr>
        <w:t>Patent ownership</w:t>
      </w:r>
      <w:r>
        <w:t>: Valid patents protecting MegaSweep formulation</w:t>
      </w:r>
    </w:p>
    <w:p>
      <w:pPr>
        <w:pStyle w:val="ListBullet"/>
      </w:pPr>
      <w:r>
        <w:rPr>
          <w:b/>
        </w:rPr>
        <w:t>Ongoing innovation</w:t>
      </w:r>
      <w:r>
        <w:t>: Continuous improvements and technical support</w:t>
      </w:r>
    </w:p>
    <w:p>
      <w:r>
        <w:rPr>
          <w:b/>
        </w:rPr>
        <w:t>3. Comparability Adjustments</w:t>
      </w:r>
      <w:r>
        <w:t>:</w:t>
      </w:r>
    </w:p>
    <w:p>
      <w:pPr>
        <w:pStyle w:val="ListBullet"/>
      </w:pPr>
      <w:r>
        <w:t xml:space="preserve">Third-party comparables (3-5% rates) are for </w:t>
      </w:r>
      <w:r>
        <w:rPr>
          <w:b/>
        </w:rPr>
        <w:t>non-proprietary</w:t>
      </w:r>
      <w:r>
        <w:t xml:space="preserve"> or </w:t>
      </w:r>
      <w:r>
        <w:rPr>
          <w:b/>
        </w:rPr>
        <w:t>lower-performing</w:t>
      </w:r>
      <w:r>
        <w:t xml:space="preserve"> chemicals</w:t>
      </w:r>
    </w:p>
    <w:p>
      <w:pPr>
        <w:pStyle w:val="ListBullet"/>
      </w:pPr>
      <w:r>
        <w:rPr>
          <w:b/>
        </w:rPr>
        <w:t>Adjustment for performance differential</w:t>
      </w:r>
      <w:r>
        <w:t xml:space="preserve"> (+20% effectiveness) justifies premium</w:t>
      </w:r>
    </w:p>
    <w:p>
      <w:pPr>
        <w:pStyle w:val="ListBullet"/>
      </w:pPr>
      <w:r>
        <w:rPr>
          <w:b/>
        </w:rPr>
        <w:t>Exclusivity</w:t>
      </w:r>
      <w:r>
        <w:t xml:space="preserve"> of the license warrants higher rate</w:t>
      </w:r>
    </w:p>
    <w:p>
      <w:r>
        <w:rPr>
          <w:b/>
        </w:rPr>
        <w:t>4. Business Rationale</w:t>
      </w:r>
      <w:r>
        <w:t>:</w:t>
      </w:r>
    </w:p>
    <w:p>
      <w:pPr>
        <w:pStyle w:val="ListBullet"/>
      </w:pPr>
      <w:r>
        <w:rPr>
          <w:b/>
        </w:rPr>
        <w:t>Intercompany agreement</w:t>
      </w:r>
      <w:r>
        <w:t xml:space="preserve"> was negotiated at arm's length (even though related parties)</w:t>
      </w:r>
    </w:p>
    <w:p>
      <w:pPr>
        <w:pStyle w:val="ListBullet"/>
      </w:pPr>
      <w:r>
        <w:rPr>
          <w:b/>
        </w:rPr>
        <w:t>Consistent application</w:t>
      </w:r>
      <w:r>
        <w:t>: Same rate used globally for MegaSweep licenses</w:t>
      </w:r>
    </w:p>
    <w:p>
      <w:r>
        <w:rPr>
          <w:b/>
        </w:rPr>
        <w:t>5. Consider Advance Pricing Agreement (APA)</w:t>
      </w:r>
      <w:r>
        <w:t>:</w:t>
      </w:r>
    </w:p>
    <w:p>
      <w:pPr>
        <w:pStyle w:val="ListBullet"/>
      </w:pPr>
      <w:r>
        <w:t xml:space="preserve">Proactively seek </w:t>
      </w:r>
      <w:r>
        <w:rPr>
          <w:b/>
        </w:rPr>
        <w:t>bilateral APA</w:t>
      </w:r>
      <w:r>
        <w:t xml:space="preserve"> with Brazilian and U.S. authorities</w:t>
      </w:r>
    </w:p>
    <w:p>
      <w:pPr>
        <w:pStyle w:val="ListBullet"/>
      </w:pPr>
      <w:r>
        <w:t xml:space="preserve">Provides </w:t>
      </w:r>
      <w:r>
        <w:rPr>
          <w:b/>
        </w:rPr>
        <w:t>certainty</w:t>
      </w:r>
      <w:r>
        <w:t xml:space="preserve"> for future years and avoids costly disputes</w:t>
      </w:r>
    </w:p>
    <w:p>
      <w:pPr>
        <w:pStyle w:val="Heading3"/>
      </w:pPr>
      <w:r>
        <w:t>Conclusion</w:t>
      </w:r>
    </w:p>
    <w:p>
      <w:r>
        <w:t xml:space="preserve">The </w:t>
      </w:r>
      <w:r>
        <w:rPr>
          <w:b/>
        </w:rPr>
        <w:t>8% royalty rate</w:t>
      </w:r>
      <w:r>
        <w:t xml:space="preserve"> is </w:t>
      </w:r>
      <w:r>
        <w:rPr>
          <w:b/>
        </w:rPr>
        <w:t>defensible as arm's length</w:t>
      </w:r>
      <w:r>
        <w:t xml:space="preserve"> based on:</w:t>
      </w:r>
    </w:p>
    <w:p>
      <w:pPr>
        <w:pStyle w:val="ListNumber"/>
      </w:pPr>
      <w:r>
        <w:rPr>
          <w:b/>
        </w:rPr>
        <w:t>CUP analysis with adjustments</w:t>
      </w:r>
      <w:r>
        <w:t>: Falls within 7-9% range after adjusting for superior performance</w:t>
      </w:r>
    </w:p>
    <w:p>
      <w:pPr>
        <w:pStyle w:val="ListNumber"/>
      </w:pPr>
      <w:r>
        <w:rPr>
          <w:b/>
        </w:rPr>
        <w:t>TNMM validation</w:t>
      </w:r>
      <w:r>
        <w:t>: MegaOil Brasil retains adequate returns (52% margin vs. 18-22% comparables)</w:t>
      </w:r>
    </w:p>
    <w:p>
      <w:pPr>
        <w:pStyle w:val="ListNumber"/>
      </w:pPr>
      <w:r>
        <w:rPr>
          <w:b/>
        </w:rPr>
        <w:t>Profit split support</w:t>
      </w:r>
      <w:r>
        <w:t>: Residual profit analysis shows value creation justifies the rate</w:t>
      </w:r>
    </w:p>
    <w:p>
      <w:r>
        <w:t xml:space="preserve">The Brazilian tax authority's proposed reduction to </w:t>
      </w:r>
      <w:r>
        <w:rPr>
          <w:b/>
        </w:rPr>
        <w:t>5%</w:t>
      </w:r>
      <w:r>
        <w:t xml:space="preserve"> would:</w:t>
      </w:r>
    </w:p>
    <w:p>
      <w:pPr>
        <w:pStyle w:val="ListBullet"/>
      </w:pPr>
      <w:r>
        <w:rPr>
          <w:b/>
        </w:rPr>
        <w:t>Increase</w:t>
      </w:r>
      <w:r>
        <w:t xml:space="preserve"> MegaOil Brasil's margin to 55%, which is </w:t>
      </w:r>
      <w:r>
        <w:rPr>
          <w:b/>
        </w:rPr>
        <w:t>inconsistent</w:t>
      </w:r>
      <w:r>
        <w:t xml:space="preserve"> with the claim that 8% is excessive</w:t>
      </w:r>
    </w:p>
    <w:p>
      <w:pPr>
        <w:pStyle w:val="ListBullet"/>
      </w:pPr>
      <w:r>
        <w:t xml:space="preserve">Create a </w:t>
      </w:r>
      <w:r>
        <w:rPr>
          <w:b/>
        </w:rPr>
        <w:t>modest additional tax cost</w:t>
      </w:r>
      <w:r>
        <w:t xml:space="preserve"> ($374,125) due to disallowed deduction in Brazil</w:t>
      </w:r>
    </w:p>
    <w:p>
      <w:pPr>
        <w:pStyle w:val="ListBullet"/>
      </w:pPr>
      <w:r>
        <w:t xml:space="preserve">Lack </w:t>
      </w:r>
      <w:r>
        <w:rPr>
          <w:b/>
        </w:rPr>
        <w:t>economic justification</w:t>
      </w:r>
      <w:r>
        <w:t xml:space="preserve"> under transfer pricing principles</w:t>
      </w:r>
    </w:p>
    <w:p>
      <w:r>
        <w:rPr>
          <w:b/>
        </w:rPr>
        <w:t>Recommendation</w:t>
      </w:r>
      <w:r>
        <w:t xml:space="preserve">: </w:t>
      </w:r>
      <w:r>
        <w:rPr>
          <w:b/>
        </w:rPr>
        <w:t>Defend the 8% rate</w:t>
      </w:r>
      <w:r>
        <w:t xml:space="preserve"> through comprehensive transfer pricing documentation, and consider seeking a </w:t>
      </w:r>
      <w:r>
        <w:rPr>
          <w:b/>
        </w:rPr>
        <w:t>bilateral APA</w:t>
      </w:r>
      <w:r>
        <w:t xml:space="preserve"> to avoid future disputes.</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