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37 Transfers of IP</w:t>
      </w:r>
    </w:p>
    <w:p>
      <w:pPr>
        <w:pStyle w:val="Heading1"/>
      </w:pPr>
      <w:r>
        <w:t>37. Transfers of IP</w:t>
      </w:r>
    </w:p>
    <w:p>
      <w:pPr>
        <w:pStyle w:val="Heading2"/>
      </w:pPr>
      <w:r>
        <w:t>Introduction</w:t>
      </w:r>
    </w:p>
    <w:p>
      <w:r>
        <w:t xml:space="preserve">The transfer of intellectual property across borders is a critical tax issue for multinational oil and gas companies undertaking business restructurings, establishing IP holding structures, or relocating functions to optimize global tax positions. IP transfers trigger complex tax consequences including </w:t>
      </w:r>
      <w:r>
        <w:rPr>
          <w:b/>
        </w:rPr>
        <w:t>exit taxation</w:t>
      </w:r>
      <w:r>
        <w:t xml:space="preserve">, </w:t>
      </w:r>
      <w:r>
        <w:rPr>
          <w:b/>
        </w:rPr>
        <w:t>transfer pricing valuation challenges</w:t>
      </w:r>
      <w:r>
        <w:t xml:space="preserve">, </w:t>
      </w:r>
      <w:r>
        <w:rPr>
          <w:b/>
        </w:rPr>
        <w:t>withholding taxes</w:t>
      </w:r>
      <w:r>
        <w:t xml:space="preserve">, and </w:t>
      </w:r>
      <w:r>
        <w:rPr>
          <w:b/>
        </w:rPr>
        <w:t>anti-avoidance provisions</w:t>
      </w:r>
      <w:r>
        <w:t>.</w:t>
      </w:r>
    </w:p>
    <w:p>
      <w:r>
        <w:t xml:space="preserve">Post-BEPS (Base Erosion and Profit Shifting), tax authorities globally have intensified scrutiny of IP transfers, focusing on whether value creation aligns with tax outcomes. The OECD's emphasis on </w:t>
      </w:r>
      <w:r>
        <w:rPr>
          <w:b/>
        </w:rPr>
        <w:t>DEMPE functions</w:t>
      </w:r>
      <w:r>
        <w:t xml:space="preserve"> (Development, Enhancement, Maintenance, Protection, and Exploitation) requires that profits from IP be taxed where </w:t>
      </w:r>
      <w:r>
        <w:rPr>
          <w:b/>
        </w:rPr>
        <w:t>substantial economic activities</w:t>
      </w:r>
      <w:r>
        <w:t xml:space="preserve"> occur, not merely where </w:t>
      </w:r>
      <w:r>
        <w:rPr>
          <w:b/>
        </w:rPr>
        <w:t>legal ownership</w:t>
      </w:r>
      <w:r>
        <w:t xml:space="preserve"> resides.</w:t>
      </w:r>
    </w:p>
    <w:p>
      <w:r>
        <w:t xml:space="preserve">For ADIT examination purposes, this chapter examines the taxation of </w:t>
      </w:r>
      <w:r>
        <w:rPr>
          <w:b/>
        </w:rPr>
        <w:t>outbound transfers</w:t>
      </w:r>
      <w:r>
        <w:t xml:space="preserve"> (from residence country to foreign jurisdiction), </w:t>
      </w:r>
      <w:r>
        <w:rPr>
          <w:b/>
        </w:rPr>
        <w:t>inbound transfers</w:t>
      </w:r>
      <w:r>
        <w:t xml:space="preserve"> (repatriation of IP), </w:t>
      </w:r>
      <w:r>
        <w:rPr>
          <w:b/>
        </w:rPr>
        <w:t>intra-group transfers</w:t>
      </w:r>
      <w:r>
        <w:t xml:space="preserve"> (relocations between foreign entities), and the </w:t>
      </w:r>
      <w:r>
        <w:rPr>
          <w:b/>
        </w:rPr>
        <w:t>valuation methodologies</w:t>
      </w:r>
      <w:r>
        <w:t xml:space="preserve"> required for transfer pricing compliance.</w:t>
      </w:r>
    </w:p>
    <w:p>
      <w:pPr>
        <w:spacing w:before="120" w:after="120"/>
        <w:pBdr>
          <w:bottom w:val="single" w:sz="6" w:space="1" w:color="auto"/>
        </w:pBdr>
      </w:pPr>
    </w:p>
    <w:p>
      <w:pPr>
        <w:pStyle w:val="Heading2"/>
      </w:pPr>
      <w:r>
        <w:t>1. Types of IP Transfers</w:t>
      </w:r>
    </w:p>
    <w:p>
      <w:pPr>
        <w:pStyle w:val="Heading3"/>
      </w:pPr>
      <w:r>
        <w:t>1.1 Outbound Transfers</w:t>
      </w:r>
    </w:p>
    <w:p>
      <w:r>
        <w:rPr>
          <w:b/>
        </w:rPr>
        <w:t>Outbound transfer</w:t>
      </w:r>
      <w:r>
        <w:t xml:space="preserve"> occurs when a resident company transfers IP to a foreign affiliate, typically to:</w:t>
      </w:r>
    </w:p>
    <w:p>
      <w:pPr>
        <w:pStyle w:val="ListBullet"/>
      </w:pPr>
      <w:r>
        <w:t xml:space="preserve">Establish an </w:t>
      </w:r>
      <w:r>
        <w:rPr>
          <w:b/>
        </w:rPr>
        <w:t>IP holding company</w:t>
      </w:r>
      <w:r>
        <w:t xml:space="preserve"> in a low-tax jurisdiction</w:t>
      </w:r>
    </w:p>
    <w:p>
      <w:pPr>
        <w:pStyle w:val="ListBullet"/>
      </w:pPr>
      <w:r>
        <w:t xml:space="preserve">Align IP ownership with </w:t>
      </w:r>
      <w:r>
        <w:rPr>
          <w:b/>
        </w:rPr>
        <w:t>principal entrepreneurial functions</w:t>
      </w:r>
    </w:p>
    <w:p>
      <w:pPr>
        <w:pStyle w:val="ListBullet"/>
      </w:pPr>
      <w:r>
        <w:t xml:space="preserve">Consolidate global IP ownership for </w:t>
      </w:r>
      <w:r>
        <w:rPr>
          <w:b/>
        </w:rPr>
        <w:t>centralized management</w:t>
      </w:r>
    </w:p>
    <w:p>
      <w:r>
        <w:rPr>
          <w:b/>
        </w:rPr>
        <w:t>Common Structures</w:t>
      </w:r>
      <w:r>
        <w:t>:</w:t>
      </w:r>
    </w:p>
    <w:p>
      <w:pPr>
        <w:pStyle w:val="ListNumber"/>
      </w:pPr>
      <w:r>
        <w:rPr>
          <w:b/>
        </w:rPr>
        <w:t>Capital contribution</w:t>
      </w:r>
      <w:r>
        <w:t>: IP transferred as equity investment (no cash consideration)</w:t>
      </w:r>
    </w:p>
    <w:p>
      <w:pPr>
        <w:pStyle w:val="ListNumber"/>
      </w:pPr>
      <w:r>
        <w:rPr>
          <w:b/>
        </w:rPr>
        <w:t>Sale</w:t>
      </w:r>
      <w:r>
        <w:t>: IP sold for cash or deferred consideration</w:t>
      </w:r>
    </w:p>
    <w:p>
      <w:pPr>
        <w:pStyle w:val="ListNumber"/>
      </w:pPr>
      <w:r>
        <w:rPr>
          <w:b/>
        </w:rPr>
        <w:t>License-back</w:t>
      </w:r>
      <w:r>
        <w:t>: IP transferred, with original owner receiving a license to continue using it</w:t>
      </w:r>
    </w:p>
    <w:p>
      <w:pPr>
        <w:pStyle w:val="ListNumber"/>
      </w:pPr>
      <w:r>
        <w:rPr>
          <w:b/>
        </w:rPr>
        <w:t>Cost-sharing arrangement</w:t>
      </w:r>
      <w:r>
        <w:t>: Ongoing arrangement where parties share IP development costs and benefits</w:t>
      </w:r>
    </w:p>
    <w:p>
      <w:pPr>
        <w:pStyle w:val="Heading3"/>
      </w:pPr>
      <w:r>
        <w:t>1.2 Inbound Transfers (IP Repatriation)</w:t>
      </w:r>
    </w:p>
    <w:p>
      <w:r>
        <w:rPr>
          <w:b/>
        </w:rPr>
        <w:t>Inbound transfer</w:t>
      </w:r>
      <w:r>
        <w:t xml:space="preserve"> (or </w:t>
      </w:r>
      <w:r>
        <w:rPr>
          <w:b/>
        </w:rPr>
        <w:t>repatriation</w:t>
      </w:r>
      <w:r>
        <w:t>) occurs when a foreign affiliate transfers IP back to the residence country company. Motivations include:</w:t>
      </w:r>
    </w:p>
    <w:p>
      <w:pPr>
        <w:pStyle w:val="ListBullet"/>
      </w:pPr>
      <w:r>
        <w:t xml:space="preserve">Accessing </w:t>
      </w:r>
      <w:r>
        <w:rPr>
          <w:b/>
        </w:rPr>
        <w:t>domestic incentives</w:t>
      </w:r>
      <w:r>
        <w:t xml:space="preserve"> (e.g., U.S. FDII deduction, UK Patent Box)</w:t>
      </w:r>
    </w:p>
    <w:p>
      <w:pPr>
        <w:pStyle w:val="ListBullet"/>
      </w:pPr>
      <w:r>
        <w:t xml:space="preserve">Responding to </w:t>
      </w:r>
      <w:r>
        <w:rPr>
          <w:b/>
        </w:rPr>
        <w:t>BEPS and Pillar Two</w:t>
      </w:r>
      <w:r>
        <w:t xml:space="preserve"> pressures that erode low-tax IP holding benefits</w:t>
      </w:r>
    </w:p>
    <w:p>
      <w:pPr>
        <w:pStyle w:val="ListBullet"/>
      </w:pPr>
      <w:r>
        <w:t xml:space="preserve">Consolidating </w:t>
      </w:r>
      <w:r>
        <w:rPr>
          <w:b/>
        </w:rPr>
        <w:t>R&amp;D functions</w:t>
      </w:r>
      <w:r>
        <w:t xml:space="preserve"> in a single jurisdiction</w:t>
      </w:r>
    </w:p>
    <w:p>
      <w:pPr>
        <w:pStyle w:val="ListBullet"/>
      </w:pPr>
      <w:r>
        <w:t>Simplifying corporate structure</w:t>
      </w:r>
    </w:p>
    <w:p>
      <w:r>
        <w:rPr>
          <w:b/>
        </w:rPr>
        <w:t>October 2024 U.S. Regulatory Development</w:t>
      </w:r>
      <w:r>
        <w:t>: New final regulations (</w:t>
      </w:r>
      <w:r>
        <w:rPr>
          <w:b/>
        </w:rPr>
        <w:t>T.D. 9994</w:t>
      </w:r>
      <w:r>
        <w:t xml:space="preserve">) provide relief from </w:t>
      </w:r>
      <w:r>
        <w:rPr>
          <w:b/>
        </w:rPr>
        <w:t>Section 367(d)</w:t>
      </w:r>
      <w:r>
        <w:t xml:space="preserve"> annual deemed royalty inclusions when IP is repatriated to certain U.S. persons, making IP repatriation more attractive.</w:t>
      </w:r>
    </w:p>
    <w:p>
      <w:pPr>
        <w:pStyle w:val="Heading3"/>
      </w:pPr>
      <w:r>
        <w:t>1.3 Lateral Transfers</w:t>
      </w:r>
    </w:p>
    <w:p>
      <w:r>
        <w:rPr>
          <w:b/>
        </w:rPr>
        <w:t>Lateral transfer</w:t>
      </w:r>
      <w:r>
        <w:t xml:space="preserve"> occurs when IP moves between foreign affiliates (e.g., from Netherlands IP HoldCo to Singapore IP HoldCo). These transfers may be driven by:</w:t>
      </w:r>
    </w:p>
    <w:p>
      <w:pPr>
        <w:pStyle w:val="ListBullet"/>
      </w:pPr>
      <w:r>
        <w:rPr>
          <w:b/>
        </w:rPr>
        <w:t>Restructuring</w:t>
      </w:r>
      <w:r>
        <w:t xml:space="preserve"> to respond to tax law changes</w:t>
      </w:r>
    </w:p>
    <w:p>
      <w:pPr>
        <w:pStyle w:val="ListBullet"/>
      </w:pPr>
      <w:r>
        <w:rPr>
          <w:b/>
        </w:rPr>
        <w:t>Treaty network optimization</w:t>
      </w:r>
    </w:p>
    <w:p>
      <w:pPr>
        <w:pStyle w:val="ListBullet"/>
      </w:pPr>
      <w:r>
        <w:rPr>
          <w:b/>
        </w:rPr>
        <w:t>Consolidation</w:t>
      </w:r>
      <w:r>
        <w:t xml:space="preserve"> of regional IP holdings</w:t>
      </w:r>
    </w:p>
    <w:p>
      <w:r>
        <w:t xml:space="preserve">Lateral transfers trigger </w:t>
      </w:r>
      <w:r>
        <w:rPr>
          <w:b/>
        </w:rPr>
        <w:t>exit taxation</w:t>
      </w:r>
      <w:r>
        <w:t xml:space="preserve"> in the transferor's jurisdiction and </w:t>
      </w:r>
      <w:r>
        <w:rPr>
          <w:b/>
        </w:rPr>
        <w:t>transfer pricing</w:t>
      </w:r>
      <w:r>
        <w:t xml:space="preserve"> scrutiny in both jurisdictions.</w:t>
      </w:r>
    </w:p>
    <w:p>
      <w:pPr>
        <w:spacing w:before="120" w:after="120"/>
        <w:pBdr>
          <w:bottom w:val="single" w:sz="6" w:space="1" w:color="auto"/>
        </w:pBdr>
      </w:pPr>
    </w:p>
    <w:p>
      <w:pPr>
        <w:pStyle w:val="Heading2"/>
      </w:pPr>
      <w:r>
        <w:t>2. Exit Taxation on IP Transfers</w:t>
      </w:r>
    </w:p>
    <w:p>
      <w:r>
        <w:rPr>
          <w:b/>
        </w:rPr>
        <w:t>Exit taxes</w:t>
      </w:r>
      <w:r>
        <w:t xml:space="preserve"> are imposed by the </w:t>
      </w:r>
      <w:r>
        <w:rPr>
          <w:b/>
        </w:rPr>
        <w:t>transferor's jurisdiction</w:t>
      </w:r>
      <w:r>
        <w:t xml:space="preserve"> to capture deferred gains when valuable assets (including IP) leave the tax base.</w:t>
      </w:r>
    </w:p>
    <w:p>
      <w:pPr>
        <w:pStyle w:val="Heading3"/>
      </w:pPr>
      <w:r>
        <w:t>2.1 United States: US Internal Revenue Code Section 367(d)</w:t>
      </w:r>
    </w:p>
    <w:p>
      <w:pPr>
        <w:pStyle w:val="Heading4"/>
      </w:pPr>
      <w:r>
        <w:t>Overview</w:t>
      </w:r>
    </w:p>
    <w:p>
      <w:r>
        <w:rPr>
          <w:b/>
        </w:rPr>
        <w:t>US Internal Revenue Code Section 367(d)</w:t>
      </w:r>
      <w:r>
        <w:t xml:space="preserve"> governs outbound transfers of </w:t>
      </w:r>
      <w:r>
        <w:rPr>
          <w:b/>
        </w:rPr>
        <w:t>intangible property</w:t>
      </w:r>
      <w:r>
        <w:t xml:space="preserve"> from U.S. persons to foreign corporations. Unlike physical assets, </w:t>
      </w:r>
      <w:r>
        <w:rPr>
          <w:b/>
        </w:rPr>
        <w:t>IP is not eligible</w:t>
      </w:r>
      <w:r>
        <w:t xml:space="preserve"> for tax-free treatment under US Internal Revenue Code Section 351 (general non-recognition rule for contributions to corporations).</w:t>
      </w:r>
    </w:p>
    <w:p>
      <w:r>
        <w:rPr>
          <w:b/>
        </w:rPr>
        <w:t>US Internal Revenue Code Section 367(d)(2)(A)</w:t>
      </w:r>
      <w:r>
        <w:t xml:space="preserve"> provides:</w:t>
      </w:r>
    </w:p>
    <w:p>
      <w:r>
        <w:t>&gt; "If a U.S. person transfers any intangible property...to a foreign corporation in an exchange described in section 351..., such U.S. person shall be treated as—</w:t>
      </w:r>
    </w:p>
    <w:p>
      <w:r>
        <w:t>&gt;</w:t>
      </w:r>
    </w:p>
    <w:p>
      <w:r>
        <w:t>&gt; (i) having sold such property in exchange for payments which are contingent upon the productivity, use, or disposition of such property, and</w:t>
      </w:r>
    </w:p>
    <w:p>
      <w:r>
        <w:t>&gt;</w:t>
      </w:r>
    </w:p>
    <w:p>
      <w:r>
        <w:t>&gt; (ii) receiving amounts which reasonably reflect the amounts which would have been received...over the useful life of such property."</w:t>
      </w:r>
    </w:p>
    <w:p>
      <w:r>
        <w:rPr>
          <w:b/>
        </w:rPr>
        <w:t>Effect</w:t>
      </w:r>
      <w:r>
        <w:t xml:space="preserve">: The transferor must recognize </w:t>
      </w:r>
      <w:r>
        <w:rPr>
          <w:b/>
        </w:rPr>
        <w:t>annual deemed royalty income</w:t>
      </w:r>
      <w:r>
        <w:t xml:space="preserve"> equal to what an arm's length royalty would be, continuing for the </w:t>
      </w:r>
      <w:r>
        <w:rPr>
          <w:b/>
        </w:rPr>
        <w:t>life of the IP</w:t>
      </w:r>
      <w:r>
        <w:t xml:space="preserve"> (or until a triggering event).</w:t>
      </w:r>
    </w:p>
    <w:p>
      <w:pPr>
        <w:pStyle w:val="Heading4"/>
      </w:pPr>
      <w:r>
        <w:t>Covered Intangibles</w:t>
      </w:r>
    </w:p>
    <w:p>
      <w:r>
        <w:t xml:space="preserve">US Internal Revenue Code Section 367(d)(4) defines </w:t>
      </w:r>
      <w:r>
        <w:rPr>
          <w:b/>
        </w:rPr>
        <w:t>intangible property</w:t>
      </w:r>
      <w:r>
        <w:t xml:space="preserve"> broadly:</w:t>
      </w:r>
    </w:p>
    <w:p>
      <w:pPr>
        <w:pStyle w:val="ListBullet"/>
      </w:pPr>
      <w:r>
        <w:t>Patents, inventions, formulas, processes, designs, patterns</w:t>
      </w:r>
    </w:p>
    <w:p>
      <w:pPr>
        <w:pStyle w:val="ListBullet"/>
      </w:pPr>
      <w:r>
        <w:t>Know-how, copyrights, trademarks, trade names, brand names</w:t>
      </w:r>
    </w:p>
    <w:p>
      <w:pPr>
        <w:pStyle w:val="ListBullet"/>
      </w:pPr>
      <w:r>
        <w:t>Franchises, licenses, contracts</w:t>
      </w:r>
    </w:p>
    <w:p>
      <w:pPr>
        <w:pStyle w:val="ListBullet"/>
      </w:pPr>
      <w:r>
        <w:t>Methods, programs, systems, procedures, campaigns, surveys, studies, forecasts, estimates, customer lists, technical data</w:t>
      </w:r>
    </w:p>
    <w:p>
      <w:pPr>
        <w:pStyle w:val="ListBullet"/>
      </w:pPr>
      <w:r>
        <w:rPr>
          <w:b/>
        </w:rPr>
        <w:t>Goodwill, going concern value, workforce in place</w:t>
      </w:r>
    </w:p>
    <w:p>
      <w:r>
        <w:rPr>
          <w:b/>
        </w:rPr>
        <w:t>Virtually all IP</w:t>
      </w:r>
      <w:r>
        <w:t xml:space="preserve"> used in an oil and gas business is covered, including:</w:t>
      </w:r>
    </w:p>
    <w:p>
      <w:pPr>
        <w:pStyle w:val="ListBullet"/>
      </w:pPr>
      <w:r>
        <w:t>Drilling and completion technologies</w:t>
      </w:r>
    </w:p>
    <w:p>
      <w:pPr>
        <w:pStyle w:val="ListBullet"/>
      </w:pPr>
      <w:r>
        <w:t>Seismic processing algorithms</w:t>
      </w:r>
    </w:p>
    <w:p>
      <w:pPr>
        <w:pStyle w:val="ListBullet"/>
      </w:pPr>
      <w:r>
        <w:t>Enhanced oil recovery methods</w:t>
      </w:r>
    </w:p>
    <w:p>
      <w:pPr>
        <w:pStyle w:val="ListBullet"/>
      </w:pPr>
      <w:r>
        <w:t>Reservoir simulation models</w:t>
      </w:r>
    </w:p>
    <w:p>
      <w:pPr>
        <w:pStyle w:val="ListBullet"/>
      </w:pPr>
      <w:r>
        <w:t>Customer relationships and contracts</w:t>
      </w:r>
    </w:p>
    <w:p>
      <w:pPr>
        <w:pStyle w:val="Heading4"/>
      </w:pPr>
      <w:r>
        <w:t>Annual Inclusion Mechanism</w:t>
      </w:r>
    </w:p>
    <w:p>
      <w:r>
        <w:rPr>
          <w:b/>
        </w:rPr>
        <w:t>Calculation of Deemed Royalty</w:t>
      </w:r>
      <w:r>
        <w:t>:</w:t>
      </w:r>
    </w:p>
    <w:p>
      <w:pPr>
        <w:shd w:fill="F0F0F0"/>
        <w:spacing w:after="0" w:line="240" w:lineRule="auto"/>
      </w:pPr>
      <w:r>
        <w:rPr>
          <w:rFonts w:ascii="Courier New" w:hAnsi="Courier New"/>
          <w:sz w:val="20"/>
        </w:rPr>
        <w:t>Annual US Internal Revenue Code Section 367(d) inclusion = FMV of IP × Arm's length royalty rate</w:t>
      </w:r>
    </w:p>
    <w:p/>
    <w:p>
      <w:r>
        <w:t xml:space="preserve">The </w:t>
      </w:r>
      <w:r>
        <w:rPr>
          <w:b/>
        </w:rPr>
        <w:t>arm's length royalty rate</w:t>
      </w:r>
      <w:r>
        <w:t xml:space="preserve"> is determined using transfer pricing principles (CUP, profit split, etc.).</w:t>
      </w:r>
    </w:p>
    <w:p>
      <w:r>
        <w:rPr>
          <w:b/>
        </w:rPr>
        <w:t>Example</w:t>
      </w:r>
      <w:r>
        <w:t>:</w:t>
      </w:r>
    </w:p>
    <w:p>
      <w:pPr>
        <w:shd w:fill="F0F0F0"/>
        <w:spacing w:after="0" w:line="240" w:lineRule="auto"/>
      </w:pPr>
      <w:r>
        <w:rPr>
          <w:rFonts w:ascii="Courier New" w:hAnsi="Courier New"/>
          <w:sz w:val="20"/>
        </w:rPr>
        <w:t>U.S. parent transfers drilling technology (FMV = $100 million) to Cayman subsidiary</w:t>
      </w:r>
    </w:p>
    <w:p>
      <w:pPr>
        <w:shd w:fill="F0F0F0"/>
        <w:spacing w:after="0" w:line="240" w:lineRule="auto"/>
      </w:pPr>
      <w:r>
        <w:rPr>
          <w:rFonts w:ascii="Courier New" w:hAnsi="Courier New"/>
          <w:sz w:val="20"/>
        </w:rPr>
        <w:t>Arm's length royalty rate = 5%</w:t>
      </w:r>
    </w:p>
    <w:p>
      <w:pPr>
        <w:shd w:fill="F0F0F0"/>
        <w:spacing w:after="0" w:line="240" w:lineRule="auto"/>
      </w:pPr>
      <w:r>
        <w:rPr>
          <w:rFonts w:ascii="Courier New" w:hAnsi="Courier New"/>
          <w:sz w:val="20"/>
        </w:rPr>
        <w:t>Annual US Internal Revenue Code Section 367(d) inclusion = $100M × 5% = $5 million per year</w:t>
      </w:r>
    </w:p>
    <w:p>
      <w:pPr>
        <w:shd w:fill="F0F0F0"/>
        <w:spacing w:after="0" w:line="240" w:lineRule="auto"/>
      </w:pPr>
      <w:r>
        <w:rPr>
          <w:rFonts w:ascii="Courier New" w:hAnsi="Courier New"/>
          <w:sz w:val="20"/>
        </w:rPr>
        <w:t>Duration: Useful life of technology (assumed 10 years)</w:t>
      </w:r>
    </w:p>
    <w:p>
      <w:pPr>
        <w:shd w:fill="F0F0F0"/>
        <w:spacing w:after="0" w:line="240" w:lineRule="auto"/>
      </w:pPr>
      <w:r>
        <w:rPr>
          <w:rFonts w:ascii="Courier New" w:hAnsi="Courier New"/>
          <w:sz w:val="20"/>
        </w:rPr>
        <w:t>Total U.S. taxable income over 10 years = $50 million</w:t>
      </w:r>
    </w:p>
    <w:p/>
    <w:p>
      <w:pPr>
        <w:pStyle w:val="Heading4"/>
      </w:pPr>
      <w:r>
        <w:t>Election to Recognize Immediate Gain</w:t>
      </w:r>
    </w:p>
    <w:p>
      <w:r>
        <w:rPr>
          <w:b/>
        </w:rPr>
        <w:t>US Internal Revenue Code Section 367(d)(2)(A)(ii)(II)</w:t>
      </w:r>
      <w:r>
        <w:t xml:space="preserve"> allows the transferor to elect </w:t>
      </w:r>
      <w:r>
        <w:rPr>
          <w:b/>
        </w:rPr>
        <w:t>immediate gain recognition</w:t>
      </w:r>
      <w:r>
        <w:t xml:space="preserve"> instead of annual inclusions:</w:t>
      </w:r>
    </w:p>
    <w:p>
      <w:pPr>
        <w:shd w:fill="F0F0F0"/>
        <w:spacing w:after="0" w:line="240" w:lineRule="auto"/>
      </w:pPr>
      <w:r>
        <w:rPr>
          <w:rFonts w:ascii="Courier New" w:hAnsi="Courier New"/>
          <w:sz w:val="20"/>
        </w:rPr>
        <w:t>Immediate gain = FMV of IP - Adjusted basis</w:t>
      </w:r>
    </w:p>
    <w:p/>
    <w:p>
      <w:r>
        <w:rPr>
          <w:b/>
        </w:rPr>
        <w:t>When beneficial</w:t>
      </w:r>
      <w:r>
        <w:t>:</w:t>
      </w:r>
    </w:p>
    <w:p>
      <w:pPr>
        <w:pStyle w:val="ListBullet"/>
      </w:pPr>
      <w:r>
        <w:t xml:space="preserve">If IP has </w:t>
      </w:r>
      <w:r>
        <w:rPr>
          <w:b/>
        </w:rPr>
        <w:t>low tax basis</w:t>
      </w:r>
      <w:r>
        <w:t xml:space="preserve"> relative to FMV, the upfront tax may be manageable</w:t>
      </w:r>
    </w:p>
    <w:p>
      <w:pPr>
        <w:pStyle w:val="ListBullet"/>
      </w:pPr>
      <w:r>
        <w:rPr>
          <w:b/>
        </w:rPr>
        <w:t>Present value benefit</w:t>
      </w:r>
      <w:r>
        <w:t xml:space="preserve"> of paying tax now vs. over many years</w:t>
      </w:r>
    </w:p>
    <w:p>
      <w:pPr>
        <w:pStyle w:val="ListBullet"/>
      </w:pPr>
      <w:r>
        <w:t xml:space="preserve">Avoids </w:t>
      </w:r>
      <w:r>
        <w:rPr>
          <w:b/>
        </w:rPr>
        <w:t>compliance burden</w:t>
      </w:r>
      <w:r>
        <w:t xml:space="preserve"> of annual inclusions</w:t>
      </w:r>
    </w:p>
    <w:p>
      <w:r>
        <w:rPr>
          <w:b/>
        </w:rPr>
        <w:t>Example</w:t>
      </w:r>
      <w:r>
        <w:t>:</w:t>
      </w:r>
    </w:p>
    <w:p>
      <w:pPr>
        <w:shd w:fill="F0F0F0"/>
        <w:spacing w:after="0" w:line="240" w:lineRule="auto"/>
      </w:pPr>
      <w:r>
        <w:rPr>
          <w:rFonts w:ascii="Courier New" w:hAnsi="Courier New"/>
          <w:sz w:val="20"/>
        </w:rPr>
        <w:t>FMV of IP = $100 million</w:t>
      </w:r>
    </w:p>
    <w:p>
      <w:pPr>
        <w:shd w:fill="F0F0F0"/>
        <w:spacing w:after="0" w:line="240" w:lineRule="auto"/>
      </w:pPr>
      <w:r>
        <w:rPr>
          <w:rFonts w:ascii="Courier New" w:hAnsi="Courier New"/>
          <w:sz w:val="20"/>
        </w:rPr>
        <w:t>Adjusted basis = $80 million</w:t>
      </w:r>
    </w:p>
    <w:p>
      <w:pPr>
        <w:shd w:fill="F0F0F0"/>
        <w:spacing w:after="0" w:line="240" w:lineRule="auto"/>
      </w:pPr>
      <w:r>
        <w:rPr>
          <w:rFonts w:ascii="Courier New" w:hAnsi="Courier New"/>
          <w:sz w:val="20"/>
        </w:rPr>
        <w:t>Gain = $20 million</w:t>
      </w:r>
    </w:p>
    <w:p>
      <w:pPr>
        <w:shd w:fill="F0F0F0"/>
        <w:spacing w:after="0" w:line="240" w:lineRule="auto"/>
      </w:pPr>
      <w:r>
        <w:rPr>
          <w:rFonts w:ascii="Courier New" w:hAnsi="Courier New"/>
          <w:sz w:val="20"/>
        </w:rPr>
        <w:t>U.S. corporate tax at 21% = $4.2 million (paid immediately)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Alternative (annual inclusions over 10 years):</w:t>
      </w:r>
    </w:p>
    <w:p>
      <w:pPr>
        <w:shd w:fill="F0F0F0"/>
        <w:spacing w:after="0" w:line="240" w:lineRule="auto"/>
      </w:pPr>
      <w:r>
        <w:rPr>
          <w:rFonts w:ascii="Courier New" w:hAnsi="Courier New"/>
          <w:sz w:val="20"/>
        </w:rPr>
        <w:t>Total inclusions = $50 million</w:t>
      </w:r>
    </w:p>
    <w:p>
      <w:pPr>
        <w:shd w:fill="F0F0F0"/>
        <w:spacing w:after="0" w:line="240" w:lineRule="auto"/>
      </w:pPr>
      <w:r>
        <w:rPr>
          <w:rFonts w:ascii="Courier New" w:hAnsi="Courier New"/>
          <w:sz w:val="20"/>
        </w:rPr>
        <w:t>Total U.S. tax at 21% = $10.5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Election saves $6.3 million in present value terms</w:t>
      </w:r>
    </w:p>
    <w:p/>
    <w:p>
      <w:pPr>
        <w:pStyle w:val="Heading4"/>
      </w:pPr>
      <w:r>
        <w:t>2024 Final Regulations: IP Repatriation Relief</w:t>
      </w:r>
    </w:p>
    <w:p>
      <w:r>
        <w:rPr>
          <w:b/>
        </w:rPr>
        <w:t>T.D. 9994</w:t>
      </w:r>
      <w:r>
        <w:t xml:space="preserve"> (effective October 10, 2024) provides that </w:t>
      </w:r>
      <w:r>
        <w:rPr>
          <w:b/>
        </w:rPr>
        <w:t>US Internal Revenue Code Section 367(d) annual inclusions terminate</w:t>
      </w:r>
      <w:r>
        <w:t xml:space="preserve"> if:</w:t>
      </w:r>
    </w:p>
    <w:p>
      <w:pPr>
        <w:pStyle w:val="ListNumber"/>
      </w:pPr>
      <w:r>
        <w:t xml:space="preserve">The foreign corporation </w:t>
      </w:r>
      <w:r>
        <w:rPr>
          <w:b/>
        </w:rPr>
        <w:t>subsequently transfers</w:t>
      </w:r>
      <w:r>
        <w:t xml:space="preserve"> the IP to a U.S. person</w:t>
      </w:r>
    </w:p>
    <w:p>
      <w:pPr>
        <w:pStyle w:val="ListNumber"/>
      </w:pPr>
      <w:r>
        <w:t xml:space="preserve">The U.S. transferee is </w:t>
      </w:r>
      <w:r>
        <w:rPr>
          <w:b/>
        </w:rPr>
        <w:t>related</w:t>
      </w:r>
      <w:r>
        <w:t xml:space="preserve"> to the original transferor</w:t>
      </w:r>
    </w:p>
    <w:p>
      <w:pPr>
        <w:pStyle w:val="ListNumber"/>
      </w:pPr>
      <w:r>
        <w:t xml:space="preserve">The repatriation is </w:t>
      </w:r>
      <w:r>
        <w:rPr>
          <w:b/>
        </w:rPr>
        <w:t>properly reported</w:t>
      </w:r>
    </w:p>
    <w:p>
      <w:r>
        <w:rPr>
          <w:b/>
        </w:rPr>
        <w:t>Benefit</w:t>
      </w:r>
      <w:r>
        <w:t>: Eliminates ongoing US Internal Revenue Code Section 367(d) tax burden, making it easier for U.S. companies to bring IP back to the U.S. to benefit from:</w:t>
      </w:r>
    </w:p>
    <w:p>
      <w:pPr>
        <w:pStyle w:val="ListBullet"/>
      </w:pPr>
      <w:r>
        <w:rPr>
          <w:b/>
        </w:rPr>
        <w:t>FDII deduction</w:t>
      </w:r>
      <w:r>
        <w:t xml:space="preserve"> (13.125% effective rate on foreign-derived income)</w:t>
      </w:r>
    </w:p>
    <w:p>
      <w:pPr>
        <w:pStyle w:val="ListBullet"/>
      </w:pPr>
      <w:r>
        <w:rPr>
          <w:b/>
        </w:rPr>
        <w:t>Domestic R&amp;D tax credits</w:t>
      </w:r>
    </w:p>
    <w:p>
      <w:pPr>
        <w:pStyle w:val="ListBullet"/>
      </w:pPr>
      <w:r>
        <w:rPr>
          <w:b/>
        </w:rPr>
        <w:t>Simplified structure</w:t>
      </w:r>
    </w:p>
    <w:p>
      <w:pPr>
        <w:pStyle w:val="Heading3"/>
      </w:pPr>
      <w:r>
        <w:t>2.2 European Union: Exit Taxation Directive (ATAD Article 5)</w:t>
      </w:r>
    </w:p>
    <w:p>
      <w:r>
        <w:t xml:space="preserve">The </w:t>
      </w:r>
      <w:r>
        <w:rPr>
          <w:b/>
        </w:rPr>
        <w:t>EU Anti-Tax Avoidance Directive (ATAD) Article 5</w:t>
      </w:r>
      <w:r>
        <w:t xml:space="preserve"> requires member states to impose exit taxes when:</w:t>
      </w:r>
    </w:p>
    <w:p>
      <w:pPr>
        <w:pStyle w:val="ListBullet"/>
      </w:pPr>
      <w:r>
        <w:t>Assets are transferred from a taxable presence in one member state to another jurisdiction</w:t>
      </w:r>
    </w:p>
    <w:p>
      <w:pPr>
        <w:pStyle w:val="ListBullet"/>
      </w:pPr>
      <w:r>
        <w:t>A taxpayer ceases to be resident for tax purposes</w:t>
      </w:r>
    </w:p>
    <w:p>
      <w:pPr>
        <w:pStyle w:val="ListBullet"/>
      </w:pPr>
      <w:r>
        <w:t>A taxpayer transfers business activities carried on through a PE</w:t>
      </w:r>
    </w:p>
    <w:p>
      <w:r>
        <w:rPr>
          <w:b/>
        </w:rPr>
        <w:t>Calculation</w:t>
      </w:r>
      <w:r>
        <w:t>:</w:t>
      </w:r>
    </w:p>
    <w:p>
      <w:pPr>
        <w:shd w:fill="F0F0F0"/>
        <w:spacing w:after="0" w:line="240" w:lineRule="auto"/>
      </w:pPr>
      <w:r>
        <w:rPr>
          <w:rFonts w:ascii="Courier New" w:hAnsi="Courier New"/>
          <w:sz w:val="20"/>
        </w:rPr>
        <w:t>Exit tax = (Fair market value - Tax book value) × Corporate tax rate</w:t>
      </w:r>
    </w:p>
    <w:p/>
    <w:p>
      <w:r>
        <w:rPr>
          <w:b/>
        </w:rPr>
        <w:t>Payment Deferral</w:t>
      </w:r>
      <w:r>
        <w:t xml:space="preserve">: If the transfer is </w:t>
      </w:r>
      <w:r>
        <w:rPr>
          <w:b/>
        </w:rPr>
        <w:t>within the EU</w:t>
      </w:r>
      <w:r>
        <w:t xml:space="preserve">, the taxpayer may elect to defer payment (typically in installments over 5 years). </w:t>
      </w:r>
      <w:r>
        <w:rPr>
          <w:b/>
        </w:rPr>
        <w:t>Interest accrues</w:t>
      </w:r>
      <w:r>
        <w:t xml:space="preserve"> on deferred amounts.</w:t>
      </w:r>
    </w:p>
    <w:p>
      <w:r>
        <w:rPr>
          <w:b/>
        </w:rPr>
        <w:t>Exception - Temporary Transfers</w:t>
      </w:r>
      <w:r>
        <w:t xml:space="preserve">: No exit tax if the transfer is </w:t>
      </w:r>
      <w:r>
        <w:rPr>
          <w:b/>
        </w:rPr>
        <w:t>temporary</w:t>
      </w:r>
      <w:r>
        <w:t xml:space="preserve"> (i.e., IP will return to the original jurisdiction).</w:t>
      </w:r>
    </w:p>
    <w:p>
      <w:r>
        <w:rPr>
          <w:b/>
        </w:rPr>
        <w:t>Example</w:t>
      </w:r>
      <w:r>
        <w:t>:</w:t>
      </w:r>
    </w:p>
    <w:p>
      <w:pPr>
        <w:shd w:fill="F0F0F0"/>
        <w:spacing w:after="0" w:line="240" w:lineRule="auto"/>
      </w:pPr>
      <w:r>
        <w:rPr>
          <w:rFonts w:ascii="Courier New" w:hAnsi="Courier New"/>
          <w:sz w:val="20"/>
        </w:rPr>
        <w:t>UK company transfers IP (FMV £50M, tax basis £30M) to Netherlands subsidiary</w:t>
      </w:r>
    </w:p>
    <w:p>
      <w:pPr>
        <w:shd w:fill="F0F0F0"/>
        <w:spacing w:after="0" w:line="240" w:lineRule="auto"/>
      </w:pPr>
      <w:r>
        <w:rPr>
          <w:rFonts w:ascii="Courier New" w:hAnsi="Courier New"/>
          <w:sz w:val="20"/>
        </w:rPr>
        <w:t>Exit gain = £20M</w:t>
      </w:r>
    </w:p>
    <w:p>
      <w:pPr>
        <w:shd w:fill="F0F0F0"/>
        <w:spacing w:after="0" w:line="240" w:lineRule="auto"/>
      </w:pPr>
      <w:r>
        <w:rPr>
          <w:rFonts w:ascii="Courier New" w:hAnsi="Courier New"/>
          <w:sz w:val="20"/>
        </w:rPr>
        <w:t>UK corporate tax at 25% = £5M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transfer is within EU: Option to pay £1M/year over 5 years with interest</w:t>
      </w:r>
    </w:p>
    <w:p>
      <w:pPr>
        <w:shd w:fill="F0F0F0"/>
        <w:spacing w:after="0" w:line="240" w:lineRule="auto"/>
      </w:pPr>
      <w:r>
        <w:rPr>
          <w:rFonts w:ascii="Courier New" w:hAnsi="Courier New"/>
          <w:sz w:val="20"/>
        </w:rPr>
        <w:t>If transfer is to non-EU (e.g., Cayman): Immediate payment required</w:t>
      </w:r>
    </w:p>
    <w:p/>
    <w:p>
      <w:pPr>
        <w:pStyle w:val="Heading3"/>
      </w:pPr>
      <w:r>
        <w:t>2.3 Other Jurisdictions</w:t>
      </w:r>
    </w:p>
    <w:p>
      <w:pPr>
        <w:pStyle w:val="Heading4"/>
      </w:pPr>
      <w:r>
        <w:t>Canada: Section 212.3</w:t>
      </w:r>
    </w:p>
    <w:p>
      <w:r>
        <w:rPr>
          <w:b/>
        </w:rPr>
        <w:t>Section 212.3</w:t>
      </w:r>
      <w:r>
        <w:t xml:space="preserve"> deems certain cross-border transfers involving Canadian assets (including IP) to be </w:t>
      </w:r>
      <w:r>
        <w:rPr>
          <w:b/>
        </w:rPr>
        <w:t>taxable distributions</w:t>
      </w:r>
      <w:r>
        <w:t xml:space="preserve"> subject to </w:t>
      </w:r>
      <w:r>
        <w:rPr>
          <w:b/>
        </w:rPr>
        <w:t>Part XIII withholding tax (25%)</w:t>
      </w:r>
      <w:r>
        <w:t>.</w:t>
      </w:r>
    </w:p>
    <w:p>
      <w:pPr>
        <w:pStyle w:val="Heading4"/>
      </w:pPr>
      <w:r>
        <w:t>Australia: Division 855 Exit Tax</w:t>
      </w:r>
    </w:p>
    <w:p>
      <w:r>
        <w:rPr>
          <w:b/>
        </w:rPr>
        <w:t>Division 855</w:t>
      </w:r>
      <w:r>
        <w:t xml:space="preserve"> of the Income Tax Assessment Act imposes exit tax when:</w:t>
      </w:r>
    </w:p>
    <w:p>
      <w:pPr>
        <w:pStyle w:val="ListBullet"/>
      </w:pPr>
      <w:r>
        <w:t>IP acquired while a tax resident is transferred after ceasing residence</w:t>
      </w:r>
    </w:p>
    <w:p>
      <w:pPr>
        <w:pStyle w:val="ListBullet"/>
      </w:pPr>
      <w:r>
        <w:t xml:space="preserve">CGT (Capital Gains Tax) is triggered on the </w:t>
      </w:r>
      <w:r>
        <w:rPr>
          <w:b/>
        </w:rPr>
        <w:t>deemed disposal</w:t>
      </w:r>
      <w:r>
        <w:t xml:space="preserve"> at market value</w:t>
      </w:r>
    </w:p>
    <w:p>
      <w:pPr>
        <w:pStyle w:val="Heading4"/>
      </w:pPr>
      <w:r>
        <w:t>India: Section 9(1)(vi) - Royalty Deemed to Accrue in India</w:t>
      </w:r>
    </w:p>
    <w:p>
      <w:r>
        <w:t xml:space="preserve">If IP previously used in India is transferred abroad, India may assert </w:t>
      </w:r>
      <w:r>
        <w:rPr>
          <w:b/>
        </w:rPr>
        <w:t>taxing rights</w:t>
      </w:r>
      <w:r>
        <w:t xml:space="preserve"> on </w:t>
      </w:r>
      <w:r>
        <w:rPr>
          <w:b/>
        </w:rPr>
        <w:t>deemed royalties</w:t>
      </w:r>
      <w:r>
        <w:t>, even without a physical transfer payment.</w:t>
      </w:r>
    </w:p>
    <w:p>
      <w:pPr>
        <w:spacing w:before="120" w:after="120"/>
        <w:pBdr>
          <w:bottom w:val="single" w:sz="6" w:space="1" w:color="auto"/>
        </w:pBdr>
      </w:pPr>
    </w:p>
    <w:p>
      <w:pPr>
        <w:pStyle w:val="Heading2"/>
      </w:pPr>
      <w:r>
        <w:t>3. Transfer Pricing Valuation of IP Transfers</w:t>
      </w:r>
    </w:p>
    <w:p>
      <w:pPr>
        <w:pStyle w:val="Heading3"/>
      </w:pPr>
      <w:r>
        <w:t>3.1 OECD BEPS Actions 8-10: Aligning Outcomes with Value Creation</w:t>
      </w:r>
    </w:p>
    <w:p>
      <w:r>
        <w:rPr>
          <w:b/>
        </w:rPr>
        <w:t>Key Principle</w:t>
      </w:r>
      <w:r>
        <w:t xml:space="preserve">: Transfer pricing outcomes must align with </w:t>
      </w:r>
      <w:r>
        <w:rPr>
          <w:b/>
        </w:rPr>
        <w:t>value creation</w:t>
      </w:r>
      <w:r>
        <w:t xml:space="preserve">, assessed through analysis of </w:t>
      </w:r>
      <w:r>
        <w:rPr>
          <w:b/>
        </w:rPr>
        <w:t>DEMPE functions</w:t>
      </w:r>
      <w:r>
        <w:t>:</w:t>
      </w:r>
    </w:p>
    <w:p>
      <w:pPr>
        <w:pStyle w:val="ListBullet"/>
      </w:pPr>
      <w:r>
        <w:rPr>
          <w:b/>
        </w:rPr>
        <w:t>D</w:t>
      </w:r>
      <w:r>
        <w:t>evelopment: R&amp;D activities creating the IP</w:t>
      </w:r>
    </w:p>
    <w:p>
      <w:pPr>
        <w:pStyle w:val="ListBullet"/>
      </w:pPr>
      <w:r>
        <w:rPr>
          <w:b/>
        </w:rPr>
        <w:t>E</w:t>
      </w:r>
      <w:r>
        <w:t>nhancement: Improvements and upgrades to IP</w:t>
      </w:r>
    </w:p>
    <w:p>
      <w:pPr>
        <w:pStyle w:val="ListBullet"/>
      </w:pPr>
      <w:r>
        <w:rPr>
          <w:b/>
        </w:rPr>
        <w:t>M</w:t>
      </w:r>
      <w:r>
        <w:t>aintenance: Ongoing efforts to preserve IP value</w:t>
      </w:r>
    </w:p>
    <w:p>
      <w:pPr>
        <w:pStyle w:val="ListBullet"/>
      </w:pPr>
      <w:r>
        <w:rPr>
          <w:b/>
        </w:rPr>
        <w:t>P</w:t>
      </w:r>
      <w:r>
        <w:t>rotection: Legal activities (patent filings, trademark registrations, litigation)</w:t>
      </w:r>
    </w:p>
    <w:p>
      <w:pPr>
        <w:pStyle w:val="ListBullet"/>
      </w:pPr>
      <w:r>
        <w:rPr>
          <w:b/>
        </w:rPr>
        <w:t>E</w:t>
      </w:r>
      <w:r>
        <w:t>xploitation: Commercial use, licensing, marketing</w:t>
      </w:r>
    </w:p>
    <w:p>
      <w:r>
        <w:rPr>
          <w:b/>
        </w:rPr>
        <w:t>Impact on IP Transfers</w:t>
      </w:r>
      <w:r>
        <w:t>:</w:t>
      </w:r>
    </w:p>
    <w:p>
      <w:r>
        <w:t xml:space="preserve">If the </w:t>
      </w:r>
      <w:r>
        <w:rPr>
          <w:b/>
        </w:rPr>
        <w:t>legal owner</w:t>
      </w:r>
      <w:r>
        <w:t xml:space="preserve"> of IP does not perform significant DEMPE functions, tax authorities may:</w:t>
      </w:r>
    </w:p>
    <w:p>
      <w:pPr>
        <w:pStyle w:val="ListBullet"/>
      </w:pPr>
      <w:r>
        <w:t xml:space="preserve">Challenge the </w:t>
      </w:r>
      <w:r>
        <w:rPr>
          <w:b/>
        </w:rPr>
        <w:t>allocation of IP profits</w:t>
      </w:r>
      <w:r>
        <w:t xml:space="preserve"> to the legal owner</w:t>
      </w:r>
    </w:p>
    <w:p>
      <w:pPr>
        <w:pStyle w:val="ListBullet"/>
      </w:pPr>
      <w:r>
        <w:t>Recharacterize arrangements to allocate profits to entities performing DEMPE functions</w:t>
      </w:r>
    </w:p>
    <w:p>
      <w:pPr>
        <w:pStyle w:val="ListBullet"/>
      </w:pPr>
      <w:r>
        <w:t>Deny deductions for royalty payments</w:t>
      </w:r>
    </w:p>
    <w:p>
      <w:pPr>
        <w:pStyle w:val="Heading3"/>
      </w:pPr>
      <w:r>
        <w:t>3.2 Valuation Methods for IP Transfers</w:t>
      </w:r>
    </w:p>
    <w:p>
      <w:pPr>
        <w:pStyle w:val="Heading4"/>
      </w:pPr>
      <w:r>
        <w:t>Income Approach: Discounted Cash Flow (DCF)</w:t>
      </w:r>
    </w:p>
    <w:p>
      <w:r>
        <w:rPr>
          <w:b/>
        </w:rPr>
        <w:t>Most common method</w:t>
      </w:r>
      <w:r>
        <w:t xml:space="preserve"> for valuing IP in transfers. Projects </w:t>
      </w:r>
      <w:r>
        <w:rPr>
          <w:b/>
        </w:rPr>
        <w:t>future cash flows</w:t>
      </w:r>
      <w:r>
        <w:t xml:space="preserve"> attributable to the IP and discounts to present value.</w:t>
      </w:r>
    </w:p>
    <w:p>
      <w:r>
        <w:rPr>
          <w:b/>
        </w:rPr>
        <w:t>Steps</w:t>
      </w:r>
      <w:r>
        <w:t>:</w:t>
      </w:r>
    </w:p>
    <w:p>
      <w:pPr>
        <w:pStyle w:val="ListNumber"/>
      </w:pPr>
      <w:r>
        <w:rPr>
          <w:b/>
        </w:rPr>
        <w:t>Forecast incremental cash flows</w:t>
      </w:r>
      <w:r>
        <w:t xml:space="preserve"> from IP over its useful life</w:t>
      </w:r>
    </w:p>
    <w:p>
      <w:pPr>
        <w:pStyle w:val="ListNumber"/>
      </w:pPr>
      <w:r>
        <w:rPr>
          <w:b/>
        </w:rPr>
        <w:t>Determine discount rate</w:t>
      </w:r>
      <w:r>
        <w:t xml:space="preserve"> (WACC or risk-adjusted rate)</w:t>
      </w:r>
    </w:p>
    <w:p>
      <w:pPr>
        <w:pStyle w:val="ListNumber"/>
      </w:pPr>
      <w:r>
        <w:rPr>
          <w:b/>
        </w:rPr>
        <w:t>Calculate present value</w:t>
      </w:r>
    </w:p>
    <w:p>
      <w:r>
        <w:rPr>
          <w:b/>
        </w:rPr>
        <w:t>Formula</w:t>
      </w:r>
      <w:r>
        <w:t>:</w:t>
      </w:r>
    </w:p>
    <w:p>
      <w:pPr>
        <w:shd w:fill="F0F0F0"/>
        <w:spacing w:after="0" w:line="240" w:lineRule="auto"/>
      </w:pPr>
      <w:r>
        <w:rPr>
          <w:rFonts w:ascii="Courier New" w:hAnsi="Courier New"/>
          <w:sz w:val="20"/>
        </w:rPr>
        <w:t>IP Value = Σ [CFt / (1 + r)^t]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Where:</w:t>
      </w:r>
    </w:p>
    <w:p>
      <w:pPr>
        <w:shd w:fill="F0F0F0"/>
        <w:spacing w:after="0" w:line="240" w:lineRule="auto"/>
      </w:pPr>
      <w:r>
        <w:rPr>
          <w:rFonts w:ascii="Courier New" w:hAnsi="Courier New"/>
          <w:sz w:val="20"/>
        </w:rPr>
        <w:t>CFt = Cash flow in year t attributable to IP</w:t>
      </w:r>
    </w:p>
    <w:p>
      <w:pPr>
        <w:shd w:fill="F0F0F0"/>
        <w:spacing w:after="0" w:line="240" w:lineRule="auto"/>
      </w:pPr>
      <w:r>
        <w:rPr>
          <w:rFonts w:ascii="Courier New" w:hAnsi="Courier New"/>
          <w:sz w:val="20"/>
        </w:rPr>
        <w:t>r = Discount rate</w:t>
      </w:r>
    </w:p>
    <w:p>
      <w:pPr>
        <w:shd w:fill="F0F0F0"/>
        <w:spacing w:after="0" w:line="240" w:lineRule="auto"/>
      </w:pPr>
      <w:r>
        <w:rPr>
          <w:rFonts w:ascii="Courier New" w:hAnsi="Courier New"/>
          <w:sz w:val="20"/>
        </w:rPr>
        <w:t>t = Year (1 to n, where n = useful life)</w:t>
      </w:r>
    </w:p>
    <w:p/>
    <w:p>
      <w:r>
        <w:rPr>
          <w:b/>
        </w:rPr>
        <w:t>Cash Flow Components</w:t>
      </w:r>
      <w:r>
        <w:t>:</w:t>
      </w:r>
    </w:p>
    <w:p>
      <w:pPr>
        <w:shd w:fill="F0F0F0"/>
        <w:spacing w:after="0" w:line="240" w:lineRule="auto"/>
      </w:pPr>
      <w:r>
        <w:rPr>
          <w:rFonts w:ascii="Courier New" w:hAnsi="Courier New"/>
          <w:sz w:val="20"/>
        </w:rPr>
        <w:t>Revenue attributable to IP</w:t>
      </w:r>
    </w:p>
    <w:p>
      <w:pPr>
        <w:shd w:fill="F0F0F0"/>
        <w:spacing w:after="0" w:line="240" w:lineRule="auto"/>
      </w:pPr>
      <w:r>
        <w:rPr>
          <w:rFonts w:ascii="Courier New" w:hAnsi="Courier New"/>
          <w:sz w:val="20"/>
        </w:rPr>
        <w:t>Less: Operating costs</w:t>
      </w:r>
    </w:p>
    <w:p>
      <w:pPr>
        <w:shd w:fill="F0F0F0"/>
        <w:spacing w:after="0" w:line="240" w:lineRule="auto"/>
      </w:pPr>
      <w:r>
        <w:rPr>
          <w:rFonts w:ascii="Courier New" w:hAnsi="Courier New"/>
          <w:sz w:val="20"/>
        </w:rPr>
        <w:t>Less: Tax on operating income</w:t>
      </w:r>
    </w:p>
    <w:p>
      <w:pPr>
        <w:shd w:fill="F0F0F0"/>
        <w:spacing w:after="0" w:line="240" w:lineRule="auto"/>
      </w:pPr>
      <w:r>
        <w:rPr>
          <w:rFonts w:ascii="Courier New" w:hAnsi="Courier New"/>
          <w:sz w:val="20"/>
        </w:rPr>
        <w:t>= After-tax cash flow attributable to IP</w:t>
      </w:r>
    </w:p>
    <w:p/>
    <w:p>
      <w:r>
        <w:rPr>
          <w:b/>
        </w:rPr>
        <w:t>Example - Seismic Processing Software</w:t>
      </w:r>
      <w:r>
        <w:t>:</w:t>
      </w:r>
    </w:p>
    <w:p>
      <w:pPr>
        <w:shd w:fill="F0F0F0"/>
        <w:spacing w:after="0" w:line="240" w:lineRule="auto"/>
      </w:pPr>
      <w:r>
        <w:rPr>
          <w:rFonts w:ascii="Courier New" w:hAnsi="Courier New"/>
          <w:sz w:val="20"/>
        </w:rPr>
        <w:t>Year 1-5 annual revenue from software licenses: $10M</w:t>
      </w:r>
    </w:p>
    <w:p>
      <w:pPr>
        <w:shd w:fill="F0F0F0"/>
        <w:spacing w:after="0" w:line="240" w:lineRule="auto"/>
      </w:pPr>
      <w:r>
        <w:rPr>
          <w:rFonts w:ascii="Courier New" w:hAnsi="Courier New"/>
          <w:sz w:val="20"/>
        </w:rPr>
        <w:t>Operating costs (30% of revenue): $3M</w:t>
      </w:r>
    </w:p>
    <w:p>
      <w:pPr>
        <w:shd w:fill="F0F0F0"/>
        <w:spacing w:after="0" w:line="240" w:lineRule="auto"/>
      </w:pPr>
      <w:r>
        <w:rPr>
          <w:rFonts w:ascii="Courier New" w:hAnsi="Courier New"/>
          <w:sz w:val="20"/>
        </w:rPr>
        <w:t>Pre-tax cash flow: $7M</w:t>
      </w:r>
    </w:p>
    <w:p>
      <w:pPr>
        <w:shd w:fill="F0F0F0"/>
        <w:spacing w:after="0" w:line="240" w:lineRule="auto"/>
      </w:pPr>
      <w:r>
        <w:rPr>
          <w:rFonts w:ascii="Courier New" w:hAnsi="Courier New"/>
          <w:sz w:val="20"/>
        </w:rPr>
        <w:t>Tax at 25%: $1.75M</w:t>
      </w:r>
    </w:p>
    <w:p>
      <w:pPr>
        <w:shd w:fill="F0F0F0"/>
        <w:spacing w:after="0" w:line="240" w:lineRule="auto"/>
      </w:pPr>
      <w:r>
        <w:rPr>
          <w:rFonts w:ascii="Courier New" w:hAnsi="Courier New"/>
          <w:sz w:val="20"/>
        </w:rPr>
        <w:t>After-tax cash flow: $5.25M per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Discount rate: 12% (reflecting IP risk)</w:t>
      </w:r>
    </w:p>
    <w:p>
      <w:pPr>
        <w:shd w:fill="F0F0F0"/>
        <w:spacing w:after="0" w:line="240" w:lineRule="auto"/>
      </w:pPr>
      <w:r>
        <w:rPr>
          <w:rFonts w:ascii="Courier New" w:hAnsi="Courier New"/>
          <w:sz w:val="20"/>
        </w:rPr>
        <w:t>Present value of 5-year cash flows: $5.25M × 3.605 (PV annuity factor) = $18.9M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IP value = $18.9 million</w:t>
      </w:r>
    </w:p>
    <w:p/>
    <w:p>
      <w:pPr>
        <w:pStyle w:val="Heading4"/>
      </w:pPr>
      <w:r>
        <w:t>Market Approach: Comparable Transactions</w:t>
      </w:r>
    </w:p>
    <w:p>
      <w:r>
        <w:t xml:space="preserve">Identifies </w:t>
      </w:r>
      <w:r>
        <w:rPr>
          <w:b/>
        </w:rPr>
        <w:t>arm's length prices</w:t>
      </w:r>
      <w:r>
        <w:t xml:space="preserve"> from comparable IP sales or licenses.</w:t>
      </w:r>
    </w:p>
    <w:p>
      <w:r>
        <w:rPr>
          <w:b/>
        </w:rPr>
        <w:t>Challenges</w:t>
      </w:r>
      <w:r>
        <w:t>:</w:t>
      </w:r>
    </w:p>
    <w:p>
      <w:pPr>
        <w:pStyle w:val="ListBullet"/>
      </w:pPr>
      <w:r>
        <w:rPr>
          <w:b/>
        </w:rPr>
        <w:t>Limited comparables</w:t>
      </w:r>
      <w:r>
        <w:t>: IP in oil &amp; gas is often unique</w:t>
      </w:r>
    </w:p>
    <w:p>
      <w:pPr>
        <w:pStyle w:val="ListBullet"/>
      </w:pPr>
      <w:r>
        <w:rPr>
          <w:b/>
        </w:rPr>
        <w:t>Adjustments required</w:t>
      </w:r>
      <w:r>
        <w:t>: For differences in IP quality, exclusivity, geography</w:t>
      </w:r>
    </w:p>
    <w:p>
      <w:pPr>
        <w:pStyle w:val="ListBullet"/>
      </w:pPr>
      <w:r>
        <w:rPr>
          <w:b/>
        </w:rPr>
        <w:t>Confidentiality</w:t>
      </w:r>
      <w:r>
        <w:t>: Actual transaction terms are often not publicly disclosed</w:t>
      </w:r>
    </w:p>
    <w:p>
      <w:pPr>
        <w:pStyle w:val="Heading4"/>
      </w:pPr>
      <w:r>
        <w:t>Cost Approach: Replacement Cost</w:t>
      </w:r>
    </w:p>
    <w:p>
      <w:r>
        <w:t xml:space="preserve">Values IP based on the </w:t>
      </w:r>
      <w:r>
        <w:rPr>
          <w:b/>
        </w:rPr>
        <w:t>cost to recreate</w:t>
      </w:r>
      <w:r>
        <w:t xml:space="preserve"> equivalent IP.</w:t>
      </w:r>
    </w:p>
    <w:p>
      <w:r>
        <w:rPr>
          <w:b/>
        </w:rPr>
        <w:t>Formula</w:t>
      </w:r>
      <w:r>
        <w:t>:</w:t>
      </w:r>
    </w:p>
    <w:p>
      <w:pPr>
        <w:shd w:fill="F0F0F0"/>
        <w:spacing w:after="0" w:line="240" w:lineRule="auto"/>
      </w:pPr>
      <w:r>
        <w:rPr>
          <w:rFonts w:ascii="Courier New" w:hAnsi="Courier New"/>
          <w:sz w:val="20"/>
        </w:rPr>
        <w:t>IP Value = Historical development cost × Trending factor × Obsolescence factor</w:t>
      </w:r>
    </w:p>
    <w:p/>
    <w:p>
      <w:r>
        <w:rPr>
          <w:b/>
        </w:rPr>
        <w:t>Limitations</w:t>
      </w:r>
      <w:r>
        <w:t>:</w:t>
      </w:r>
    </w:p>
    <w:p>
      <w:pPr>
        <w:pStyle w:val="ListBullet"/>
      </w:pPr>
      <w:r>
        <w:rPr>
          <w:b/>
        </w:rPr>
        <w:t>Does not reflect economic value</w:t>
      </w:r>
      <w:r>
        <w:t>: A $10M development cost may create IP worth $100M or $1M</w:t>
      </w:r>
    </w:p>
    <w:p>
      <w:pPr>
        <w:pStyle w:val="ListBullet"/>
      </w:pPr>
      <w:r>
        <w:rPr>
          <w:b/>
        </w:rPr>
        <w:t>Rarely arm's length</w:t>
      </w:r>
      <w:r>
        <w:t>: Independent parties transact based on value, not cost</w:t>
      </w:r>
    </w:p>
    <w:p>
      <w:pPr>
        <w:pStyle w:val="ListBullet"/>
      </w:pPr>
      <w:r>
        <w:rPr>
          <w:b/>
        </w:rPr>
        <w:t>OECD disfavors</w:t>
      </w:r>
      <w:r>
        <w:t>: Cost approach alone is generally insufficient for transfer pricing</w:t>
      </w:r>
    </w:p>
    <w:p>
      <w:pPr>
        <w:pStyle w:val="Heading3"/>
      </w:pPr>
      <w:r>
        <w:t>3.3 Hard-to-Value Intangibles (HTVI)</w:t>
      </w:r>
    </w:p>
    <w:p>
      <w:r>
        <w:rPr>
          <w:b/>
        </w:rPr>
        <w:t>OECD BEPS Action 8-10</w:t>
      </w:r>
      <w:r>
        <w:t xml:space="preserve"> introduced special rules for </w:t>
      </w:r>
      <w:r>
        <w:rPr>
          <w:b/>
        </w:rPr>
        <w:t>Hard-to-Value Intangibles</w:t>
      </w:r>
      <w:r>
        <w:t>:</w:t>
      </w:r>
    </w:p>
    <w:p>
      <w:r>
        <w:rPr>
          <w:b/>
        </w:rPr>
        <w:t>Characteristics</w:t>
      </w:r>
      <w:r>
        <w:t>:</w:t>
      </w:r>
    </w:p>
    <w:p>
      <w:pPr>
        <w:pStyle w:val="ListNumber"/>
      </w:pPr>
      <w:r>
        <w:rPr>
          <w:b/>
        </w:rPr>
        <w:t>No reliable comparables</w:t>
      </w:r>
      <w:r>
        <w:t xml:space="preserve"> exist at the time of transfer</w:t>
      </w:r>
    </w:p>
    <w:p>
      <w:pPr>
        <w:pStyle w:val="ListNumber"/>
      </w:pPr>
      <w:r>
        <w:rPr>
          <w:b/>
        </w:rPr>
        <w:t>Highly uncertain</w:t>
      </w:r>
      <w:r>
        <w:t xml:space="preserve"> projections of future cash flows or income</w:t>
      </w:r>
    </w:p>
    <w:p>
      <w:pPr>
        <w:pStyle w:val="ListNumber"/>
      </w:pPr>
      <w:r>
        <w:t>Information asymmetry between taxpayer and tax authority</w:t>
      </w:r>
    </w:p>
    <w:p>
      <w:r>
        <w:rPr>
          <w:b/>
        </w:rPr>
        <w:t>Tax Authority Response</w:t>
      </w:r>
      <w:r>
        <w:t>:</w:t>
      </w:r>
    </w:p>
    <w:p>
      <w:pPr>
        <w:pStyle w:val="ListBullet"/>
      </w:pPr>
      <w:r>
        <w:rPr>
          <w:b/>
        </w:rPr>
        <w:t>Ex-post analysis</w:t>
      </w:r>
      <w:r>
        <w:t xml:space="preserve">: Tax authorities may use </w:t>
      </w:r>
      <w:r>
        <w:rPr>
          <w:b/>
        </w:rPr>
        <w:t>actual financial outcomes</w:t>
      </w:r>
      <w:r>
        <w:t xml:space="preserve"> (results achieved after the transfer) to assess whether the original transfer price was arm's length</w:t>
      </w:r>
    </w:p>
    <w:p>
      <w:pPr>
        <w:pStyle w:val="ListBullet"/>
      </w:pPr>
      <w:r>
        <w:rPr>
          <w:b/>
        </w:rPr>
        <w:t>Presumption of inaccuracy</w:t>
      </w:r>
      <w:r>
        <w:t xml:space="preserve">: If ex-post outcomes differ significantly from ex-ante projections, </w:t>
      </w:r>
      <w:r>
        <w:rPr>
          <w:b/>
        </w:rPr>
        <w:t>burden of proof</w:t>
      </w:r>
      <w:r>
        <w:t xml:space="preserve"> shifts to taxpayer</w:t>
      </w:r>
    </w:p>
    <w:p>
      <w:pPr>
        <w:pStyle w:val="ListBullet"/>
      </w:pPr>
      <w:r>
        <w:rPr>
          <w:b/>
        </w:rPr>
        <w:t>Five-year lookback</w:t>
      </w:r>
      <w:r>
        <w:t xml:space="preserve">: Tax authorities can challenge pricing within 5 years if actual results diverge from projections by more than </w:t>
      </w:r>
      <w:r>
        <w:rPr>
          <w:b/>
        </w:rPr>
        <w:t>20%</w:t>
      </w:r>
    </w:p>
    <w:p>
      <w:r>
        <w:rPr>
          <w:b/>
        </w:rPr>
        <w:t>Taxpayer Defenses</w:t>
      </w:r>
      <w:r>
        <w:t>:</w:t>
      </w:r>
    </w:p>
    <w:p>
      <w:pPr>
        <w:pStyle w:val="ListNumber"/>
      </w:pPr>
      <w:r>
        <w:rPr>
          <w:b/>
        </w:rPr>
        <w:t>Contemporaneous documentation</w:t>
      </w:r>
      <w:r>
        <w:t>: Demonstrate that ex-ante projections were reasonable based on information available at transfer date</w:t>
      </w:r>
    </w:p>
    <w:p>
      <w:pPr>
        <w:pStyle w:val="ListNumber"/>
      </w:pPr>
      <w:r>
        <w:rPr>
          <w:b/>
        </w:rPr>
        <w:t>Scenario analysis</w:t>
      </w:r>
      <w:r>
        <w:t>: Show that multiple scenarios were considered (base case, upside, downside)</w:t>
      </w:r>
    </w:p>
    <w:p>
      <w:pPr>
        <w:pStyle w:val="ListNumber"/>
      </w:pPr>
      <w:r>
        <w:rPr>
          <w:b/>
        </w:rPr>
        <w:t>Independent expert valuation</w:t>
      </w:r>
      <w:r>
        <w:t>: Obtain third-party appraisal supporting the transfer price</w:t>
      </w:r>
    </w:p>
    <w:p>
      <w:pPr>
        <w:pStyle w:val="ListNumber"/>
      </w:pPr>
      <w:r>
        <w:rPr>
          <w:b/>
        </w:rPr>
        <w:t>APA</w:t>
      </w:r>
      <w:r>
        <w:t>: Seek Advance Pricing Agreement to obtain certainty</w:t>
      </w:r>
    </w:p>
    <w:p>
      <w:r>
        <w:rPr>
          <w:b/>
        </w:rPr>
        <w:t>Example</w:t>
      </w:r>
      <w:r>
        <w:t>:</w:t>
      </w:r>
    </w:p>
    <w:p>
      <w:pPr>
        <w:shd w:fill="F0F0F0"/>
        <w:spacing w:after="0" w:line="240" w:lineRule="auto"/>
      </w:pPr>
      <w:r>
        <w:rPr>
          <w:rFonts w:ascii="Courier New" w:hAnsi="Courier New"/>
          <w:sz w:val="20"/>
        </w:rPr>
        <w:t>U.S. parent transfers experimental EOR technology to Bermuda subsidiary for $50M (based on DCF projecting $15M annual cash flows)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Actual results (years 1-5): Technology generates $40M annual cash flows (167% higher than projected)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 authority challenge: "The $50M transfer price was too low. Actual value was at least $150M."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Taxpayer defense: "Projections were reasonable given uncertainties at transfer date. Technology was unproven, and significant technical risks existed. Our scenario analysis included downside cases with $0-$10M cash flows."</w:t>
      </w:r>
    </w:p>
    <w:p/>
    <w:p>
      <w:pPr>
        <w:spacing w:before="120" w:after="120"/>
        <w:pBdr>
          <w:bottom w:val="single" w:sz="6" w:space="1" w:color="auto"/>
        </w:pBdr>
      </w:pPr>
    </w:p>
    <w:p>
      <w:pPr>
        <w:pStyle w:val="Heading2"/>
      </w:pPr>
      <w:r>
        <w:t>4. Structuring Considerations for IP Transfers</w:t>
      </w:r>
    </w:p>
    <w:p>
      <w:pPr>
        <w:pStyle w:val="Heading3"/>
      </w:pPr>
      <w:r>
        <w:t>4.1 Contribution vs. Sale</w:t>
      </w:r>
    </w:p>
    <w:p>
      <w:pPr>
        <w:pStyle w:val="Heading4"/>
      </w:pPr>
      <w:r>
        <w:t>Capital Contribution (US Internal Revenue Code Section 351 in U.S.)</w:t>
      </w:r>
    </w:p>
    <w:p>
      <w:r>
        <w:rPr>
          <w:b/>
        </w:rPr>
        <w:t>Structure</w:t>
      </w:r>
      <w:r>
        <w:t>: U.S. parent contributes IP to foreign subsidiary in exchange for stock.</w:t>
      </w:r>
    </w:p>
    <w:p>
      <w:r>
        <w:rPr>
          <w:b/>
        </w:rPr>
        <w:t>Tax Treatment</w:t>
      </w:r>
      <w:r>
        <w:t>:</w:t>
      </w:r>
    </w:p>
    <w:p>
      <w:pPr>
        <w:pStyle w:val="ListBullet"/>
      </w:pPr>
      <w:r>
        <w:rPr>
          <w:b/>
        </w:rPr>
        <w:t>General rule</w:t>
      </w:r>
      <w:r>
        <w:t>: Tax-free under US Internal Revenue Code Section 351 (for tangible assets)</w:t>
      </w:r>
    </w:p>
    <w:p>
      <w:pPr>
        <w:pStyle w:val="ListBullet"/>
      </w:pPr>
      <w:r>
        <w:rPr>
          <w:b/>
        </w:rPr>
        <w:t>Exception</w:t>
      </w:r>
      <w:r>
        <w:t>: US Internal Revenue Code Section 367(d) overrides non-recognition for IP transfers</w:t>
      </w:r>
    </w:p>
    <w:p>
      <w:r>
        <w:rPr>
          <w:b/>
        </w:rPr>
        <w:t>Advantages</w:t>
      </w:r>
      <w:r>
        <w:t>:</w:t>
      </w:r>
    </w:p>
    <w:p>
      <w:pPr>
        <w:pStyle w:val="ListBullet"/>
      </w:pPr>
      <w:r>
        <w:rPr>
          <w:b/>
        </w:rPr>
        <w:t>No cash required</w:t>
      </w:r>
      <w:r>
        <w:t xml:space="preserve"> (IP contributed for equity)</w:t>
      </w:r>
    </w:p>
    <w:p>
      <w:pPr>
        <w:pStyle w:val="ListBullet"/>
      </w:pPr>
      <w:r>
        <w:rPr>
          <w:b/>
        </w:rPr>
        <w:t>Flexible</w:t>
      </w:r>
      <w:r>
        <w:t>: Can structure as part of broader reorganization</w:t>
      </w:r>
    </w:p>
    <w:p>
      <w:r>
        <w:rPr>
          <w:b/>
        </w:rPr>
        <w:t>Disadvantages</w:t>
      </w:r>
      <w:r>
        <w:t>:</w:t>
      </w:r>
    </w:p>
    <w:p>
      <w:pPr>
        <w:pStyle w:val="ListBullet"/>
      </w:pPr>
      <w:r>
        <w:t>US Internal Revenue Code Section 367(d) annual inclusions still apply (unless immediate gain election made)</w:t>
      </w:r>
    </w:p>
    <w:p>
      <w:pPr>
        <w:pStyle w:val="Heading4"/>
      </w:pPr>
      <w:r>
        <w:t>Sale for Cash or Notes</w:t>
      </w:r>
    </w:p>
    <w:p>
      <w:r>
        <w:rPr>
          <w:b/>
        </w:rPr>
        <w:t>Structure</w:t>
      </w:r>
      <w:r>
        <w:t>: Foreign subsidiary purchases IP for cash or promissory notes.</w:t>
      </w:r>
    </w:p>
    <w:p>
      <w:r>
        <w:rPr>
          <w:b/>
        </w:rPr>
        <w:t>Tax Treatment</w:t>
      </w:r>
      <w:r>
        <w:t>:</w:t>
      </w:r>
    </w:p>
    <w:p>
      <w:pPr>
        <w:pStyle w:val="ListBullet"/>
      </w:pPr>
      <w:r>
        <w:rPr>
          <w:b/>
        </w:rPr>
        <w:t>Immediate gain recognition</w:t>
      </w:r>
      <w:r>
        <w:t xml:space="preserve"> on sale</w:t>
      </w:r>
    </w:p>
    <w:p>
      <w:pPr>
        <w:pStyle w:val="ListBullet"/>
      </w:pPr>
      <w:r>
        <w:rPr>
          <w:b/>
        </w:rPr>
        <w:t>Capital gain</w:t>
      </w:r>
      <w:r>
        <w:t xml:space="preserve"> (if IP held for more than 1 year)</w:t>
      </w:r>
    </w:p>
    <w:p>
      <w:pPr>
        <w:pStyle w:val="ListBullet"/>
      </w:pPr>
      <w:r>
        <w:rPr>
          <w:b/>
        </w:rPr>
        <w:t>Ordinary income</w:t>
      </w:r>
      <w:r>
        <w:t xml:space="preserve"> (if IP is self-created or depreciable under US Internal Revenue Code Section 1231)</w:t>
      </w:r>
    </w:p>
    <w:p>
      <w:r>
        <w:rPr>
          <w:b/>
        </w:rPr>
        <w:t>Advantages</w:t>
      </w:r>
      <w:r>
        <w:t>:</w:t>
      </w:r>
    </w:p>
    <w:p>
      <w:pPr>
        <w:pStyle w:val="ListBullet"/>
      </w:pPr>
      <w:r>
        <w:rPr>
          <w:b/>
        </w:rPr>
        <w:t>Single tax event</w:t>
      </w:r>
      <w:r>
        <w:t xml:space="preserve"> (vs. annual US Internal Revenue Code Section 367(d) inclusions)</w:t>
      </w:r>
    </w:p>
    <w:p>
      <w:pPr>
        <w:pStyle w:val="ListBullet"/>
      </w:pPr>
      <w:r>
        <w:t>Cash repatriated to U.S. (if sale for cash)</w:t>
      </w:r>
    </w:p>
    <w:p>
      <w:r>
        <w:rPr>
          <w:b/>
        </w:rPr>
        <w:t>Disadvantages</w:t>
      </w:r>
      <w:r>
        <w:t>:</w:t>
      </w:r>
    </w:p>
    <w:p>
      <w:pPr>
        <w:pStyle w:val="ListBullet"/>
      </w:pPr>
      <w:r>
        <w:rPr>
          <w:b/>
        </w:rPr>
        <w:t>Upfront tax cost</w:t>
      </w:r>
      <w:r>
        <w:t xml:space="preserve"> (may be substantial if low tax basis)</w:t>
      </w:r>
    </w:p>
    <w:p>
      <w:pPr>
        <w:pStyle w:val="ListBullet"/>
      </w:pPr>
      <w:r>
        <w:rPr>
          <w:b/>
        </w:rPr>
        <w:t>Foreign subsidiary requires financing</w:t>
      </w:r>
      <w:r>
        <w:t xml:space="preserve"> (cash or debt)</w:t>
      </w:r>
    </w:p>
    <w:p>
      <w:pPr>
        <w:pStyle w:val="Heading3"/>
      </w:pPr>
      <w:r>
        <w:t>4.2 License vs. Transfer of Ownership</w:t>
      </w:r>
    </w:p>
    <w:p>
      <w:pPr>
        <w:pStyle w:val="Heading4"/>
      </w:pPr>
      <w:r>
        <w:t>Outright Transfer of Ownership</w:t>
      </w:r>
    </w:p>
    <w:p>
      <w:r>
        <w:rPr>
          <w:b/>
        </w:rPr>
        <w:t>Characteristics</w:t>
      </w:r>
      <w:r>
        <w:t>:</w:t>
      </w:r>
    </w:p>
    <w:p>
      <w:pPr>
        <w:pStyle w:val="ListBullet"/>
      </w:pPr>
      <w:r>
        <w:rPr>
          <w:b/>
        </w:rPr>
        <w:t>Full legal title</w:t>
      </w:r>
      <w:r>
        <w:t xml:space="preserve"> passes to transferee</w:t>
      </w:r>
    </w:p>
    <w:p>
      <w:pPr>
        <w:pStyle w:val="ListBullet"/>
      </w:pPr>
      <w:r>
        <w:t xml:space="preserve">Transferee assumes all </w:t>
      </w:r>
      <w:r>
        <w:rPr>
          <w:b/>
        </w:rPr>
        <w:t>economic risks and rewards</w:t>
      </w:r>
    </w:p>
    <w:p>
      <w:pPr>
        <w:pStyle w:val="ListBullet"/>
      </w:pPr>
      <w:r>
        <w:t xml:space="preserve">Transferor has </w:t>
      </w:r>
      <w:r>
        <w:rPr>
          <w:b/>
        </w:rPr>
        <w:t>no ongoing rights</w:t>
      </w:r>
    </w:p>
    <w:p>
      <w:r>
        <w:rPr>
          <w:b/>
        </w:rPr>
        <w:t>Tax Implications</w:t>
      </w:r>
      <w:r>
        <w:t>:</w:t>
      </w:r>
    </w:p>
    <w:p>
      <w:pPr>
        <w:pStyle w:val="ListBullet"/>
      </w:pPr>
      <w:r>
        <w:rPr>
          <w:b/>
        </w:rPr>
        <w:t>Exit tax</w:t>
      </w:r>
      <w:r>
        <w:t xml:space="preserve"> applies (US Internal Revenue Code Section 367(d) or local exit tax regime)</w:t>
      </w:r>
    </w:p>
    <w:p>
      <w:pPr>
        <w:pStyle w:val="ListBullet"/>
      </w:pPr>
      <w:r>
        <w:t>Transfer pricing valuation required (lump-sum price)</w:t>
      </w:r>
    </w:p>
    <w:p>
      <w:pPr>
        <w:pStyle w:val="Heading4"/>
      </w:pPr>
      <w:r>
        <w:t>License with Ongoing Royalties</w:t>
      </w:r>
    </w:p>
    <w:p>
      <w:r>
        <w:rPr>
          <w:b/>
        </w:rPr>
        <w:t>Characteristics</w:t>
      </w:r>
      <w:r>
        <w:t>:</w:t>
      </w:r>
    </w:p>
    <w:p>
      <w:pPr>
        <w:pStyle w:val="ListBullet"/>
      </w:pPr>
      <w:r>
        <w:rPr>
          <w:b/>
        </w:rPr>
        <w:t>Legal ownership</w:t>
      </w:r>
      <w:r>
        <w:t xml:space="preserve"> remains with transferor</w:t>
      </w:r>
    </w:p>
    <w:p>
      <w:pPr>
        <w:pStyle w:val="ListBullet"/>
      </w:pPr>
      <w:r>
        <w:t xml:space="preserve">Transferee obtains </w:t>
      </w:r>
      <w:r>
        <w:rPr>
          <w:b/>
        </w:rPr>
        <w:t>right to use</w:t>
      </w:r>
      <w:r>
        <w:t xml:space="preserve"> IP for specified purposes, duration, geography</w:t>
      </w:r>
    </w:p>
    <w:p>
      <w:pPr>
        <w:pStyle w:val="ListBullet"/>
      </w:pPr>
      <w:r>
        <w:t xml:space="preserve">Transferor receives </w:t>
      </w:r>
      <w:r>
        <w:rPr>
          <w:b/>
        </w:rPr>
        <w:t>ongoing royalty payments</w:t>
      </w:r>
    </w:p>
    <w:p>
      <w:r>
        <w:rPr>
          <w:b/>
        </w:rPr>
        <w:t>Tax Implications</w:t>
      </w:r>
      <w:r>
        <w:t>:</w:t>
      </w:r>
    </w:p>
    <w:p>
      <w:pPr>
        <w:pStyle w:val="ListBullet"/>
      </w:pPr>
      <w:r>
        <w:rPr>
          <w:b/>
        </w:rPr>
        <w:t>No exit tax</w:t>
      </w:r>
      <w:r>
        <w:t xml:space="preserve"> (ownership not transferred)</w:t>
      </w:r>
    </w:p>
    <w:p>
      <w:pPr>
        <w:pStyle w:val="ListBullet"/>
      </w:pPr>
      <w:r>
        <w:rPr>
          <w:b/>
        </w:rPr>
        <w:t>Royalty income</w:t>
      </w:r>
      <w:r>
        <w:t xml:space="preserve"> taxed annually</w:t>
      </w:r>
    </w:p>
    <w:p>
      <w:pPr>
        <w:pStyle w:val="ListBullet"/>
      </w:pPr>
      <w:r>
        <w:rPr>
          <w:b/>
        </w:rPr>
        <w:t>Withholding tax</w:t>
      </w:r>
      <w:r>
        <w:t xml:space="preserve"> on cross-border royalty payments</w:t>
      </w:r>
    </w:p>
    <w:p>
      <w:pPr>
        <w:pStyle w:val="ListBullet"/>
      </w:pPr>
      <w:r>
        <w:t>Transfer pricing: Royalty rate must be arm's length</w:t>
      </w:r>
    </w:p>
    <w:p>
      <w:r>
        <w:rPr>
          <w:b/>
        </w:rPr>
        <w:t>Comparison</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Factor</w:t>
            </w:r>
          </w:p>
        </w:tc>
        <w:tc>
          <w:tcPr>
            <w:tcW w:type="dxa" w:w="2880"/>
          </w:tcPr>
          <w:p>
            <w:r>
              <w:rPr>
                <w:b/>
              </w:rPr>
            </w:r>
            <w:r>
              <w:rPr>
                <w:b/>
              </w:rPr>
              <w:t>Outright Transfer</w:t>
            </w:r>
          </w:p>
        </w:tc>
        <w:tc>
          <w:tcPr>
            <w:tcW w:type="dxa" w:w="2880"/>
          </w:tcPr>
          <w:p>
            <w:r>
              <w:rPr>
                <w:b/>
              </w:rPr>
            </w:r>
            <w:r>
              <w:rPr>
                <w:b/>
              </w:rPr>
              <w:t>License</w:t>
            </w:r>
          </w:p>
        </w:tc>
      </w:tr>
      <w:tr>
        <w:tc>
          <w:tcPr>
            <w:tcW w:type="dxa" w:w="2880"/>
          </w:tcPr>
          <w:p>
            <w:r/>
            <w:r>
              <w:rPr>
                <w:b/>
              </w:rPr>
              <w:t>Exit tax</w:t>
            </w:r>
          </w:p>
        </w:tc>
        <w:tc>
          <w:tcPr>
            <w:tcW w:type="dxa" w:w="2880"/>
          </w:tcPr>
          <w:p>
            <w:r/>
            <w:r>
              <w:t>Yes (immediate or deferred)</w:t>
            </w:r>
          </w:p>
        </w:tc>
        <w:tc>
          <w:tcPr>
            <w:tcW w:type="dxa" w:w="2880"/>
          </w:tcPr>
          <w:p>
            <w:r/>
            <w:r>
              <w:t>No</w:t>
            </w:r>
          </w:p>
        </w:tc>
      </w:tr>
      <w:tr>
        <w:tc>
          <w:tcPr>
            <w:tcW w:type="dxa" w:w="2880"/>
          </w:tcPr>
          <w:p>
            <w:r/>
            <w:r>
              <w:rPr>
                <w:b/>
              </w:rPr>
              <w:t>Ongoing income</w:t>
            </w:r>
          </w:p>
        </w:tc>
        <w:tc>
          <w:tcPr>
            <w:tcW w:type="dxa" w:w="2880"/>
          </w:tcPr>
          <w:p>
            <w:r/>
            <w:r>
              <w:t>No (unless seller financing)</w:t>
            </w:r>
          </w:p>
        </w:tc>
        <w:tc>
          <w:tcPr>
            <w:tcW w:type="dxa" w:w="2880"/>
          </w:tcPr>
          <w:p>
            <w:r/>
            <w:r>
              <w:t>Yes (royalties)</w:t>
            </w:r>
          </w:p>
        </w:tc>
      </w:tr>
      <w:tr>
        <w:tc>
          <w:tcPr>
            <w:tcW w:type="dxa" w:w="2880"/>
          </w:tcPr>
          <w:p>
            <w:r/>
            <w:r>
              <w:rPr>
                <w:b/>
              </w:rPr>
              <w:t>WHT</w:t>
            </w:r>
          </w:p>
        </w:tc>
        <w:tc>
          <w:tcPr>
            <w:tcW w:type="dxa" w:w="2880"/>
          </w:tcPr>
          <w:p>
            <w:r/>
            <w:r>
              <w:t>Typically no</w:t>
            </w:r>
          </w:p>
        </w:tc>
        <w:tc>
          <w:tcPr>
            <w:tcW w:type="dxa" w:w="2880"/>
          </w:tcPr>
          <w:p>
            <w:r/>
            <w:r>
              <w:t>Yes (on royalties)</w:t>
            </w:r>
          </w:p>
        </w:tc>
      </w:tr>
      <w:tr>
        <w:tc>
          <w:tcPr>
            <w:tcW w:type="dxa" w:w="2880"/>
          </w:tcPr>
          <w:p>
            <w:r/>
            <w:r>
              <w:rPr>
                <w:b/>
              </w:rPr>
              <w:t>Control</w:t>
            </w:r>
          </w:p>
        </w:tc>
        <w:tc>
          <w:tcPr>
            <w:tcW w:type="dxa" w:w="2880"/>
          </w:tcPr>
          <w:p>
            <w:r/>
            <w:r>
              <w:t>Transferee controls IP</w:t>
            </w:r>
          </w:p>
        </w:tc>
        <w:tc>
          <w:tcPr>
            <w:tcW w:type="dxa" w:w="2880"/>
          </w:tcPr>
          <w:p>
            <w:r/>
            <w:r>
              <w:t>Licensor retains control</w:t>
            </w:r>
          </w:p>
        </w:tc>
      </w:tr>
      <w:tr>
        <w:tc>
          <w:tcPr>
            <w:tcW w:type="dxa" w:w="2880"/>
          </w:tcPr>
          <w:p>
            <w:r/>
            <w:r>
              <w:rPr>
                <w:b/>
              </w:rPr>
              <w:t>Flexibility</w:t>
            </w:r>
          </w:p>
        </w:tc>
        <w:tc>
          <w:tcPr>
            <w:tcW w:type="dxa" w:w="2880"/>
          </w:tcPr>
          <w:p>
            <w:r/>
            <w:r>
              <w:t>Permanent</w:t>
            </w:r>
          </w:p>
        </w:tc>
        <w:tc>
          <w:tcPr>
            <w:tcW w:type="dxa" w:w="2880"/>
          </w:tcPr>
          <w:p>
            <w:r/>
            <w:r>
              <w:t>Can terminate or renegotiate</w:t>
            </w:r>
          </w:p>
        </w:tc>
      </w:tr>
    </w:tbl>
    <w:p/>
    <w:p>
      <w:pPr>
        <w:pStyle w:val="Heading3"/>
      </w:pPr>
      <w:r>
        <w:t>4.3 Cost-Sharing Arrangements (CSAs)</w:t>
      </w:r>
    </w:p>
    <w:p>
      <w:r>
        <w:rPr>
          <w:b/>
        </w:rPr>
        <w:t>Cost-Sharing Arrangement (CSA)</w:t>
      </w:r>
      <w:r>
        <w:t xml:space="preserve"> is an agreement among related parties to </w:t>
      </w:r>
      <w:r>
        <w:rPr>
          <w:b/>
        </w:rPr>
        <w:t>share costs and risks</w:t>
      </w:r>
      <w:r>
        <w:t xml:space="preserve"> of IP development in exchange for </w:t>
      </w:r>
      <w:r>
        <w:rPr>
          <w:b/>
        </w:rPr>
        <w:t>interests in the resulting IP</w:t>
      </w:r>
      <w:r>
        <w:t>.</w:t>
      </w:r>
    </w:p>
    <w:p>
      <w:pPr>
        <w:pStyle w:val="Heading4"/>
      </w:pPr>
      <w:r>
        <w:t>Structure</w:t>
      </w:r>
    </w:p>
    <w:p>
      <w:pPr>
        <w:pStyle w:val="ListBullet"/>
      </w:pPr>
      <w:r>
        <w:rPr>
          <w:b/>
        </w:rPr>
        <w:t>Participants</w:t>
      </w:r>
      <w:r>
        <w:t>: Related entities (e.g., U.S. parent and foreign subsidiaries)</w:t>
      </w:r>
    </w:p>
    <w:p>
      <w:pPr>
        <w:pStyle w:val="ListBullet"/>
      </w:pPr>
      <w:r>
        <w:rPr>
          <w:b/>
        </w:rPr>
        <w:t>Cost contributions</w:t>
      </w:r>
      <w:r>
        <w:t>: Each participant contributes proportionately to development costs</w:t>
      </w:r>
    </w:p>
    <w:p>
      <w:pPr>
        <w:pStyle w:val="ListBullet"/>
      </w:pPr>
      <w:r>
        <w:rPr>
          <w:b/>
        </w:rPr>
        <w:t>IP interests</w:t>
      </w:r>
      <w:r>
        <w:t>: Each participant receives an undivided interest in developed IP (proportional to contributions)</w:t>
      </w:r>
    </w:p>
    <w:p>
      <w:pPr>
        <w:pStyle w:val="ListBullet"/>
      </w:pPr>
      <w:r>
        <w:rPr>
          <w:b/>
        </w:rPr>
        <w:t>Royalty-free use</w:t>
      </w:r>
      <w:r>
        <w:t>: Participants use IP without paying royalties (since they co-own it)</w:t>
      </w:r>
    </w:p>
    <w:p>
      <w:pPr>
        <w:pStyle w:val="Heading4"/>
      </w:pPr>
      <w:r>
        <w:t>Regulatory Framework: Treasury Regulation § 1.482-7</w:t>
      </w:r>
    </w:p>
    <w:p>
      <w:r>
        <w:rPr>
          <w:b/>
        </w:rPr>
        <w:t>Requirements</w:t>
      </w:r>
      <w:r>
        <w:t>:</w:t>
      </w:r>
    </w:p>
    <w:p>
      <w:pPr>
        <w:pStyle w:val="ListNumber"/>
      </w:pPr>
      <w:r>
        <w:rPr>
          <w:b/>
        </w:rPr>
        <w:t>Arm's length cost sharing</w:t>
      </w:r>
      <w:r>
        <w:t xml:space="preserve">: Each participant's share of costs must reflect its share of </w:t>
      </w:r>
      <w:r>
        <w:rPr>
          <w:b/>
        </w:rPr>
        <w:t>reasonably anticipated benefits (RAB)</w:t>
      </w:r>
    </w:p>
    <w:p>
      <w:pPr>
        <w:pStyle w:val="ListNumber"/>
      </w:pPr>
      <w:r>
        <w:rPr>
          <w:b/>
        </w:rPr>
        <w:t>Platform contribution transaction (PCT)</w:t>
      </w:r>
      <w:r>
        <w:t xml:space="preserve">: If one participant contributes </w:t>
      </w:r>
      <w:r>
        <w:rPr>
          <w:b/>
        </w:rPr>
        <w:t>pre-existing IP</w:t>
      </w:r>
      <w:r>
        <w:t>, it must be compensated (via buy-in payment)</w:t>
      </w:r>
    </w:p>
    <w:p>
      <w:pPr>
        <w:pStyle w:val="ListNumber"/>
      </w:pPr>
      <w:r>
        <w:rPr>
          <w:b/>
        </w:rPr>
        <w:t>Periodic adjustments</w:t>
      </w:r>
      <w:r>
        <w:t>: If actual benefits diverge significantly from RAB, adjustments may be required</w:t>
      </w:r>
    </w:p>
    <w:p>
      <w:r>
        <w:rPr>
          <w:b/>
        </w:rPr>
        <w:t>RAB Factors</w:t>
      </w:r>
      <w:r>
        <w:t>:</w:t>
      </w:r>
    </w:p>
    <w:p>
      <w:pPr>
        <w:pStyle w:val="ListBullet"/>
      </w:pPr>
      <w:r>
        <w:t>Projected sales in each participant's territory</w:t>
      </w:r>
    </w:p>
    <w:p>
      <w:pPr>
        <w:pStyle w:val="ListBullet"/>
      </w:pPr>
      <w:r>
        <w:t>Market size and growth</w:t>
      </w:r>
    </w:p>
    <w:p>
      <w:pPr>
        <w:pStyle w:val="ListBullet"/>
      </w:pPr>
      <w:r>
        <w:t>Operating profit margins</w:t>
      </w:r>
    </w:p>
    <w:p>
      <w:pPr>
        <w:pStyle w:val="ListBullet"/>
      </w:pPr>
      <w:r>
        <w:t>Capital investment required</w:t>
      </w:r>
    </w:p>
    <w:p>
      <w:pPr>
        <w:pStyle w:val="Heading4"/>
      </w:pPr>
      <w:r>
        <w:t>Advantages</w:t>
      </w:r>
    </w:p>
    <w:p>
      <w:pPr>
        <w:pStyle w:val="ListBullet"/>
      </w:pPr>
      <w:r>
        <w:rPr>
          <w:b/>
        </w:rPr>
        <w:t>Avoids US Internal Revenue Code Section 367(d)</w:t>
      </w:r>
      <w:r>
        <w:t>: Since IP is co-developed (not transferred), exit tax does not apply</w:t>
      </w:r>
    </w:p>
    <w:p>
      <w:pPr>
        <w:pStyle w:val="ListBullet"/>
      </w:pPr>
      <w:r>
        <w:rPr>
          <w:b/>
        </w:rPr>
        <w:t>No royalties</w:t>
      </w:r>
      <w:r>
        <w:t>: Participants use IP royalty-free, eliminating WHT</w:t>
      </w:r>
    </w:p>
    <w:p>
      <w:pPr>
        <w:pStyle w:val="ListBullet"/>
      </w:pPr>
      <w:r>
        <w:rPr>
          <w:b/>
        </w:rPr>
        <w:t>Aligned with DEMPE</w:t>
      </w:r>
      <w:r>
        <w:t>: If structured properly, reflects value creation</w:t>
      </w:r>
    </w:p>
    <w:p>
      <w:pPr>
        <w:pStyle w:val="Heading4"/>
      </w:pPr>
      <w:r>
        <w:t>Disadvantages</w:t>
      </w:r>
    </w:p>
    <w:p>
      <w:pPr>
        <w:pStyle w:val="ListBullet"/>
      </w:pPr>
      <w:r>
        <w:rPr>
          <w:b/>
        </w:rPr>
        <w:t>Complex compliance</w:t>
      </w:r>
      <w:r>
        <w:t>: Extensive documentation and annual reporting required</w:t>
      </w:r>
    </w:p>
    <w:p>
      <w:pPr>
        <w:pStyle w:val="ListBullet"/>
      </w:pPr>
      <w:r>
        <w:rPr>
          <w:b/>
        </w:rPr>
        <w:t>Risk of adjustment</w:t>
      </w:r>
      <w:r>
        <w:t>: Tax authorities may challenge RAB calculations or PCT valuations</w:t>
      </w:r>
    </w:p>
    <w:p>
      <w:pPr>
        <w:pStyle w:val="ListBullet"/>
      </w:pPr>
      <w:r>
        <w:rPr>
          <w:b/>
        </w:rPr>
        <w:t>Periodic true-ups</w:t>
      </w:r>
      <w:r>
        <w:t>: Requires ongoing monitoring and potential adjustments</w:t>
      </w:r>
    </w:p>
    <w:p>
      <w:pPr>
        <w:spacing w:before="120" w:after="120"/>
        <w:pBdr>
          <w:bottom w:val="single" w:sz="6" w:space="1" w:color="auto"/>
        </w:pBdr>
      </w:pPr>
    </w:p>
    <w:p>
      <w:pPr>
        <w:pStyle w:val="Heading2"/>
      </w:pPr>
      <w:r>
        <w:t>5. Anti-Avoidance Provisions</w:t>
      </w:r>
    </w:p>
    <w:p>
      <w:pPr>
        <w:pStyle w:val="Heading3"/>
      </w:pPr>
      <w:r>
        <w:t>5.1 Controlled Foreign Corporation (CFC) Rules</w:t>
      </w:r>
    </w:p>
    <w:p>
      <w:r>
        <w:t xml:space="preserve">When IP is transferred to a </w:t>
      </w:r>
      <w:r>
        <w:rPr>
          <w:b/>
        </w:rPr>
        <w:t>low-taxed foreign subsidiary</w:t>
      </w:r>
      <w:r>
        <w:t xml:space="preserve">, CFC rules may cause the parent company to be </w:t>
      </w:r>
      <w:r>
        <w:rPr>
          <w:b/>
        </w:rPr>
        <w:t>immediately taxed</w:t>
      </w:r>
      <w:r>
        <w:t xml:space="preserve"> on the subsidiary's income.</w:t>
      </w:r>
    </w:p>
    <w:p>
      <w:pPr>
        <w:pStyle w:val="Heading4"/>
      </w:pPr>
      <w:r>
        <w:t>U.S. GILTI (Global Intangible Low-Taxed Income)</w:t>
      </w:r>
    </w:p>
    <w:p>
      <w:r>
        <w:rPr>
          <w:b/>
        </w:rPr>
        <w:t>US Internal Revenue Code Section 951A</w:t>
      </w:r>
      <w:r>
        <w:t xml:space="preserve"> taxes U.S. shareholders on a CFC's </w:t>
      </w:r>
      <w:r>
        <w:rPr>
          <w:b/>
        </w:rPr>
        <w:t>GILTI</w:t>
      </w:r>
      <w:r>
        <w:t>, defined as:</w:t>
      </w:r>
    </w:p>
    <w:p>
      <w:pPr>
        <w:shd w:fill="F0F0F0"/>
        <w:spacing w:after="0" w:line="240" w:lineRule="auto"/>
      </w:pPr>
      <w:r>
        <w:rPr>
          <w:rFonts w:ascii="Courier New" w:hAnsi="Courier New"/>
          <w:sz w:val="20"/>
        </w:rPr>
        <w:t>GILTI = CFC net income - (10% × Qualified Business Asset Investment (QBAI))</w:t>
      </w:r>
    </w:p>
    <w:p/>
    <w:p>
      <w:r>
        <w:rPr>
          <w:b/>
        </w:rPr>
        <w:t>Effect on IP Transfers</w:t>
      </w:r>
      <w:r>
        <w:t>:</w:t>
      </w:r>
    </w:p>
    <w:p>
      <w:r>
        <w:t>If IP is transferred to a foreign subsidiary with minimal tangible assets:</w:t>
      </w:r>
    </w:p>
    <w:p>
      <w:pPr>
        <w:pStyle w:val="ListBullet"/>
      </w:pPr>
      <w:r>
        <w:rPr>
          <w:b/>
        </w:rPr>
        <w:t>QBAI is low</w:t>
      </w:r>
      <w:r>
        <w:t xml:space="preserve"> (IP is intangible, not included in QBAI)</w:t>
      </w:r>
    </w:p>
    <w:p>
      <w:pPr>
        <w:pStyle w:val="ListBullet"/>
      </w:pPr>
      <w:r>
        <w:rPr>
          <w:b/>
        </w:rPr>
        <w:t>GILTI inclusion is high</w:t>
      </w:r>
    </w:p>
    <w:p>
      <w:pPr>
        <w:pStyle w:val="ListBullet"/>
      </w:pPr>
      <w:r>
        <w:rPr>
          <w:b/>
        </w:rPr>
        <w:t>Effective U.S. tax rate</w:t>
      </w:r>
      <w:r>
        <w:t xml:space="preserve">: Approximately </w:t>
      </w:r>
      <w:r>
        <w:rPr>
          <w:b/>
        </w:rPr>
        <w:t>10.5%-13.125%</w:t>
      </w:r>
      <w:r>
        <w:t xml:space="preserve"> (after foreign tax credits and US Internal Revenue Code Section 250 deduction)</w:t>
      </w:r>
    </w:p>
    <w:p>
      <w:r>
        <w:rPr>
          <w:b/>
        </w:rPr>
        <w:t>Planning Consideration</w:t>
      </w:r>
      <w:r>
        <w:t xml:space="preserve">: Transferring IP offshore may </w:t>
      </w:r>
      <w:r>
        <w:rPr>
          <w:b/>
        </w:rPr>
        <w:t>not reduce</w:t>
      </w:r>
      <w:r>
        <w:t xml:space="preserve"> overall tax burden if GILTI inclusion results in substantial U.S. tax.</w:t>
      </w:r>
    </w:p>
    <w:p>
      <w:pPr>
        <w:pStyle w:val="Heading3"/>
      </w:pPr>
      <w:r>
        <w:t>5.2 Transfer Pricing Penalties</w:t>
      </w:r>
    </w:p>
    <w:p>
      <w:r>
        <w:rPr>
          <w:b/>
        </w:rPr>
        <w:t>Penalties apply</w:t>
      </w:r>
      <w:r>
        <w:t xml:space="preserve"> if transfer prices deviate significantly from arm's length: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Jurisdiction</w:t>
            </w:r>
          </w:p>
        </w:tc>
        <w:tc>
          <w:tcPr>
            <w:tcW w:type="dxa" w:w="2880"/>
          </w:tcPr>
          <w:p>
            <w:r>
              <w:rPr>
                <w:b/>
              </w:rPr>
            </w:r>
            <w:r>
              <w:rPr>
                <w:b/>
              </w:rPr>
              <w:t>Penalty Threshold</w:t>
            </w:r>
          </w:p>
        </w:tc>
        <w:tc>
          <w:tcPr>
            <w:tcW w:type="dxa" w:w="2880"/>
          </w:tcPr>
          <w:p>
            <w:r>
              <w:rPr>
                <w:b/>
              </w:rPr>
            </w:r>
            <w:r>
              <w:rPr>
                <w:b/>
              </w:rPr>
              <w:t>Penalty Rate</w:t>
            </w:r>
          </w:p>
        </w:tc>
      </w:tr>
      <w:tr>
        <w:tc>
          <w:tcPr>
            <w:tcW w:type="dxa" w:w="2880"/>
          </w:tcPr>
          <w:p>
            <w:r/>
            <w:r>
              <w:rPr>
                <w:b/>
              </w:rPr>
              <w:t>United States</w:t>
            </w:r>
          </w:p>
        </w:tc>
        <w:tc>
          <w:tcPr>
            <w:tcW w:type="dxa" w:w="2880"/>
          </w:tcPr>
          <w:p>
            <w:r/>
            <w:r>
              <w:t>Substantial valuation misstatement (200% of correct value)</w:t>
            </w:r>
          </w:p>
        </w:tc>
        <w:tc>
          <w:tcPr>
            <w:tcW w:type="dxa" w:w="2880"/>
          </w:tcPr>
          <w:p>
            <w:r/>
            <w:r>
              <w:t>20-40% of underpayment</w:t>
            </w:r>
          </w:p>
        </w:tc>
      </w:tr>
      <w:tr>
        <w:tc>
          <w:tcPr>
            <w:tcW w:type="dxa" w:w="2880"/>
          </w:tcPr>
          <w:p>
            <w:r/>
            <w:r>
              <w:rPr>
                <w:b/>
              </w:rPr>
              <w:t>United Kingdom</w:t>
            </w:r>
          </w:p>
        </w:tc>
        <w:tc>
          <w:tcPr>
            <w:tcW w:type="dxa" w:w="2880"/>
          </w:tcPr>
          <w:p>
            <w:r/>
            <w:r>
              <w:t>Careless error / Deliberate error</w:t>
            </w:r>
          </w:p>
        </w:tc>
        <w:tc>
          <w:tcPr>
            <w:tcW w:type="dxa" w:w="2880"/>
          </w:tcPr>
          <w:p>
            <w:r/>
            <w:r>
              <w:t>15-30% / 70-100%</w:t>
            </w:r>
          </w:p>
        </w:tc>
      </w:tr>
      <w:tr>
        <w:tc>
          <w:tcPr>
            <w:tcW w:type="dxa" w:w="2880"/>
          </w:tcPr>
          <w:p>
            <w:r/>
            <w:r>
              <w:rPr>
                <w:b/>
              </w:rPr>
              <w:t>Germany</w:t>
            </w:r>
          </w:p>
        </w:tc>
        <w:tc>
          <w:tcPr>
            <w:tcW w:type="dxa" w:w="2880"/>
          </w:tcPr>
          <w:p>
            <w:r/>
            <w:r>
              <w:t>Price differs by more than 10% from arm's length</w:t>
            </w:r>
          </w:p>
        </w:tc>
        <w:tc>
          <w:tcPr>
            <w:tcW w:type="dxa" w:w="2880"/>
          </w:tcPr>
          <w:p>
            <w:r/>
            <w:r>
              <w:t>5-10% of adjustment</w:t>
            </w:r>
          </w:p>
        </w:tc>
      </w:tr>
    </w:tbl>
    <w:p/>
    <w:p>
      <w:r>
        <w:rPr>
          <w:b/>
        </w:rPr>
        <w:t>Documentation Defense</w:t>
      </w:r>
      <w:r>
        <w:t>:</w:t>
      </w:r>
    </w:p>
    <w:p>
      <w:pPr>
        <w:pStyle w:val="ListBullet"/>
      </w:pPr>
      <w:r>
        <w:t xml:space="preserve">Maintaining </w:t>
      </w:r>
      <w:r>
        <w:rPr>
          <w:b/>
        </w:rPr>
        <w:t>contemporaneous documentation</w:t>
      </w:r>
      <w:r>
        <w:t xml:space="preserve"> reduces or eliminates penalties in most jurisdictions</w:t>
      </w:r>
    </w:p>
    <w:p>
      <w:pPr>
        <w:pStyle w:val="ListBullet"/>
      </w:pPr>
      <w:r>
        <w:rPr>
          <w:b/>
        </w:rPr>
        <w:t>Reasonable cause</w:t>
      </w:r>
      <w:r>
        <w:t xml:space="preserve"> defense: If taxpayer made good faith effort to comply, penalties may be waived</w:t>
      </w:r>
    </w:p>
    <w:p>
      <w:pPr>
        <w:spacing w:before="120" w:after="120"/>
        <w:pBdr>
          <w:bottom w:val="single" w:sz="6" w:space="1" w:color="auto"/>
        </w:pBdr>
      </w:pPr>
    </w:p>
    <w:p>
      <w:pPr>
        <w:pStyle w:val="Heading2"/>
      </w:pPr>
      <w:r>
        <w:t>WORKED EXAMPLE 1: Outbound IP Transfer with Section 367(d) Election</w:t>
      </w:r>
    </w:p>
    <w:p>
      <w:pPr>
        <w:pStyle w:val="Heading3"/>
      </w:pPr>
      <w:r>
        <w:t>Facts</w:t>
      </w:r>
    </w:p>
    <w:p>
      <w:r>
        <w:rPr>
          <w:b/>
        </w:rPr>
        <w:t>PetroTech Inc.</w:t>
      </w:r>
      <w:r>
        <w:t xml:space="preserve">, a U.S.-based oil and gas technology company, has developed a proprietary </w:t>
      </w:r>
      <w:r>
        <w:rPr>
          <w:b/>
        </w:rPr>
        <w:t>subsea production control system (SPCS)</w:t>
      </w:r>
      <w:r>
        <w:t xml:space="preserve"> that allows real-time monitoring and adjustment of subsea wells from onshore control rooms. The technology reduces offshore personnel requirements by </w:t>
      </w:r>
      <w:r>
        <w:rPr>
          <w:b/>
        </w:rPr>
        <w:t>60%</w:t>
      </w:r>
      <w:r>
        <w:t xml:space="preserve"> and improves production uptime by </w:t>
      </w:r>
      <w:r>
        <w:rPr>
          <w:b/>
        </w:rPr>
        <w:t>15%</w:t>
      </w:r>
      <w:r>
        <w:t>.</w:t>
      </w:r>
    </w:p>
    <w:p>
      <w:r>
        <w:t xml:space="preserve">PetroTech Inc. is considering transferring SPCS to a newly formed </w:t>
      </w:r>
      <w:r>
        <w:rPr>
          <w:b/>
        </w:rPr>
        <w:t>Netherlands subsidiary</w:t>
      </w:r>
      <w:r>
        <w:t xml:space="preserve">, </w:t>
      </w:r>
      <w:r>
        <w:rPr>
          <w:b/>
        </w:rPr>
        <w:t>PetroTech IP B.V.</w:t>
      </w:r>
      <w:r>
        <w:t xml:space="preserve">, to benefit from the Netherlands </w:t>
      </w:r>
      <w:r>
        <w:rPr>
          <w:b/>
        </w:rPr>
        <w:t>Innovation Box regime (9% tax rate)</w:t>
      </w:r>
      <w:r>
        <w:t xml:space="preserve"> on qualifying IP income.</w:t>
      </w:r>
    </w:p>
    <w:p>
      <w:r>
        <w:rPr>
          <w:b/>
        </w:rPr>
        <w:t>IP Valuation</w:t>
      </w:r>
      <w:r>
        <w:t>:</w:t>
      </w:r>
    </w:p>
    <w:p>
      <w:pPr>
        <w:pStyle w:val="ListBullet"/>
      </w:pPr>
      <w:r>
        <w:rPr>
          <w:b/>
        </w:rPr>
        <w:t>Fair market value of SPCS</w:t>
      </w:r>
      <w:r>
        <w:t>: $120 million (based on DCF analysis)</w:t>
      </w:r>
    </w:p>
    <w:p>
      <w:pPr>
        <w:pStyle w:val="ListBullet"/>
      </w:pPr>
      <w:r>
        <w:rPr>
          <w:b/>
        </w:rPr>
        <w:t>Adjusted tax basis</w:t>
      </w:r>
      <w:r>
        <w:t>: $90 million (capitalized development costs not yet amortized)</w:t>
      </w:r>
    </w:p>
    <w:p>
      <w:pPr>
        <w:pStyle w:val="ListBullet"/>
      </w:pPr>
      <w:r>
        <w:rPr>
          <w:b/>
        </w:rPr>
        <w:t>Useful life</w:t>
      </w:r>
      <w:r>
        <w:t>: 15 years</w:t>
      </w:r>
    </w:p>
    <w:p>
      <w:pPr>
        <w:pStyle w:val="ListBullet"/>
      </w:pPr>
      <w:r>
        <w:rPr>
          <w:b/>
        </w:rPr>
        <w:t>Arm's length royalty rate</w:t>
      </w:r>
      <w:r>
        <w:t>: 7% of IP attributable revenue (determined by CUP analysis)</w:t>
      </w:r>
    </w:p>
    <w:p>
      <w:r>
        <w:rPr>
          <w:b/>
        </w:rPr>
        <w:t>Projected Royalty Income</w:t>
      </w:r>
      <w:r>
        <w:t xml:space="preserve"> (if licensed to third parties):</w:t>
      </w:r>
    </w:p>
    <w:p>
      <w:pPr>
        <w:pStyle w:val="ListBullet"/>
      </w:pPr>
      <w:r>
        <w:t>Years 1-5: $12 million per year</w:t>
      </w:r>
    </w:p>
    <w:p>
      <w:pPr>
        <w:pStyle w:val="ListBullet"/>
      </w:pPr>
      <w:r>
        <w:t>Years 6-10: $15 million per year</w:t>
      </w:r>
    </w:p>
    <w:p>
      <w:pPr>
        <w:pStyle w:val="ListBullet"/>
      </w:pPr>
      <w:r>
        <w:t>Years 11-15: $10 million per year</w:t>
      </w:r>
    </w:p>
    <w:p>
      <w:r>
        <w:rPr>
          <w:b/>
        </w:rPr>
        <w:t>Transfer Structure</w:t>
      </w:r>
      <w:r>
        <w:t>:</w:t>
      </w:r>
    </w:p>
    <w:p>
      <w:r>
        <w:t>PetroTech Inc. will contribute SPCS to PetroTech IP B.V. in exchange for 100% of the subsidiary's stock (capital contribution under US Internal Revenue Code Section 351).</w:t>
      </w:r>
    </w:p>
    <w:p>
      <w:r>
        <w:rPr>
          <w:b/>
        </w:rPr>
        <w:t>Tax Rates</w:t>
      </w:r>
      <w:r>
        <w:t>:</w:t>
      </w:r>
    </w:p>
    <w:p>
      <w:pPr>
        <w:pStyle w:val="ListBullet"/>
      </w:pPr>
      <w:r>
        <w:t xml:space="preserve">U.S. corporate tax rate: </w:t>
      </w:r>
      <w:r>
        <w:rPr>
          <w:b/>
        </w:rPr>
        <w:t>21%</w:t>
      </w:r>
    </w:p>
    <w:p>
      <w:pPr>
        <w:pStyle w:val="ListBullet"/>
      </w:pPr>
      <w:r>
        <w:t xml:space="preserve">Netherlands Innovation Box rate: </w:t>
      </w:r>
      <w:r>
        <w:rPr>
          <w:b/>
        </w:rPr>
        <w:t>9%</w:t>
      </w:r>
    </w:p>
    <w:p>
      <w:pPr>
        <w:pStyle w:val="ListBullet"/>
      </w:pPr>
      <w:r>
        <w:t xml:space="preserve">Netherlands-to-U.S. dividend WHT: </w:t>
      </w:r>
      <w:r>
        <w:rPr>
          <w:b/>
        </w:rPr>
        <w:t>0%</w:t>
      </w:r>
      <w:r>
        <w:t xml:space="preserve"> (treaty exemption)</w:t>
      </w:r>
    </w:p>
    <w:p>
      <w:pPr>
        <w:pStyle w:val="Heading3"/>
      </w:pPr>
      <w:r>
        <w:t>Required</w:t>
      </w:r>
    </w:p>
    <w:p>
      <w:pPr>
        <w:pStyle w:val="ListNumber"/>
      </w:pPr>
      <w:r>
        <w:t xml:space="preserve">Calculate the </w:t>
      </w:r>
      <w:r>
        <w:rPr>
          <w:b/>
        </w:rPr>
        <w:t>US Internal Revenue Code Section 367(d) annual inclusions</w:t>
      </w:r>
      <w:r>
        <w:t xml:space="preserve"> if PetroTech does not make the immediate recognition election</w:t>
      </w:r>
    </w:p>
    <w:p>
      <w:pPr>
        <w:pStyle w:val="ListNumber"/>
      </w:pPr>
      <w:r>
        <w:t xml:space="preserve">Calculate the </w:t>
      </w:r>
      <w:r>
        <w:rPr>
          <w:b/>
        </w:rPr>
        <w:t>immediate U.S. tax cost</w:t>
      </w:r>
      <w:r>
        <w:t xml:space="preserve"> if PetroTech elects to recognize gain upfront</w:t>
      </w:r>
    </w:p>
    <w:p>
      <w:pPr>
        <w:pStyle w:val="ListNumber"/>
      </w:pPr>
      <w:r>
        <w:t xml:space="preserve">Perform </w:t>
      </w:r>
      <w:r>
        <w:rPr>
          <w:b/>
        </w:rPr>
        <w:t>present value analysis</w:t>
      </w:r>
      <w:r>
        <w:t xml:space="preserve"> to determine which option is preferable (assume 8% discount rate)</w:t>
      </w:r>
    </w:p>
    <w:p>
      <w:pPr>
        <w:pStyle w:val="ListNumber"/>
      </w:pPr>
      <w:r>
        <w:t xml:space="preserve">Analyze whether the Netherlands structure achieves the intended tax savings considering </w:t>
      </w:r>
      <w:r>
        <w:rPr>
          <w:b/>
        </w:rPr>
        <w:t>GILTI</w:t>
      </w:r>
    </w:p>
    <w:p>
      <w:pPr>
        <w:pStyle w:val="Heading3"/>
      </w:pPr>
      <w:r>
        <w:t>Analysis</w:t>
      </w:r>
    </w:p>
    <w:p>
      <w:r>
        <w:rPr>
          <w:b/>
        </w:rPr>
        <w:t>Step 1: US Internal Revenue Code Section 367(d) Annual Inclusions (No Election)</w:t>
      </w:r>
    </w:p>
    <w:p>
      <w:r>
        <w:t xml:space="preserve">Under US Internal Revenue Code Section 367(d), PetroTech must recognize annual </w:t>
      </w:r>
      <w:r>
        <w:rPr>
          <w:b/>
        </w:rPr>
        <w:t>deemed royalty income</w:t>
      </w:r>
      <w:r>
        <w:t xml:space="preserve"> equal to the arm's length amount.</w:t>
      </w:r>
    </w:p>
    <w:p>
      <w:r>
        <w:rPr>
          <w:b/>
        </w:rPr>
        <w:t>Calculation</w:t>
      </w:r>
      <w:r>
        <w:t>:</w:t>
      </w:r>
    </w:p>
    <w:p>
      <w:r>
        <w:t xml:space="preserve">The arm's length royalty is </w:t>
      </w:r>
      <w:r>
        <w:rPr>
          <w:b/>
        </w:rPr>
        <w:t>7% of IP-attributable revenue</w:t>
      </w:r>
      <w:r>
        <w:t xml:space="preserve">. However, for US Internal Revenue Code Section 367(d) purposes, the </w:t>
      </w:r>
      <w:r>
        <w:rPr>
          <w:b/>
        </w:rPr>
        <w:t>deemed royalty</w:t>
      </w:r>
      <w:r>
        <w:t xml:space="preserve"> is often calculated as a percentage of FMV or using the arm's length royalty rate applied to the foreign subsidiary's revenues.</w:t>
      </w:r>
    </w:p>
    <w:p>
      <w:r>
        <w:rPr>
          <w:b/>
        </w:rPr>
        <w:t>Simplified Approach</w:t>
      </w:r>
      <w:r>
        <w:t xml:space="preserve"> (using projected royalty income as proxy):</w:t>
      </w:r>
    </w:p>
    <w:p>
      <w:pPr>
        <w:shd w:fill="F0F0F0"/>
        <w:spacing w:after="0" w:line="240" w:lineRule="auto"/>
      </w:pPr>
      <w:r>
        <w:rPr>
          <w:rFonts w:ascii="Courier New" w:hAnsi="Courier New"/>
          <w:sz w:val="20"/>
        </w:rPr>
        <w:t>Year 1-5: $12M per year × 21% U.S. tax = $2.52M per year</w:t>
      </w:r>
    </w:p>
    <w:p>
      <w:pPr>
        <w:shd w:fill="F0F0F0"/>
        <w:spacing w:after="0" w:line="240" w:lineRule="auto"/>
      </w:pPr>
      <w:r>
        <w:rPr>
          <w:rFonts w:ascii="Courier New" w:hAnsi="Courier New"/>
          <w:sz w:val="20"/>
        </w:rPr>
        <w:t>Year 6-10: $15M per year × 21% U.S. tax = $3.15M per year</w:t>
      </w:r>
    </w:p>
    <w:p>
      <w:pPr>
        <w:shd w:fill="F0F0F0"/>
        <w:spacing w:after="0" w:line="240" w:lineRule="auto"/>
      </w:pPr>
      <w:r>
        <w:rPr>
          <w:rFonts w:ascii="Courier New" w:hAnsi="Courier New"/>
          <w:sz w:val="20"/>
        </w:rPr>
        <w:t>Year 11-15: $10M per year × 21% U.S. tax = $2.10M per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U.S. tax over 15 years:</w:t>
      </w:r>
    </w:p>
    <w:p>
      <w:pPr>
        <w:shd w:fill="F0F0F0"/>
        <w:spacing w:after="0" w:line="240" w:lineRule="auto"/>
      </w:pPr>
      <w:r>
        <w:rPr>
          <w:rFonts w:ascii="Courier New" w:hAnsi="Courier New"/>
          <w:sz w:val="20"/>
        </w:rPr>
        <w:t>(5 × $2.52M) + (5 × $3.15M) + (5 × $2.10M) = $12.6M + $15.75M + $10.5M = $38.85M</w:t>
      </w:r>
    </w:p>
    <w:p/>
    <w:p>
      <w:r>
        <w:rPr>
          <w:b/>
        </w:rPr>
        <w:t>Present Value of Annual Tax Payments</w:t>
      </w:r>
      <w:r>
        <w:t xml:space="preserve"> (discounted at 8%):</w:t>
      </w:r>
    </w:p>
    <w:p>
      <w:pPr>
        <w:shd w:fill="F0F0F0"/>
        <w:spacing w:after="0" w:line="240" w:lineRule="auto"/>
      </w:pPr>
      <w:r>
        <w:rPr>
          <w:rFonts w:ascii="Courier New" w:hAnsi="Courier New"/>
          <w:sz w:val="20"/>
        </w:rPr>
        <w:t>PV (Years 1-5): $2.52M × 3.993 (PV annuity factor, 8%, 5 years) = $10.06M</w:t>
      </w:r>
    </w:p>
    <w:p>
      <w:pPr>
        <w:shd w:fill="F0F0F0"/>
        <w:spacing w:after="0" w:line="240" w:lineRule="auto"/>
      </w:pPr>
      <w:r>
        <w:rPr>
          <w:rFonts w:ascii="Courier New" w:hAnsi="Courier New"/>
          <w:sz w:val="20"/>
        </w:rPr>
        <w:t>PV (Years 6-10): $3.15M × [6.710 - 3.993] = $3.15M × 2.717 = $8.56M</w:t>
      </w:r>
    </w:p>
    <w:p>
      <w:pPr>
        <w:shd w:fill="F0F0F0"/>
        <w:spacing w:after="0" w:line="240" w:lineRule="auto"/>
      </w:pPr>
      <w:r>
        <w:rPr>
          <w:rFonts w:ascii="Courier New" w:hAnsi="Courier New"/>
          <w:sz w:val="20"/>
        </w:rPr>
        <w:t>PV (Years 11-15): $2.10M × [8.559 - 6.710] = $2.10M × 1.849 = $3.88M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PV of US Internal Revenue Code Section 367(d) tax = $10.06M + $8.56M + $3.88M = $22.50M</w:t>
      </w:r>
    </w:p>
    <w:p/>
    <w:p>
      <w:r>
        <w:rPr>
          <w:b/>
        </w:rPr>
        <w:t>Step 2: Immediate Gain Recognition (With Election)</w:t>
      </w:r>
    </w:p>
    <w:p>
      <w:r>
        <w:t xml:space="preserve">Under </w:t>
      </w:r>
      <w:r>
        <w:rPr>
          <w:b/>
        </w:rPr>
        <w:t>US Internal Revenue Code Section 367(d)(2)(A)(ii)(II)</w:t>
      </w:r>
      <w:r>
        <w:t xml:space="preserve">, PetroTech can elect to recognize the </w:t>
      </w:r>
      <w:r>
        <w:rPr>
          <w:b/>
        </w:rPr>
        <w:t>built-in gain</w:t>
      </w:r>
      <w:r>
        <w:t xml:space="preserve"> immediately:</w:t>
      </w:r>
    </w:p>
    <w:p>
      <w:pPr>
        <w:shd w:fill="F0F0F0"/>
        <w:spacing w:after="0" w:line="240" w:lineRule="auto"/>
      </w:pPr>
      <w:r>
        <w:rPr>
          <w:rFonts w:ascii="Courier New" w:hAnsi="Courier New"/>
          <w:sz w:val="20"/>
        </w:rPr>
        <w:t>Fair market value = $120,000,000</w:t>
      </w:r>
    </w:p>
    <w:p>
      <w:pPr>
        <w:shd w:fill="F0F0F0"/>
        <w:spacing w:after="0" w:line="240" w:lineRule="auto"/>
      </w:pPr>
      <w:r>
        <w:rPr>
          <w:rFonts w:ascii="Courier New" w:hAnsi="Courier New"/>
          <w:sz w:val="20"/>
        </w:rPr>
        <w:t>Adjusted basis = $90,000,000</w:t>
      </w:r>
    </w:p>
    <w:p>
      <w:pPr>
        <w:shd w:fill="F0F0F0"/>
        <w:spacing w:after="0" w:line="240" w:lineRule="auto"/>
      </w:pPr>
      <w:r>
        <w:rPr>
          <w:rFonts w:ascii="Courier New" w:hAnsi="Courier New"/>
          <w:sz w:val="20"/>
        </w:rPr>
        <w:t>Gain recognized = $30,000,000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U.S. corporate tax at 21% = $6,300,000 (paid immediately in Year 0)</w:t>
      </w:r>
    </w:p>
    <w:p/>
    <w:p>
      <w:r>
        <w:rPr>
          <w:b/>
        </w:rPr>
        <w:t>Step 3: Present Value Comparison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Option</w:t>
            </w:r>
          </w:p>
        </w:tc>
        <w:tc>
          <w:tcPr>
            <w:tcW w:type="dxa" w:w="4320"/>
          </w:tcPr>
          <w:p>
            <w:r>
              <w:rPr>
                <w:b/>
              </w:rPr>
            </w:r>
            <w:r>
              <w:rPr>
                <w:b/>
              </w:rPr>
              <w:t>Present Value of U.S. Tax</w:t>
            </w:r>
          </w:p>
        </w:tc>
      </w:tr>
      <w:tr>
        <w:tc>
          <w:tcPr>
            <w:tcW w:type="dxa" w:w="4320"/>
          </w:tcPr>
          <w:p>
            <w:r/>
            <w:r>
              <w:rPr>
                <w:b/>
              </w:rPr>
              <w:t>Annual inclusions (no election)</w:t>
            </w:r>
          </w:p>
        </w:tc>
        <w:tc>
          <w:tcPr>
            <w:tcW w:type="dxa" w:w="4320"/>
          </w:tcPr>
          <w:p>
            <w:r/>
            <w:r>
              <w:t>$22.50 million</w:t>
            </w:r>
          </w:p>
        </w:tc>
      </w:tr>
      <w:tr>
        <w:tc>
          <w:tcPr>
            <w:tcW w:type="dxa" w:w="4320"/>
          </w:tcPr>
          <w:p>
            <w:r/>
            <w:r>
              <w:rPr>
                <w:b/>
              </w:rPr>
              <w:t>Immediate recognition (with election)</w:t>
            </w:r>
          </w:p>
        </w:tc>
        <w:tc>
          <w:tcPr>
            <w:tcW w:type="dxa" w:w="4320"/>
          </w:tcPr>
          <w:p>
            <w:r/>
            <w:r>
              <w:t>$6.30 million</w:t>
            </w:r>
          </w:p>
        </w:tc>
      </w:tr>
      <w:tr>
        <w:tc>
          <w:tcPr>
            <w:tcW w:type="dxa" w:w="4320"/>
          </w:tcPr>
          <w:p>
            <w:r/>
            <w:r>
              <w:rPr>
                <w:b/>
              </w:rPr>
              <w:t>Tax savings from election</w:t>
            </w:r>
          </w:p>
        </w:tc>
        <w:tc>
          <w:tcPr>
            <w:tcW w:type="dxa" w:w="4320"/>
          </w:tcPr>
          <w:p>
            <w:r/>
            <w:r>
              <w:rPr>
                <w:b/>
              </w:rPr>
              <w:t>$16.20 million</w:t>
            </w:r>
          </w:p>
        </w:tc>
      </w:tr>
    </w:tbl>
    <w:p/>
    <w:p>
      <w:r>
        <w:rPr>
          <w:b/>
        </w:rPr>
        <w:t>Conclusion</w:t>
      </w:r>
      <w:r>
        <w:t xml:space="preserve">: Electing </w:t>
      </w:r>
      <w:r>
        <w:rPr>
          <w:b/>
        </w:rPr>
        <w:t>immediate gain recognition</w:t>
      </w:r>
      <w:r>
        <w:t xml:space="preserve"> saves </w:t>
      </w:r>
      <w:r>
        <w:rPr>
          <w:b/>
        </w:rPr>
        <w:t>$16.2 million in present value</w:t>
      </w:r>
      <w:r>
        <w:t xml:space="preserve"> compared to annual US Internal Revenue Code Section 367(d) inclusions.</w:t>
      </w:r>
    </w:p>
    <w:p>
      <w:r>
        <w:rPr>
          <w:b/>
        </w:rPr>
        <w:t>Step 4: GILTI Analysis</w:t>
      </w:r>
    </w:p>
    <w:p>
      <w:r>
        <w:t xml:space="preserve">Even with IP transferred to Netherlands, the U.S. parent will face </w:t>
      </w:r>
      <w:r>
        <w:rPr>
          <w:b/>
        </w:rPr>
        <w:t>GILTI inclusion</w:t>
      </w:r>
      <w:r>
        <w:t xml:space="preserve"> on the subsidiary's low-taxed income.</w:t>
      </w:r>
    </w:p>
    <w:p>
      <w:r>
        <w:rPr>
          <w:b/>
        </w:rPr>
        <w:t>Netherlands IP B.V. Projected Income</w:t>
      </w:r>
      <w:r>
        <w:t>:</w:t>
      </w:r>
    </w:p>
    <w:p>
      <w:pPr>
        <w:shd w:fill="F0F0F0"/>
        <w:spacing w:after="0" w:line="240" w:lineRule="auto"/>
      </w:pPr>
      <w:r>
        <w:rPr>
          <w:rFonts w:ascii="Courier New" w:hAnsi="Courier New"/>
          <w:sz w:val="20"/>
        </w:rPr>
        <w:t>Royalty income (from licensing to operating entities): $12M (Year 1 example)</w:t>
      </w:r>
    </w:p>
    <w:p>
      <w:pPr>
        <w:shd w:fill="F0F0F0"/>
        <w:spacing w:after="0" w:line="240" w:lineRule="auto"/>
      </w:pPr>
      <w:r>
        <w:rPr>
          <w:rFonts w:ascii="Courier New" w:hAnsi="Courier New"/>
          <w:sz w:val="20"/>
        </w:rPr>
        <w:t>Netherlands Innovation Box tax at 9%: $1.08M</w:t>
      </w:r>
    </w:p>
    <w:p>
      <w:pPr>
        <w:shd w:fill="F0F0F0"/>
        <w:spacing w:after="0" w:line="240" w:lineRule="auto"/>
      </w:pPr>
      <w:r>
        <w:rPr>
          <w:rFonts w:ascii="Courier New" w:hAnsi="Courier New"/>
          <w:sz w:val="20"/>
        </w:rPr>
        <w:t>After-tax income: $10.92M</w:t>
      </w:r>
    </w:p>
    <w:p/>
    <w:p>
      <w:r>
        <w:rPr>
          <w:b/>
        </w:rPr>
        <w:t>GILTI Calculation (Year 1)</w:t>
      </w:r>
      <w:r>
        <w:t>:</w:t>
      </w:r>
    </w:p>
    <w:p>
      <w:pPr>
        <w:shd w:fill="F0F0F0"/>
        <w:spacing w:after="0" w:line="240" w:lineRule="auto"/>
      </w:pPr>
      <w:r>
        <w:rPr>
          <w:rFonts w:ascii="Courier New" w:hAnsi="Courier New"/>
          <w:sz w:val="20"/>
        </w:rPr>
        <w:t>CFC net income = $10.92M (after Netherlands tax)</w:t>
      </w:r>
    </w:p>
    <w:p>
      <w:pPr>
        <w:shd w:fill="F0F0F0"/>
        <w:spacing w:after="0" w:line="240" w:lineRule="auto"/>
      </w:pPr>
      <w:r>
        <w:rPr>
          <w:rFonts w:ascii="Courier New" w:hAnsi="Courier New"/>
          <w:sz w:val="20"/>
        </w:rPr>
        <w:t>Less: 10% × QBAI (qualified business asset investment)</w:t>
      </w:r>
    </w:p>
    <w:p>
      <w:pPr>
        <w:shd w:fill="F0F0F0"/>
        <w:spacing w:after="0" w:line="240" w:lineRule="auto"/>
      </w:pPr>
      <w:r>
        <w:rPr>
          <w:rFonts w:ascii="Courier New" w:hAnsi="Courier New"/>
          <w:sz w:val="20"/>
        </w:rPr>
        <w:t>Assume PetroTech IP B.V. has minimal tangible assets (office equipment = $500K)</w:t>
      </w:r>
    </w:p>
    <w:p>
      <w:pPr>
        <w:shd w:fill="F0F0F0"/>
        <w:spacing w:after="0" w:line="240" w:lineRule="auto"/>
      </w:pPr>
      <w:r>
        <w:rPr>
          <w:rFonts w:ascii="Courier New" w:hAnsi="Courier New"/>
          <w:sz w:val="20"/>
        </w:rPr>
        <w:t>QBAI deduction = 10% × $500K = $50K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GILTI = $10.92M - $0.05M = $10.87M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US Internal Revenue Code Section 250 deduction (50% of GILTI) = $5.435M</w:t>
      </w:r>
    </w:p>
    <w:p>
      <w:pPr>
        <w:shd w:fill="F0F0F0"/>
        <w:spacing w:after="0" w:line="240" w:lineRule="auto"/>
      </w:pPr>
      <w:r>
        <w:rPr>
          <w:rFonts w:ascii="Courier New" w:hAnsi="Courier New"/>
          <w:sz w:val="20"/>
        </w:rPr>
        <w:t>Taxable GILTI = $5.435M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U.S. tax on GILTI at 21% = $1.141M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Foreign tax credit (80% of Netherlands tax):</w:t>
      </w:r>
    </w:p>
    <w:p>
      <w:pPr>
        <w:shd w:fill="F0F0F0"/>
        <w:spacing w:after="0" w:line="240" w:lineRule="auto"/>
      </w:pPr>
      <w:r>
        <w:rPr>
          <w:rFonts w:ascii="Courier New" w:hAnsi="Courier New"/>
          <w:sz w:val="20"/>
        </w:rPr>
        <w:t>Available credit = $1.08M × 80% = $864K</w:t>
      </w:r>
    </w:p>
    <w:p>
      <w:pPr>
        <w:shd w:fill="F0F0F0"/>
        <w:spacing w:after="0" w:line="240" w:lineRule="auto"/>
      </w:pPr>
      <w:r>
        <w:rPr>
          <w:rFonts w:ascii="Courier New" w:hAnsi="Courier New"/>
          <w:sz w:val="20"/>
        </w:rPr>
        <w:t>(Limited to U.S. tax on GILTI = $1.141M)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U.S. tax on GILTI = $1.141M - $864K = $277K</w:t>
      </w:r>
    </w:p>
    <w:p/>
    <w:p>
      <w:r>
        <w:rPr>
          <w:b/>
        </w:rPr>
        <w:t>Total Tax (Netherlands + U.S. GILTI)</w:t>
      </w:r>
      <w:r>
        <w:t>:</w:t>
      </w:r>
    </w:p>
    <w:p>
      <w:pPr>
        <w:shd w:fill="F0F0F0"/>
        <w:spacing w:after="0" w:line="240" w:lineRule="auto"/>
      </w:pPr>
      <w:r>
        <w:rPr>
          <w:rFonts w:ascii="Courier New" w:hAnsi="Courier New"/>
          <w:sz w:val="20"/>
        </w:rPr>
        <w:t>Netherlands tax = $1.08M</w:t>
      </w:r>
    </w:p>
    <w:p>
      <w:pPr>
        <w:shd w:fill="F0F0F0"/>
        <w:spacing w:after="0" w:line="240" w:lineRule="auto"/>
      </w:pPr>
      <w:r>
        <w:rPr>
          <w:rFonts w:ascii="Courier New" w:hAnsi="Courier New"/>
          <w:sz w:val="20"/>
        </w:rPr>
        <w:t>U.S. GILTI tax = $277K</w:t>
      </w:r>
    </w:p>
    <w:p>
      <w:pPr>
        <w:shd w:fill="F0F0F0"/>
        <w:spacing w:after="0" w:line="240" w:lineRule="auto"/>
      </w:pPr>
      <w:r>
        <w:rPr>
          <w:rFonts w:ascii="Courier New" w:hAnsi="Courier New"/>
          <w:sz w:val="20"/>
        </w:rPr>
        <w:t>Total = $1.357M</w:t>
      </w:r>
    </w:p>
    <w:p>
      <w:pPr>
        <w:shd w:fill="F0F0F0"/>
        <w:spacing w:after="0" w:line="240" w:lineRule="auto"/>
      </w:pPr>
      <w:r>
        <w:rPr>
          <w:rFonts w:ascii="Courier New" w:hAnsi="Courier New"/>
          <w:sz w:val="20"/>
        </w:rPr>
        <w:t>Effective combined rate = $1.357M / $12M = 11.3%</w:t>
      </w:r>
    </w:p>
    <w:p/>
    <w:p>
      <w:r>
        <w:rPr>
          <w:b/>
        </w:rPr>
        <w:t>Comparison to U.S. Taxation (No Transfer)</w:t>
      </w:r>
      <w:r>
        <w:t>:</w:t>
      </w:r>
    </w:p>
    <w:p>
      <w:pPr>
        <w:shd w:fill="F0F0F0"/>
        <w:spacing w:after="0" w:line="240" w:lineRule="auto"/>
      </w:pPr>
      <w:r>
        <w:rPr>
          <w:rFonts w:ascii="Courier New" w:hAnsi="Courier New"/>
          <w:sz w:val="20"/>
        </w:rPr>
        <w:t>Royalty income: $12M</w:t>
      </w:r>
    </w:p>
    <w:p>
      <w:pPr>
        <w:shd w:fill="F0F0F0"/>
        <w:spacing w:after="0" w:line="240" w:lineRule="auto"/>
      </w:pPr>
      <w:r>
        <w:rPr>
          <w:rFonts w:ascii="Courier New" w:hAnsi="Courier New"/>
          <w:sz w:val="20"/>
        </w:rPr>
        <w:t>U.S. corporate tax at 21% = $2.52M</w:t>
      </w:r>
    </w:p>
    <w:p>
      <w:pPr>
        <w:shd w:fill="F0F0F0"/>
        <w:spacing w:after="0" w:line="240" w:lineRule="auto"/>
      </w:pPr>
      <w:r>
        <w:rPr>
          <w:rFonts w:ascii="Courier New" w:hAnsi="Courier New"/>
          <w:sz w:val="20"/>
        </w:rPr>
        <w:t>Effective rate = 21%</w:t>
      </w:r>
    </w:p>
    <w:p/>
    <w:p>
      <w:r>
        <w:rPr>
          <w:b/>
        </w:rPr>
        <w:t>Annual Tax Savings from Netherlands Structure</w:t>
      </w:r>
      <w:r>
        <w:t>:</w:t>
      </w:r>
    </w:p>
    <w:p>
      <w:pPr>
        <w:shd w:fill="F0F0F0"/>
        <w:spacing w:after="0" w:line="240" w:lineRule="auto"/>
      </w:pPr>
      <w:r>
        <w:rPr>
          <w:rFonts w:ascii="Courier New" w:hAnsi="Courier New"/>
          <w:sz w:val="20"/>
        </w:rPr>
        <w:t>U.S.-only tax = $2.52M</w:t>
      </w:r>
    </w:p>
    <w:p>
      <w:pPr>
        <w:shd w:fill="F0F0F0"/>
        <w:spacing w:after="0" w:line="240" w:lineRule="auto"/>
      </w:pPr>
      <w:r>
        <w:rPr>
          <w:rFonts w:ascii="Courier New" w:hAnsi="Courier New"/>
          <w:sz w:val="20"/>
        </w:rPr>
        <w:t>Netherlands + GILTI tax = $1.357M</w:t>
      </w:r>
    </w:p>
    <w:p>
      <w:pPr>
        <w:shd w:fill="F0F0F0"/>
        <w:spacing w:after="0" w:line="240" w:lineRule="auto"/>
      </w:pPr>
      <w:r>
        <w:rPr>
          <w:rFonts w:ascii="Courier New" w:hAnsi="Courier New"/>
          <w:sz w:val="20"/>
        </w:rPr>
        <w:t>Annual savings = $1.163M (or 9.7% reduction in effective rate)</w:t>
      </w:r>
    </w:p>
    <w:p/>
    <w:p>
      <w:r>
        <w:rPr>
          <w:b/>
        </w:rPr>
        <w:t>PV of Annual Savings over 15 years</w:t>
      </w:r>
      <w:r>
        <w:t xml:space="preserve"> (assuming savings of ~$1.2M per year on average):</w:t>
      </w:r>
    </w:p>
    <w:p>
      <w:pPr>
        <w:shd w:fill="F0F0F0"/>
        <w:spacing w:after="0" w:line="240" w:lineRule="auto"/>
      </w:pPr>
      <w:r>
        <w:rPr>
          <w:rFonts w:ascii="Courier New" w:hAnsi="Courier New"/>
          <w:sz w:val="20"/>
        </w:rPr>
        <w:t>PV of savings = $1.2M × 8.559 (PV annuity factor, 8%, 15 years) = $10.27M</w:t>
      </w:r>
    </w:p>
    <w:p/>
    <w:p>
      <w:pPr>
        <w:pStyle w:val="Heading3"/>
      </w:pPr>
      <w:r>
        <w:t>Conclusion and Recommendation</w:t>
      </w:r>
    </w:p>
    <w:p>
      <w:r>
        <w:rPr>
          <w:b/>
        </w:rPr>
        <w:t>Net Benefit Analysis</w:t>
      </w:r>
      <w:r>
        <w:t>:</w:t>
      </w:r>
    </w:p>
    <w:p>
      <w:pPr>
        <w:shd w:fill="F0F0F0"/>
        <w:spacing w:after="0" w:line="240" w:lineRule="auto"/>
      </w:pPr>
      <w:r>
        <w:rPr>
          <w:rFonts w:ascii="Courier New" w:hAnsi="Courier New"/>
          <w:sz w:val="20"/>
        </w:rPr>
        <w:t>PV of annual tax savings (15 years) = $10.27M</w:t>
      </w:r>
    </w:p>
    <w:p>
      <w:pPr>
        <w:shd w:fill="F0F0F0"/>
        <w:spacing w:after="0" w:line="240" w:lineRule="auto"/>
      </w:pPr>
      <w:r>
        <w:rPr>
          <w:rFonts w:ascii="Courier New" w:hAnsi="Courier New"/>
          <w:sz w:val="20"/>
        </w:rPr>
        <w:t>Upfront cost (immediate Section 367(d) tax) = $6.30M</w:t>
      </w:r>
    </w:p>
    <w:p>
      <w:pPr>
        <w:shd w:fill="F0F0F0"/>
        <w:spacing w:after="0" w:line="240" w:lineRule="auto"/>
      </w:pPr>
      <w:r>
        <w:rPr>
          <w:rFonts w:ascii="Courier New" w:hAnsi="Courier New"/>
          <w:sz w:val="20"/>
        </w:rPr>
        <w:t>Net benefit = $3.97M</w:t>
      </w:r>
    </w:p>
    <w:p/>
    <w:p>
      <w:r>
        <w:rPr>
          <w:b/>
        </w:rPr>
        <w:t>Recommendation</w:t>
      </w:r>
      <w:r>
        <w:t>:</w:t>
      </w:r>
    </w:p>
    <w:p>
      <w:pPr>
        <w:pStyle w:val="ListNumber"/>
      </w:pPr>
      <w:r>
        <w:rPr>
          <w:b/>
        </w:rPr>
        <w:t>Proceed with transfer</w:t>
      </w:r>
      <w:r>
        <w:t xml:space="preserve"> to Netherlands IP B.V.</w:t>
      </w:r>
    </w:p>
    <w:p>
      <w:pPr>
        <w:pStyle w:val="ListNumber"/>
      </w:pPr>
      <w:r>
        <w:rPr>
          <w:b/>
        </w:rPr>
        <w:t>Elect immediate gain recognition</w:t>
      </w:r>
      <w:r>
        <w:t xml:space="preserve"> under US Internal Revenue Code Section 367(d) to minimize U.S. exit tax ($6.3M vs. $22.5M PV)</w:t>
      </w:r>
    </w:p>
    <w:p>
      <w:pPr>
        <w:pStyle w:val="ListNumber"/>
      </w:pPr>
      <w:r>
        <w:rPr>
          <w:b/>
        </w:rPr>
        <w:t>Ensure Netherlands substance</w:t>
      </w:r>
      <w:r>
        <w:t>: Employ qualified personnel to manage IP, make strategic decisions locally</w:t>
      </w:r>
    </w:p>
    <w:p>
      <w:pPr>
        <w:pStyle w:val="ListNumber"/>
      </w:pPr>
      <w:r>
        <w:rPr>
          <w:b/>
        </w:rPr>
        <w:t>Monitor Pillar Two impact</w:t>
      </w:r>
      <w:r>
        <w:t>: If OECD Pillar Two applies, the 15% global minimum tax may eliminate savings</w:t>
      </w:r>
    </w:p>
    <w:p>
      <w:r>
        <w:rPr>
          <w:b/>
        </w:rPr>
        <w:t>Risks</w:t>
      </w:r>
      <w:r>
        <w:t>:</w:t>
      </w:r>
    </w:p>
    <w:p>
      <w:pPr>
        <w:pStyle w:val="ListBullet"/>
      </w:pPr>
      <w:r>
        <w:rPr>
          <w:b/>
        </w:rPr>
        <w:t>Pillar Two</w:t>
      </w:r>
      <w:r>
        <w:t>: If global minimum tax applies, effective rate increases to 15%, reducing savings to 6% (vs. 21% U.S. rate)</w:t>
      </w:r>
    </w:p>
    <w:p>
      <w:pPr>
        <w:pStyle w:val="ListBullet"/>
      </w:pPr>
      <w:r>
        <w:rPr>
          <w:b/>
        </w:rPr>
        <w:t>Transfer pricing audits</w:t>
      </w:r>
      <w:r>
        <w:t>: Ensure comprehensive documentation supporting $120M valuation</w:t>
      </w:r>
    </w:p>
    <w:p>
      <w:pPr>
        <w:pStyle w:val="ListBullet"/>
      </w:pPr>
      <w:r>
        <w:rPr>
          <w:b/>
        </w:rPr>
        <w:t>GILTI changes</w:t>
      </w:r>
      <w:r>
        <w:t>: Proposed U.S. tax reforms may increase GILTI rates or eliminate US Internal Revenue Code Section 250 deduction</w:t>
      </w:r>
    </w:p>
    <w:p>
      <w:pPr>
        <w:spacing w:before="120" w:after="120"/>
        <w:pBdr>
          <w:bottom w:val="single" w:sz="6" w:space="1" w:color="auto"/>
        </w:pBdr>
      </w:pPr>
    </w:p>
    <w:p>
      <w:pPr>
        <w:pStyle w:val="Heading2"/>
      </w:pPr>
      <w:r>
        <w:t>WORKED EXAMPLE 2: IP Repatriation to Access FDII Deduction</w:t>
      </w:r>
    </w:p>
    <w:p>
      <w:pPr>
        <w:pStyle w:val="Heading3"/>
      </w:pPr>
      <w:r>
        <w:t>Facts</w:t>
      </w:r>
    </w:p>
    <w:p>
      <w:r>
        <w:rPr>
          <w:b/>
        </w:rPr>
        <w:t>GlobalDrill Corporation</w:t>
      </w:r>
      <w:r>
        <w:t xml:space="preserve">, a U.S.-based oilfield services company, transferred its </w:t>
      </w:r>
      <w:r>
        <w:rPr>
          <w:b/>
        </w:rPr>
        <w:t>rotary steerable drilling technology</w:t>
      </w:r>
      <w:r>
        <w:t xml:space="preserve"> to a </w:t>
      </w:r>
      <w:r>
        <w:rPr>
          <w:b/>
        </w:rPr>
        <w:t>Bermuda subsidiary</w:t>
      </w:r>
      <w:r>
        <w:t xml:space="preserve"> (GlobalDrill Bermuda Ltd.) in </w:t>
      </w:r>
      <w:r>
        <w:rPr>
          <w:b/>
        </w:rPr>
        <w:t>2015</w:t>
      </w:r>
      <w:r>
        <w:t xml:space="preserve"> to benefit from Bermuda's </w:t>
      </w:r>
      <w:r>
        <w:rPr>
          <w:b/>
        </w:rPr>
        <w:t>0% corporate tax rate</w:t>
      </w:r>
      <w:r>
        <w:t>.</w:t>
      </w:r>
    </w:p>
    <w:p>
      <w:r>
        <w:t xml:space="preserve">Under </w:t>
      </w:r>
      <w:r>
        <w:rPr>
          <w:b/>
        </w:rPr>
        <w:t>US Internal Revenue Code Section 367(d)</w:t>
      </w:r>
      <w:r>
        <w:t xml:space="preserve">, GlobalDrill has been recognizing </w:t>
      </w:r>
      <w:r>
        <w:rPr>
          <w:b/>
        </w:rPr>
        <w:t>annual deemed royalty income</w:t>
      </w:r>
      <w:r>
        <w:t xml:space="preserve"> of </w:t>
      </w:r>
      <w:r>
        <w:rPr>
          <w:b/>
        </w:rPr>
        <w:t>$8 million per year</w:t>
      </w:r>
      <w:r>
        <w:t xml:space="preserve"> (based on arm's length royalty rate of 8% × $100M IP value).</w:t>
      </w:r>
    </w:p>
    <w:p>
      <w:r>
        <w:rPr>
          <w:b/>
        </w:rPr>
        <w:t>2024 Developments</w:t>
      </w:r>
      <w:r>
        <w:t>:</w:t>
      </w:r>
    </w:p>
    <w:p>
      <w:r>
        <w:t xml:space="preserve">Following enactment of </w:t>
      </w:r>
      <w:r>
        <w:rPr>
          <w:b/>
        </w:rPr>
        <w:t>T.D. 9994 final regulations</w:t>
      </w:r>
      <w:r>
        <w:t xml:space="preserve"> (October 2024), GlobalDrill is considering </w:t>
      </w:r>
      <w:r>
        <w:rPr>
          <w:b/>
        </w:rPr>
        <w:t>repatriating the IP</w:t>
      </w:r>
      <w:r>
        <w:t xml:space="preserve"> back to the U.S. to:</w:t>
      </w:r>
    </w:p>
    <w:p>
      <w:pPr>
        <w:pStyle w:val="ListNumber"/>
      </w:pPr>
      <w:r>
        <w:rPr>
          <w:b/>
        </w:rPr>
        <w:t>Eliminate US Internal Revenue Code Section 367(d) annual inclusions</w:t>
      </w:r>
    </w:p>
    <w:p>
      <w:pPr>
        <w:pStyle w:val="ListNumber"/>
      </w:pPr>
      <w:r>
        <w:rPr>
          <w:b/>
        </w:rPr>
        <w:t>Access FDII deduction</w:t>
      </w:r>
      <w:r>
        <w:t xml:space="preserve"> on foreign-derived income</w:t>
      </w:r>
    </w:p>
    <w:p>
      <w:pPr>
        <w:pStyle w:val="ListNumber"/>
      </w:pPr>
      <w:r>
        <w:rPr>
          <w:b/>
        </w:rPr>
        <w:t>Qualify for U.S. R&amp;D tax credits</w:t>
      </w:r>
      <w:r>
        <w:t xml:space="preserve"> on future IP enhancements</w:t>
      </w:r>
    </w:p>
    <w:p>
      <w:r>
        <w:rPr>
          <w:b/>
        </w:rPr>
        <w:t>Current Financial Data (2024)</w:t>
      </w:r>
      <w:r>
        <w:t>:</w:t>
      </w:r>
    </w:p>
    <w:p>
      <w:pPr>
        <w:pStyle w:val="ListBullet"/>
      </w:pPr>
      <w:r>
        <w:rPr>
          <w:b/>
        </w:rPr>
        <w:t>Revenue from licensing IP</w:t>
      </w:r>
      <w:r>
        <w:t>: $80 million per year</w:t>
      </w:r>
    </w:p>
    <w:p>
      <w:pPr>
        <w:pStyle w:val="ListBullet"/>
        <w:ind w:left="360"/>
      </w:pPr>
      <w:r>
        <w:t>70% from foreign customers (</w:t>
      </w:r>
      <w:r>
        <w:rPr>
          <w:b/>
        </w:rPr>
        <w:t>$56 million</w:t>
      </w:r>
      <w:r>
        <w:t>)</w:t>
      </w:r>
    </w:p>
    <w:p>
      <w:pPr>
        <w:pStyle w:val="ListBullet"/>
        <w:ind w:left="360"/>
      </w:pPr>
      <w:r>
        <w:t>30% from U.S. customers (</w:t>
      </w:r>
      <w:r>
        <w:rPr>
          <w:b/>
        </w:rPr>
        <w:t>$24 million</w:t>
      </w:r>
      <w:r>
        <w:t>)</w:t>
      </w:r>
    </w:p>
    <w:p>
      <w:pPr>
        <w:pStyle w:val="ListBullet"/>
      </w:pPr>
      <w:r>
        <w:rPr>
          <w:b/>
        </w:rPr>
        <w:t>Cost of goods sold</w:t>
      </w:r>
      <w:r>
        <w:t>: $15 million</w:t>
      </w:r>
    </w:p>
    <w:p>
      <w:pPr>
        <w:pStyle w:val="ListBullet"/>
      </w:pPr>
      <w:r>
        <w:rPr>
          <w:b/>
        </w:rPr>
        <w:t>Operating expenses</w:t>
      </w:r>
      <w:r>
        <w:t>: $20 million</w:t>
      </w:r>
    </w:p>
    <w:p>
      <w:pPr>
        <w:pStyle w:val="ListBullet"/>
      </w:pPr>
      <w:r>
        <w:rPr>
          <w:b/>
        </w:rPr>
        <w:t>Bermuda tax</w:t>
      </w:r>
      <w:r>
        <w:t xml:space="preserve">: </w:t>
      </w:r>
      <w:r>
        <w:rPr>
          <w:b/>
        </w:rPr>
        <w:t>0%</w:t>
      </w:r>
    </w:p>
    <w:p>
      <w:r>
        <w:rPr>
          <w:b/>
        </w:rPr>
        <w:t>U.S. FDII Deduction</w:t>
      </w:r>
      <w:r>
        <w:t>:</w:t>
      </w:r>
    </w:p>
    <w:p>
      <w:r>
        <w:rPr>
          <w:b/>
        </w:rPr>
        <w:t>Foreign-Derived Intangible Income (FDII)</w:t>
      </w:r>
      <w:r>
        <w:t xml:space="preserve"> provides a deduction equal to </w:t>
      </w:r>
      <w:r>
        <w:rPr>
          <w:b/>
        </w:rPr>
        <w:t>37.5%</w:t>
      </w:r>
      <w:r>
        <w:t xml:space="preserve"> of eligible foreign-derived income, resulting in an </w:t>
      </w:r>
      <w:r>
        <w:rPr>
          <w:b/>
        </w:rPr>
        <w:t>effective U.S. tax rate of 13.125%</w:t>
      </w:r>
      <w:r>
        <w:t xml:space="preserve"> on FDII (vs. 21% standard rate).</w:t>
      </w:r>
    </w:p>
    <w:p>
      <w:r>
        <w:rPr>
          <w:b/>
        </w:rPr>
        <w:t>FDII Calculation</w:t>
      </w:r>
      <w:r>
        <w:t>:</w:t>
      </w:r>
    </w:p>
    <w:p>
      <w:pPr>
        <w:shd w:fill="F0F0F0"/>
        <w:spacing w:after="0" w:line="240" w:lineRule="auto"/>
      </w:pPr>
      <w:r>
        <w:rPr>
          <w:rFonts w:ascii="Courier New" w:hAnsi="Courier New"/>
          <w:sz w:val="20"/>
        </w:rPr>
        <w:t>FDII = Deduction-Eligible Income (DEI) × (Foreign-Derived Deduction Eligible Income / DEI)</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Where:</w:t>
      </w:r>
    </w:p>
    <w:p>
      <w:pPr>
        <w:shd w:fill="F0F0F0"/>
        <w:spacing w:after="0" w:line="240" w:lineRule="auto"/>
      </w:pPr>
      <w:r>
        <w:rPr>
          <w:rFonts w:ascii="Courier New" w:hAnsi="Courier New"/>
          <w:sz w:val="20"/>
        </w:rPr>
        <w:t>DEI = Gross income - Allocable deductions - 10% × QBAI</w:t>
      </w:r>
    </w:p>
    <w:p/>
    <w:p>
      <w:pPr>
        <w:pStyle w:val="Heading3"/>
      </w:pPr>
      <w:r>
        <w:t>Required</w:t>
      </w:r>
    </w:p>
    <w:p>
      <w:pPr>
        <w:pStyle w:val="ListNumber"/>
      </w:pPr>
      <w:r>
        <w:t xml:space="preserve">Calculate </w:t>
      </w:r>
      <w:r>
        <w:rPr>
          <w:b/>
        </w:rPr>
        <w:t>current annual U.S. tax</w:t>
      </w:r>
      <w:r>
        <w:t xml:space="preserve"> under US Internal Revenue Code Section 367(d) with IP in Bermuda</w:t>
      </w:r>
    </w:p>
    <w:p>
      <w:pPr>
        <w:pStyle w:val="ListNumber"/>
      </w:pPr>
      <w:r>
        <w:t xml:space="preserve">Calculate </w:t>
      </w:r>
      <w:r>
        <w:rPr>
          <w:b/>
        </w:rPr>
        <w:t>projected U.S. tax</w:t>
      </w:r>
      <w:r>
        <w:t xml:space="preserve"> if IP is repatriated to the U.S., assuming FDII deduction applies</w:t>
      </w:r>
    </w:p>
    <w:p>
      <w:pPr>
        <w:pStyle w:val="ListNumber"/>
      </w:pPr>
      <w:r>
        <w:t xml:space="preserve">Determine the </w:t>
      </w:r>
      <w:r>
        <w:rPr>
          <w:b/>
        </w:rPr>
        <w:t>net annual tax savings</w:t>
      </w:r>
      <w:r>
        <w:t xml:space="preserve"> from repatriation</w:t>
      </w:r>
    </w:p>
    <w:p>
      <w:pPr>
        <w:pStyle w:val="ListNumber"/>
      </w:pPr>
      <w:r>
        <w:t xml:space="preserve">Evaluate </w:t>
      </w:r>
      <w:r>
        <w:rPr>
          <w:b/>
        </w:rPr>
        <w:t>qualitative factors</w:t>
      </w:r>
      <w:r>
        <w:t xml:space="preserve"> supporting repatriation</w:t>
      </w:r>
    </w:p>
    <w:p>
      <w:pPr>
        <w:pStyle w:val="Heading3"/>
      </w:pPr>
      <w:r>
        <w:t>Analysis</w:t>
      </w:r>
    </w:p>
    <w:p>
      <w:r>
        <w:rPr>
          <w:b/>
        </w:rPr>
        <w:t>Step 1: Current Annual U.S. Tax (IP in Bermuda)</w:t>
      </w:r>
    </w:p>
    <w:p>
      <w:r>
        <w:t xml:space="preserve">Under US Internal Revenue Code Section 367(d), GlobalDrill must recognize </w:t>
      </w:r>
      <w:r>
        <w:rPr>
          <w:b/>
        </w:rPr>
        <w:t>deemed royalty income</w:t>
      </w:r>
      <w:r>
        <w:t xml:space="preserve"> of </w:t>
      </w:r>
      <w:r>
        <w:rPr>
          <w:b/>
        </w:rPr>
        <w:t>$8 million per year</w:t>
      </w:r>
      <w:r>
        <w:t>:</w:t>
      </w:r>
    </w:p>
    <w:p>
      <w:pPr>
        <w:shd w:fill="F0F0F0"/>
        <w:spacing w:after="0" w:line="240" w:lineRule="auto"/>
      </w:pPr>
      <w:r>
        <w:rPr>
          <w:rFonts w:ascii="Courier New" w:hAnsi="Courier New"/>
          <w:sz w:val="20"/>
        </w:rPr>
        <w:t>Annual US Internal Revenue Code Section 367(d) inclusion = $8,000,000</w:t>
      </w:r>
    </w:p>
    <w:p>
      <w:pPr>
        <w:shd w:fill="F0F0F0"/>
        <w:spacing w:after="0" w:line="240" w:lineRule="auto"/>
      </w:pPr>
      <w:r>
        <w:rPr>
          <w:rFonts w:ascii="Courier New" w:hAnsi="Courier New"/>
          <w:sz w:val="20"/>
        </w:rPr>
        <w:t>U.S. corporate tax at 21% = $1,680,000</w:t>
      </w:r>
    </w:p>
    <w:p/>
    <w:p>
      <w:r>
        <w:rPr>
          <w:b/>
        </w:rPr>
        <w:t>Bermuda Subsidiary Tax</w:t>
      </w:r>
      <w:r>
        <w:t>:</w:t>
      </w:r>
    </w:p>
    <w:p>
      <w:pPr>
        <w:shd w:fill="F0F0F0"/>
        <w:spacing w:after="0" w:line="240" w:lineRule="auto"/>
      </w:pPr>
      <w:r>
        <w:rPr>
          <w:rFonts w:ascii="Courier New" w:hAnsi="Courier New"/>
          <w:sz w:val="20"/>
        </w:rPr>
        <w:t>Bermuda tax = $0 (0% rate)</w:t>
      </w:r>
    </w:p>
    <w:p/>
    <w:p>
      <w:r>
        <w:rPr>
          <w:b/>
        </w:rPr>
        <w:t>Total Group Tax (Current Structure)</w:t>
      </w:r>
      <w:r>
        <w:t>:</w:t>
      </w:r>
    </w:p>
    <w:p>
      <w:pPr>
        <w:shd w:fill="F0F0F0"/>
        <w:spacing w:after="0" w:line="240" w:lineRule="auto"/>
      </w:pPr>
      <w:r>
        <w:rPr>
          <w:rFonts w:ascii="Courier New" w:hAnsi="Courier New"/>
          <w:sz w:val="20"/>
        </w:rPr>
        <w:t>U.S. tax on deemed royalty = $1,680,000</w:t>
      </w:r>
    </w:p>
    <w:p>
      <w:pPr>
        <w:shd w:fill="F0F0F0"/>
        <w:spacing w:after="0" w:line="240" w:lineRule="auto"/>
      </w:pPr>
      <w:r>
        <w:rPr>
          <w:rFonts w:ascii="Courier New" w:hAnsi="Courier New"/>
          <w:sz w:val="20"/>
        </w:rPr>
        <w:t>Bermuda tax = $0</w:t>
      </w:r>
    </w:p>
    <w:p>
      <w:pPr>
        <w:shd w:fill="F0F0F0"/>
        <w:spacing w:after="0" w:line="240" w:lineRule="auto"/>
      </w:pPr>
      <w:r>
        <w:rPr>
          <w:rFonts w:ascii="Courier New" w:hAnsi="Courier New"/>
          <w:sz w:val="20"/>
        </w:rPr>
        <w:t>Total = $1,680,000</w:t>
      </w:r>
    </w:p>
    <w:p/>
    <w:p>
      <w:r>
        <w:rPr>
          <w:b/>
        </w:rPr>
        <w:t>Effective Tax Rate on IP Income</w:t>
      </w:r>
      <w:r>
        <w:t>:</w:t>
      </w:r>
    </w:p>
    <w:p>
      <w:pPr>
        <w:shd w:fill="F0F0F0"/>
        <w:spacing w:after="0" w:line="240" w:lineRule="auto"/>
      </w:pPr>
      <w:r>
        <w:rPr>
          <w:rFonts w:ascii="Courier New" w:hAnsi="Courier New"/>
          <w:sz w:val="20"/>
        </w:rPr>
        <w:t>IP-related income = $80M - $15M - $20M = $45M</w:t>
      </w:r>
    </w:p>
    <w:p>
      <w:pPr>
        <w:shd w:fill="F0F0F0"/>
        <w:spacing w:after="0" w:line="240" w:lineRule="auto"/>
      </w:pPr>
      <w:r>
        <w:rPr>
          <w:rFonts w:ascii="Courier New" w:hAnsi="Courier New"/>
          <w:sz w:val="20"/>
        </w:rPr>
        <w:t>Group tax = $1,680,000</w:t>
      </w:r>
    </w:p>
    <w:p>
      <w:pPr>
        <w:shd w:fill="F0F0F0"/>
        <w:spacing w:after="0" w:line="240" w:lineRule="auto"/>
      </w:pPr>
      <w:r>
        <w:rPr>
          <w:rFonts w:ascii="Courier New" w:hAnsi="Courier New"/>
          <w:sz w:val="20"/>
        </w:rPr>
        <w:t>Effective rate = 3.7%</w:t>
      </w:r>
    </w:p>
    <w:p/>
    <w:p>
      <w:r>
        <w:rPr>
          <w:b/>
        </w:rPr>
        <w:t>Step 2: Projected U.S. Tax After IP Repatriation (With FDII)</w:t>
      </w:r>
    </w:p>
    <w:p>
      <w:r>
        <w:rPr>
          <w:b/>
        </w:rPr>
        <w:t>Termination of US Internal Revenue Code Section 367(d) Inclusions</w:t>
      </w:r>
      <w:r>
        <w:t>:</w:t>
      </w:r>
    </w:p>
    <w:p>
      <w:r>
        <w:t xml:space="preserve">Under </w:t>
      </w:r>
      <w:r>
        <w:rPr>
          <w:b/>
        </w:rPr>
        <w:t>T.D. 9994</w:t>
      </w:r>
      <w:r>
        <w:t xml:space="preserve">, repatriating the IP to GlobalDrill (U.S.) </w:t>
      </w:r>
      <w:r>
        <w:rPr>
          <w:b/>
        </w:rPr>
        <w:t>terminates</w:t>
      </w:r>
      <w:r>
        <w:t xml:space="preserve"> future US Internal Revenue Code Section 367(d) inclusions. GlobalDrill will no longer recognize the $8 million annual deemed royalty.</w:t>
      </w:r>
    </w:p>
    <w:p>
      <w:r>
        <w:rPr>
          <w:b/>
        </w:rPr>
        <w:t>U.S. Taxable Income</w:t>
      </w:r>
      <w:r>
        <w:t>:</w:t>
      </w:r>
    </w:p>
    <w:p>
      <w:pPr>
        <w:shd w:fill="F0F0F0"/>
        <w:spacing w:after="0" w:line="240" w:lineRule="auto"/>
      </w:pPr>
      <w:r>
        <w:rPr>
          <w:rFonts w:ascii="Courier New" w:hAnsi="Courier New"/>
          <w:sz w:val="20"/>
        </w:rPr>
        <w:t>Total revenue = $80,000,000</w:t>
      </w:r>
    </w:p>
    <w:p>
      <w:pPr>
        <w:shd w:fill="F0F0F0"/>
        <w:spacing w:after="0" w:line="240" w:lineRule="auto"/>
      </w:pPr>
      <w:r>
        <w:rPr>
          <w:rFonts w:ascii="Courier New" w:hAnsi="Courier New"/>
          <w:sz w:val="20"/>
        </w:rPr>
        <w:t>Less: COGS = $15,000,000</w:t>
      </w:r>
    </w:p>
    <w:p>
      <w:pPr>
        <w:shd w:fill="F0F0F0"/>
        <w:spacing w:after="0" w:line="240" w:lineRule="auto"/>
      </w:pPr>
      <w:r>
        <w:rPr>
          <w:rFonts w:ascii="Courier New" w:hAnsi="Courier New"/>
          <w:sz w:val="20"/>
        </w:rPr>
        <w:t>Less: Operating expenses = $20,000,000</w:t>
      </w:r>
    </w:p>
    <w:p>
      <w:pPr>
        <w:shd w:fill="F0F0F0"/>
        <w:spacing w:after="0" w:line="240" w:lineRule="auto"/>
      </w:pPr>
      <w:r>
        <w:rPr>
          <w:rFonts w:ascii="Courier New" w:hAnsi="Courier New"/>
          <w:sz w:val="20"/>
        </w:rPr>
        <w:t>Deduction-Eligible Income (DEI) = $45,000,000</w:t>
      </w:r>
    </w:p>
    <w:p/>
    <w:p>
      <w:r>
        <w:rPr>
          <w:b/>
        </w:rPr>
        <w:t>QBAI (Qualified Business Asset Investment)</w:t>
      </w:r>
      <w:r>
        <w:t>:</w:t>
      </w:r>
    </w:p>
    <w:p>
      <w:r>
        <w:t xml:space="preserve">Assume GlobalDrill has </w:t>
      </w:r>
      <w:r>
        <w:rPr>
          <w:b/>
        </w:rPr>
        <w:t>$10 million</w:t>
      </w:r>
      <w:r>
        <w:t xml:space="preserve"> in tangible depreciable assets (equipment, office space).</w:t>
      </w:r>
    </w:p>
    <w:p>
      <w:pPr>
        <w:shd w:fill="F0F0F0"/>
        <w:spacing w:after="0" w:line="240" w:lineRule="auto"/>
      </w:pPr>
      <w:r>
        <w:rPr>
          <w:rFonts w:ascii="Courier New" w:hAnsi="Courier New"/>
          <w:sz w:val="20"/>
        </w:rPr>
        <w:t>QBAI deduction = 10% × $10M = $1,000,000</w:t>
      </w:r>
    </w:p>
    <w:p/>
    <w:p>
      <w:r>
        <w:rPr>
          <w:b/>
        </w:rPr>
        <w:t>Deemed Intangible Income (DII)</w:t>
      </w:r>
      <w:r>
        <w:t>:</w:t>
      </w:r>
    </w:p>
    <w:p>
      <w:pPr>
        <w:shd w:fill="F0F0F0"/>
        <w:spacing w:after="0" w:line="240" w:lineRule="auto"/>
      </w:pPr>
      <w:r>
        <w:rPr>
          <w:rFonts w:ascii="Courier New" w:hAnsi="Courier New"/>
          <w:sz w:val="20"/>
        </w:rPr>
        <w:t>DII = DEI - QBAI deduction = $45M - $1M = $44M</w:t>
      </w:r>
    </w:p>
    <w:p/>
    <w:p>
      <w:r>
        <w:rPr>
          <w:b/>
        </w:rPr>
        <w:t>Foreign-Derived Ratio</w:t>
      </w:r>
      <w:r>
        <w:t>:</w:t>
      </w:r>
    </w:p>
    <w:p>
      <w:pPr>
        <w:shd w:fill="F0F0F0"/>
        <w:spacing w:after="0" w:line="240" w:lineRule="auto"/>
      </w:pPr>
      <w:r>
        <w:rPr>
          <w:rFonts w:ascii="Courier New" w:hAnsi="Courier New"/>
          <w:sz w:val="20"/>
        </w:rPr>
        <w:t>Foreign-derived revenue = $56M</w:t>
      </w:r>
    </w:p>
    <w:p>
      <w:pPr>
        <w:shd w:fill="F0F0F0"/>
        <w:spacing w:after="0" w:line="240" w:lineRule="auto"/>
      </w:pPr>
      <w:r>
        <w:rPr>
          <w:rFonts w:ascii="Courier New" w:hAnsi="Courier New"/>
          <w:sz w:val="20"/>
        </w:rPr>
        <w:t>Total revenue = $80M</w:t>
      </w:r>
    </w:p>
    <w:p>
      <w:pPr>
        <w:shd w:fill="F0F0F0"/>
        <w:spacing w:after="0" w:line="240" w:lineRule="auto"/>
      </w:pPr>
      <w:r>
        <w:rPr>
          <w:rFonts w:ascii="Courier New" w:hAnsi="Courier New"/>
          <w:sz w:val="20"/>
        </w:rPr>
        <w:t>Foreign-derived ratio = $56M / $80M = 70%</w:t>
      </w:r>
    </w:p>
    <w:p/>
    <w:p>
      <w:r>
        <w:rPr>
          <w:b/>
        </w:rPr>
        <w:t>Foreign-Derived Intangible Income (FDII)</w:t>
      </w:r>
      <w:r>
        <w:t>:</w:t>
      </w:r>
    </w:p>
    <w:p>
      <w:pPr>
        <w:shd w:fill="F0F0F0"/>
        <w:spacing w:after="0" w:line="240" w:lineRule="auto"/>
      </w:pPr>
      <w:r>
        <w:rPr>
          <w:rFonts w:ascii="Courier New" w:hAnsi="Courier New"/>
          <w:sz w:val="20"/>
        </w:rPr>
        <w:t>FDII = DII × Foreign-derived ratio</w:t>
      </w:r>
    </w:p>
    <w:p>
      <w:pPr>
        <w:shd w:fill="F0F0F0"/>
        <w:spacing w:after="0" w:line="240" w:lineRule="auto"/>
      </w:pPr>
      <w:r>
        <w:rPr>
          <w:rFonts w:ascii="Courier New" w:hAnsi="Courier New"/>
          <w:sz w:val="20"/>
        </w:rPr>
        <w:t>FDII = $44M × 70% = $30.8M</w:t>
      </w:r>
    </w:p>
    <w:p/>
    <w:p>
      <w:r>
        <w:rPr>
          <w:b/>
        </w:rPr>
        <w:t>FDII Deduction</w:t>
      </w:r>
      <w:r>
        <w:t>:</w:t>
      </w:r>
    </w:p>
    <w:p>
      <w:pPr>
        <w:shd w:fill="F0F0F0"/>
        <w:spacing w:after="0" w:line="240" w:lineRule="auto"/>
      </w:pPr>
      <w:r>
        <w:rPr>
          <w:rFonts w:ascii="Courier New" w:hAnsi="Courier New"/>
          <w:sz w:val="20"/>
        </w:rPr>
        <w:t>FDII deduction = 37.5% × $30.8M = $11.55M</w:t>
      </w:r>
    </w:p>
    <w:p/>
    <w:p>
      <w:r>
        <w:rPr>
          <w:b/>
        </w:rPr>
        <w:t>U.S. Taxable Income After FDII Deduction</w:t>
      </w:r>
      <w:r>
        <w:t>:</w:t>
      </w:r>
    </w:p>
    <w:p>
      <w:pPr>
        <w:shd w:fill="F0F0F0"/>
        <w:spacing w:after="0" w:line="240" w:lineRule="auto"/>
      </w:pPr>
      <w:r>
        <w:rPr>
          <w:rFonts w:ascii="Courier New" w:hAnsi="Courier New"/>
          <w:sz w:val="20"/>
        </w:rPr>
        <w:t>DEI = $45M</w:t>
      </w:r>
    </w:p>
    <w:p>
      <w:pPr>
        <w:shd w:fill="F0F0F0"/>
        <w:spacing w:after="0" w:line="240" w:lineRule="auto"/>
      </w:pPr>
      <w:r>
        <w:rPr>
          <w:rFonts w:ascii="Courier New" w:hAnsi="Courier New"/>
          <w:sz w:val="20"/>
        </w:rPr>
        <w:t>Less: FDII deduction = $11.55M</w:t>
      </w:r>
    </w:p>
    <w:p>
      <w:pPr>
        <w:shd w:fill="F0F0F0"/>
        <w:spacing w:after="0" w:line="240" w:lineRule="auto"/>
      </w:pPr>
      <w:r>
        <w:rPr>
          <w:rFonts w:ascii="Courier New" w:hAnsi="Courier New"/>
          <w:sz w:val="20"/>
        </w:rPr>
        <w:t>Taxable income = $33.45M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U.S. corporate tax at 21% = $7,025,000</w:t>
      </w:r>
    </w:p>
    <w:p/>
    <w:p>
      <w:r>
        <w:rPr>
          <w:b/>
        </w:rPr>
        <w:t>Effective Tax Rate on FDII</w:t>
      </w:r>
      <w:r>
        <w:t>:</w:t>
      </w:r>
    </w:p>
    <w:p>
      <w:pPr>
        <w:shd w:fill="F0F0F0"/>
        <w:spacing w:after="0" w:line="240" w:lineRule="auto"/>
      </w:pPr>
      <w:r>
        <w:rPr>
          <w:rFonts w:ascii="Courier New" w:hAnsi="Courier New"/>
          <w:sz w:val="20"/>
        </w:rPr>
        <w:t>Tax on $30.8M FDII = $30.8M × (21% × 62.5%) = $30.8M × 13.125% = $4,043,000</w:t>
      </w:r>
    </w:p>
    <w:p>
      <w:pPr>
        <w:shd w:fill="F0F0F0"/>
        <w:spacing w:after="0" w:line="240" w:lineRule="auto"/>
      </w:pPr>
      <w:r>
        <w:rPr>
          <w:rFonts w:ascii="Courier New" w:hAnsi="Courier New"/>
          <w:sz w:val="20"/>
        </w:rPr>
        <w:t>Tax on domestic income ($14.2M) = $14.2M × 21% = $2,982,000</w:t>
      </w:r>
    </w:p>
    <w:p>
      <w:pPr>
        <w:shd w:fill="F0F0F0"/>
        <w:spacing w:after="0" w:line="240" w:lineRule="auto"/>
      </w:pPr>
      <w:r>
        <w:rPr>
          <w:rFonts w:ascii="Courier New" w:hAnsi="Courier New"/>
          <w:sz w:val="20"/>
        </w:rPr>
        <w:t>Total U.S. tax = $7,025,000</w:t>
      </w:r>
    </w:p>
    <w:p>
      <w:pPr>
        <w:shd w:fill="F0F0F0"/>
        <w:spacing w:after="0" w:line="240" w:lineRule="auto"/>
      </w:pPr>
      <w:r>
        <w:rPr>
          <w:rFonts w:ascii="Courier New" w:hAnsi="Courier New"/>
          <w:sz w:val="20"/>
        </w:rPr>
        <w:t>Effective blended rate = 15.6%</w:t>
      </w:r>
    </w:p>
    <w:p/>
    <w:p>
      <w:r>
        <w:rPr>
          <w:b/>
        </w:rPr>
        <w:t>Step 3: Net Annual Tax Savings from Repatriation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Structure</w:t>
            </w:r>
          </w:p>
        </w:tc>
        <w:tc>
          <w:tcPr>
            <w:tcW w:type="dxa" w:w="2160"/>
          </w:tcPr>
          <w:p>
            <w:r>
              <w:rPr>
                <w:b/>
              </w:rPr>
            </w:r>
            <w:r>
              <w:rPr>
                <w:b/>
              </w:rPr>
              <w:t>Annual U.S. Tax</w:t>
            </w:r>
          </w:p>
        </w:tc>
        <w:tc>
          <w:tcPr>
            <w:tcW w:type="dxa" w:w="2160"/>
          </w:tcPr>
          <w:p>
            <w:r>
              <w:rPr>
                <w:b/>
              </w:rPr>
            </w:r>
            <w:r>
              <w:rPr>
                <w:b/>
              </w:rPr>
              <w:t>Annual Bermuda Tax</w:t>
            </w:r>
          </w:p>
        </w:tc>
        <w:tc>
          <w:tcPr>
            <w:tcW w:type="dxa" w:w="2160"/>
          </w:tcPr>
          <w:p>
            <w:r>
              <w:rPr>
                <w:b/>
              </w:rPr>
            </w:r>
            <w:r>
              <w:rPr>
                <w:b/>
              </w:rPr>
              <w:t>Total Annual Tax</w:t>
            </w:r>
          </w:p>
        </w:tc>
      </w:tr>
      <w:tr>
        <w:tc>
          <w:tcPr>
            <w:tcW w:type="dxa" w:w="2160"/>
          </w:tcPr>
          <w:p>
            <w:r/>
            <w:r>
              <w:rPr>
                <w:b/>
              </w:rPr>
              <w:t>Current (IP in Bermuda)</w:t>
            </w:r>
          </w:p>
        </w:tc>
        <w:tc>
          <w:tcPr>
            <w:tcW w:type="dxa" w:w="2160"/>
          </w:tcPr>
          <w:p>
            <w:r/>
            <w:r>
              <w:t>$1,680,000</w:t>
            </w:r>
          </w:p>
        </w:tc>
        <w:tc>
          <w:tcPr>
            <w:tcW w:type="dxa" w:w="2160"/>
          </w:tcPr>
          <w:p>
            <w:r/>
            <w:r>
              <w:t>$0</w:t>
            </w:r>
          </w:p>
        </w:tc>
        <w:tc>
          <w:tcPr>
            <w:tcW w:type="dxa" w:w="2160"/>
          </w:tcPr>
          <w:p>
            <w:r/>
            <w:r>
              <w:t>$1,680,000</w:t>
            </w:r>
          </w:p>
        </w:tc>
      </w:tr>
      <w:tr>
        <w:tc>
          <w:tcPr>
            <w:tcW w:type="dxa" w:w="2160"/>
          </w:tcPr>
          <w:p>
            <w:r/>
            <w:r>
              <w:rPr>
                <w:b/>
              </w:rPr>
              <w:t>Proposed (IP repatriated to U.S.)</w:t>
            </w:r>
          </w:p>
        </w:tc>
        <w:tc>
          <w:tcPr>
            <w:tcW w:type="dxa" w:w="2160"/>
          </w:tcPr>
          <w:p>
            <w:r/>
            <w:r>
              <w:t>$7,025,000</w:t>
            </w:r>
          </w:p>
        </w:tc>
        <w:tc>
          <w:tcPr>
            <w:tcW w:type="dxa" w:w="2160"/>
          </w:tcPr>
          <w:p>
            <w:r/>
            <w:r>
              <w:t>$0</w:t>
            </w:r>
          </w:p>
        </w:tc>
        <w:tc>
          <w:tcPr>
            <w:tcW w:type="dxa" w:w="2160"/>
          </w:tcPr>
          <w:p>
            <w:r/>
            <w:r>
              <w:t>$7,025,000</w:t>
            </w:r>
          </w:p>
        </w:tc>
      </w:tr>
      <w:tr>
        <w:tc>
          <w:tcPr>
            <w:tcW w:type="dxa" w:w="2160"/>
          </w:tcPr>
          <w:p>
            <w:r/>
            <w:r>
              <w:rPr>
                <w:b/>
              </w:rPr>
              <w:t>Net additional tax</w:t>
            </w:r>
          </w:p>
        </w:tc>
        <w:tc>
          <w:tcPr>
            <w:tcW w:type="dxa" w:w="2160"/>
          </w:tcPr>
          <w:p>
            <w:r/>
          </w:p>
        </w:tc>
        <w:tc>
          <w:tcPr>
            <w:tcW w:type="dxa" w:w="2160"/>
          </w:tcPr>
          <w:p>
            <w:r/>
          </w:p>
        </w:tc>
        <w:tc>
          <w:tcPr>
            <w:tcW w:type="dxa" w:w="2160"/>
          </w:tcPr>
          <w:p>
            <w:r/>
            <w:r>
              <w:rPr>
                <w:b/>
              </w:rPr>
              <w:t>$5,345,000</w:t>
            </w:r>
          </w:p>
        </w:tc>
      </w:tr>
    </w:tbl>
    <w:p/>
    <w:p>
      <w:r>
        <w:rPr>
          <w:b/>
        </w:rPr>
        <w:t>Result</w:t>
      </w:r>
      <w:r>
        <w:t xml:space="preserve">: Repatriation </w:t>
      </w:r>
      <w:r>
        <w:rPr>
          <w:b/>
        </w:rPr>
        <w:t>increases</w:t>
      </w:r>
      <w:r>
        <w:t xml:space="preserve"> annual tax by </w:t>
      </w:r>
      <w:r>
        <w:rPr>
          <w:b/>
        </w:rPr>
        <w:t>$5.345 million</w:t>
      </w:r>
      <w:r>
        <w:t>.</w:t>
      </w:r>
    </w:p>
    <w:p>
      <w:r>
        <w:rPr>
          <w:b/>
        </w:rPr>
        <w:t>Why the increase?</w:t>
      </w:r>
    </w:p>
    <w:p>
      <w:pPr>
        <w:pStyle w:val="ListBullet"/>
      </w:pPr>
      <w:r>
        <w:rPr>
          <w:b/>
        </w:rPr>
        <w:t>Current</w:t>
      </w:r>
      <w:r>
        <w:t>: Only $8M deemed royalty taxed at 21% = $1.68M</w:t>
      </w:r>
    </w:p>
    <w:p>
      <w:pPr>
        <w:pStyle w:val="ListBullet"/>
      </w:pPr>
      <w:r>
        <w:rPr>
          <w:b/>
        </w:rPr>
        <w:t>Proposed</w:t>
      </w:r>
      <w:r>
        <w:t>: Full $45M DEI taxed (after FDII deduction) = $7.025M</w:t>
      </w:r>
    </w:p>
    <w:p>
      <w:r>
        <w:t xml:space="preserve">Even with the FDII benefit, the </w:t>
      </w:r>
      <w:r>
        <w:rPr>
          <w:b/>
        </w:rPr>
        <w:t>full inclusion of IP income</w:t>
      </w:r>
      <w:r>
        <w:t xml:space="preserve"> in the U.S. results in significantly higher tax than the </w:t>
      </w:r>
      <w:r>
        <w:rPr>
          <w:b/>
        </w:rPr>
        <w:t>limited US Internal Revenue Code Section 367(d) deemed royalty</w:t>
      </w:r>
      <w:r>
        <w:t>.</w:t>
      </w:r>
    </w:p>
    <w:p>
      <w:r>
        <w:rPr>
          <w:b/>
        </w:rPr>
        <w:t>Step 4: Recalculation - Considering GILTI on Bermuda Income</w:t>
      </w:r>
    </w:p>
    <w:p>
      <w:r>
        <w:rPr>
          <w:b/>
        </w:rPr>
        <w:t>Critical Issue</w:t>
      </w:r>
      <w:r>
        <w:t xml:space="preserve">: The analysis above omitted </w:t>
      </w:r>
      <w:r>
        <w:rPr>
          <w:b/>
        </w:rPr>
        <w:t>GILTI taxation</w:t>
      </w:r>
      <w:r>
        <w:t xml:space="preserve"> of the Bermuda subsidiary's income under current law.</w:t>
      </w:r>
    </w:p>
    <w:p>
      <w:r>
        <w:rPr>
          <w:b/>
        </w:rPr>
        <w:t>Revised Current Structure Analysis (Including GILTI)</w:t>
      </w:r>
      <w:r>
        <w:t>:</w:t>
      </w:r>
    </w:p>
    <w:p>
      <w:r>
        <w:rPr>
          <w:b/>
        </w:rPr>
        <w:t>Bermuda Subsidiary Income</w:t>
      </w:r>
      <w:r>
        <w:t>:</w:t>
      </w:r>
    </w:p>
    <w:p>
      <w:pPr>
        <w:shd w:fill="F0F0F0"/>
        <w:spacing w:after="0" w:line="240" w:lineRule="auto"/>
      </w:pPr>
      <w:r>
        <w:rPr>
          <w:rFonts w:ascii="Courier New" w:hAnsi="Courier New"/>
          <w:sz w:val="20"/>
        </w:rPr>
        <w:t>Revenue = $80M</w:t>
      </w:r>
    </w:p>
    <w:p>
      <w:pPr>
        <w:shd w:fill="F0F0F0"/>
        <w:spacing w:after="0" w:line="240" w:lineRule="auto"/>
      </w:pPr>
      <w:r>
        <w:rPr>
          <w:rFonts w:ascii="Courier New" w:hAnsi="Courier New"/>
          <w:sz w:val="20"/>
        </w:rPr>
        <w:t>COGS = $15M</w:t>
      </w:r>
    </w:p>
    <w:p>
      <w:pPr>
        <w:shd w:fill="F0F0F0"/>
        <w:spacing w:after="0" w:line="240" w:lineRule="auto"/>
      </w:pPr>
      <w:r>
        <w:rPr>
          <w:rFonts w:ascii="Courier New" w:hAnsi="Courier New"/>
          <w:sz w:val="20"/>
        </w:rPr>
        <w:t>Operating expenses = $20M</w:t>
      </w:r>
    </w:p>
    <w:p>
      <w:pPr>
        <w:shd w:fill="F0F0F0"/>
        <w:spacing w:after="0" w:line="240" w:lineRule="auto"/>
      </w:pPr>
      <w:r>
        <w:rPr>
          <w:rFonts w:ascii="Courier New" w:hAnsi="Courier New"/>
          <w:sz w:val="20"/>
        </w:rPr>
        <w:t>Net income = $45M</w:t>
      </w:r>
    </w:p>
    <w:p>
      <w:pPr>
        <w:shd w:fill="F0F0F0"/>
        <w:spacing w:after="0" w:line="240" w:lineRule="auto"/>
      </w:pPr>
      <w:r>
        <w:rPr>
          <w:rFonts w:ascii="Courier New" w:hAnsi="Courier New"/>
          <w:sz w:val="20"/>
        </w:rPr>
        <w:t>Bermuda tax = $0</w:t>
      </w:r>
    </w:p>
    <w:p>
      <w:pPr>
        <w:shd w:fill="F0F0F0"/>
        <w:spacing w:after="0" w:line="240" w:lineRule="auto"/>
      </w:pPr>
      <w:r>
        <w:rPr>
          <w:rFonts w:ascii="Courier New" w:hAnsi="Courier New"/>
          <w:sz w:val="20"/>
        </w:rPr>
        <w:t>After-tax income = $45M</w:t>
      </w:r>
    </w:p>
    <w:p/>
    <w:p>
      <w:r>
        <w:rPr>
          <w:b/>
        </w:rPr>
        <w:t>GILTI Inclusion (U.S. Parent)</w:t>
      </w:r>
      <w:r>
        <w:t>:</w:t>
      </w:r>
    </w:p>
    <w:p>
      <w:pPr>
        <w:shd w:fill="F0F0F0"/>
        <w:spacing w:after="0" w:line="240" w:lineRule="auto"/>
      </w:pPr>
      <w:r>
        <w:rPr>
          <w:rFonts w:ascii="Courier New" w:hAnsi="Courier New"/>
          <w:sz w:val="20"/>
        </w:rPr>
        <w:t>CFC net income = $45M</w:t>
      </w:r>
    </w:p>
    <w:p>
      <w:pPr>
        <w:shd w:fill="F0F0F0"/>
        <w:spacing w:after="0" w:line="240" w:lineRule="auto"/>
      </w:pPr>
      <w:r>
        <w:rPr>
          <w:rFonts w:ascii="Courier New" w:hAnsi="Courier New"/>
          <w:sz w:val="20"/>
        </w:rPr>
        <w:t>Less: 10% × QBAI (assume $10M tangible assets) = $1M</w:t>
      </w:r>
    </w:p>
    <w:p>
      <w:pPr>
        <w:shd w:fill="F0F0F0"/>
        <w:spacing w:after="0" w:line="240" w:lineRule="auto"/>
      </w:pPr>
      <w:r>
        <w:rPr>
          <w:rFonts w:ascii="Courier New" w:hAnsi="Courier New"/>
          <w:sz w:val="20"/>
        </w:rPr>
        <w:t>GILTI = $44M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US Internal Revenue Code Section 250 deduction (50%) = $22M</w:t>
      </w:r>
    </w:p>
    <w:p>
      <w:pPr>
        <w:shd w:fill="F0F0F0"/>
        <w:spacing w:after="0" w:line="240" w:lineRule="auto"/>
      </w:pPr>
      <w:r>
        <w:rPr>
          <w:rFonts w:ascii="Courier New" w:hAnsi="Courier New"/>
          <w:sz w:val="20"/>
        </w:rPr>
        <w:t>Taxable GILTI = $22M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U.S. tax at 21% = $4,620,000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Foreign tax credit: $0 (Bermuda has no tax)</w:t>
      </w:r>
    </w:p>
    <w:p>
      <w:pPr>
        <w:shd w:fill="F0F0F0"/>
        <w:spacing w:after="0" w:line="240" w:lineRule="auto"/>
      </w:pPr>
      <w:r>
        <w:rPr>
          <w:rFonts w:ascii="Courier New" w:hAnsi="Courier New"/>
          <w:sz w:val="20"/>
        </w:rPr>
        <w:t>Net U.S. GILTI tax = $4,620,000</w:t>
      </w:r>
    </w:p>
    <w:p/>
    <w:p>
      <w:r>
        <w:rPr>
          <w:b/>
        </w:rPr>
        <w:t>Revised Total Group Tax (Current Structure)</w:t>
      </w:r>
      <w:r>
        <w:t>:</w:t>
      </w:r>
    </w:p>
    <w:p>
      <w:pPr>
        <w:shd w:fill="F0F0F0"/>
        <w:spacing w:after="0" w:line="240" w:lineRule="auto"/>
      </w:pPr>
      <w:r>
        <w:rPr>
          <w:rFonts w:ascii="Courier New" w:hAnsi="Courier New"/>
          <w:sz w:val="20"/>
        </w:rPr>
        <w:t>U.S. US Internal Revenue Code Section 367(d) tax = $1,680,000</w:t>
      </w:r>
    </w:p>
    <w:p>
      <w:pPr>
        <w:shd w:fill="F0F0F0"/>
        <w:spacing w:after="0" w:line="240" w:lineRule="auto"/>
      </w:pPr>
      <w:r>
        <w:rPr>
          <w:rFonts w:ascii="Courier New" w:hAnsi="Courier New"/>
          <w:sz w:val="20"/>
        </w:rPr>
        <w:t>U.S. GILTI tax = $4,620,000</w:t>
      </w:r>
    </w:p>
    <w:p>
      <w:pPr>
        <w:shd w:fill="F0F0F0"/>
        <w:spacing w:after="0" w:line="240" w:lineRule="auto"/>
      </w:pPr>
      <w:r>
        <w:rPr>
          <w:rFonts w:ascii="Courier New" w:hAnsi="Courier New"/>
          <w:sz w:val="20"/>
        </w:rPr>
        <w:t>Total = $6,300,000</w:t>
      </w:r>
    </w:p>
    <w:p/>
    <w:p>
      <w:r>
        <w:rPr>
          <w:b/>
        </w:rPr>
        <w:t>Revised Comparison</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Structure</w:t>
            </w:r>
          </w:p>
        </w:tc>
        <w:tc>
          <w:tcPr>
            <w:tcW w:type="dxa" w:w="2880"/>
          </w:tcPr>
          <w:p>
            <w:r>
              <w:rPr>
                <w:b/>
              </w:rPr>
            </w:r>
            <w:r>
              <w:rPr>
                <w:b/>
              </w:rPr>
              <w:t>Annual U.S. Tax</w:t>
            </w:r>
          </w:p>
        </w:tc>
        <w:tc>
          <w:tcPr>
            <w:tcW w:type="dxa" w:w="2880"/>
          </w:tcPr>
          <w:p>
            <w:r>
              <w:rPr>
                <w:b/>
              </w:rPr>
            </w:r>
            <w:r>
              <w:rPr>
                <w:b/>
              </w:rPr>
              <w:t>Total Annual Tax</w:t>
            </w:r>
          </w:p>
        </w:tc>
      </w:tr>
      <w:tr>
        <w:tc>
          <w:tcPr>
            <w:tcW w:type="dxa" w:w="2880"/>
          </w:tcPr>
          <w:p>
            <w:r/>
            <w:r>
              <w:rPr>
                <w:b/>
              </w:rPr>
              <w:t>Current (IP in Bermuda, with GILTI)</w:t>
            </w:r>
          </w:p>
        </w:tc>
        <w:tc>
          <w:tcPr>
            <w:tcW w:type="dxa" w:w="2880"/>
          </w:tcPr>
          <w:p>
            <w:r/>
            <w:r>
              <w:t>$6,300,000</w:t>
            </w:r>
          </w:p>
        </w:tc>
        <w:tc>
          <w:tcPr>
            <w:tcW w:type="dxa" w:w="2880"/>
          </w:tcPr>
          <w:p>
            <w:r/>
            <w:r>
              <w:t>$6,300,000</w:t>
            </w:r>
          </w:p>
        </w:tc>
      </w:tr>
      <w:tr>
        <w:tc>
          <w:tcPr>
            <w:tcW w:type="dxa" w:w="2880"/>
          </w:tcPr>
          <w:p>
            <w:r/>
            <w:r>
              <w:rPr>
                <w:b/>
              </w:rPr>
              <w:t>Proposed (IP repatriated to U.S., with FDII)</w:t>
            </w:r>
          </w:p>
        </w:tc>
        <w:tc>
          <w:tcPr>
            <w:tcW w:type="dxa" w:w="2880"/>
          </w:tcPr>
          <w:p>
            <w:r/>
            <w:r>
              <w:t>$7,025,000</w:t>
            </w:r>
          </w:p>
        </w:tc>
        <w:tc>
          <w:tcPr>
            <w:tcW w:type="dxa" w:w="2880"/>
          </w:tcPr>
          <w:p>
            <w:r/>
            <w:r>
              <w:t>$7,025,000</w:t>
            </w:r>
          </w:p>
        </w:tc>
      </w:tr>
      <w:tr>
        <w:tc>
          <w:tcPr>
            <w:tcW w:type="dxa" w:w="2880"/>
          </w:tcPr>
          <w:p>
            <w:r/>
            <w:r>
              <w:rPr>
                <w:b/>
              </w:rPr>
              <w:t>Net additional tax</w:t>
            </w:r>
          </w:p>
        </w:tc>
        <w:tc>
          <w:tcPr>
            <w:tcW w:type="dxa" w:w="2880"/>
          </w:tcPr>
          <w:p>
            <w:r/>
          </w:p>
        </w:tc>
        <w:tc>
          <w:tcPr>
            <w:tcW w:type="dxa" w:w="2880"/>
          </w:tcPr>
          <w:p>
            <w:r/>
            <w:r>
              <w:rPr>
                <w:b/>
              </w:rPr>
              <w:t>$725,000</w:t>
            </w:r>
          </w:p>
        </w:tc>
      </w:tr>
    </w:tbl>
    <w:p/>
    <w:p>
      <w:r>
        <w:rPr>
          <w:b/>
        </w:rPr>
        <w:t>Revised Conclusion</w:t>
      </w:r>
      <w:r>
        <w:t xml:space="preserve">: After properly accounting for </w:t>
      </w:r>
      <w:r>
        <w:rPr>
          <w:b/>
        </w:rPr>
        <w:t>GILTI</w:t>
      </w:r>
      <w:r>
        <w:t xml:space="preserve">, repatriation increases annual tax by </w:t>
      </w:r>
      <w:r>
        <w:rPr>
          <w:b/>
        </w:rPr>
        <w:t>$725,000</w:t>
      </w:r>
      <w:r>
        <w:t>, a much smaller difference.</w:t>
      </w:r>
    </w:p>
    <w:p>
      <w:r>
        <w:rPr>
          <w:b/>
        </w:rPr>
        <w:t>Step 5: Qualitative Factors Supporting Repatriation</w:t>
      </w:r>
    </w:p>
    <w:p>
      <w:r>
        <w:t xml:space="preserve">Despite the </w:t>
      </w:r>
      <w:r>
        <w:rPr>
          <w:b/>
        </w:rPr>
        <w:t>$725,000 annual tax increase</w:t>
      </w:r>
      <w:r>
        <w:t>, GlobalDrill should consider repatriation for:</w:t>
      </w:r>
    </w:p>
    <w:p>
      <w:pPr>
        <w:pStyle w:val="ListNumber"/>
      </w:pPr>
      <w:r>
        <w:rPr>
          <w:b/>
        </w:rPr>
        <w:t>Compliance simplification</w:t>
      </w:r>
      <w:r>
        <w:t>:</w:t>
      </w:r>
    </w:p>
    <w:p>
      <w:pPr>
        <w:pStyle w:val="ListBullet"/>
        <w:ind w:left="360"/>
      </w:pPr>
      <w:r>
        <w:t xml:space="preserve">Eliminates </w:t>
      </w:r>
      <w:r>
        <w:rPr>
          <w:b/>
        </w:rPr>
        <w:t>annual US Internal Revenue Code Section 367(d) calculations</w:t>
      </w:r>
      <w:r>
        <w:t xml:space="preserve"> and reporting</w:t>
      </w:r>
    </w:p>
    <w:p>
      <w:pPr>
        <w:pStyle w:val="ListBullet"/>
        <w:ind w:left="360"/>
      </w:pPr>
      <w:r>
        <w:t xml:space="preserve">Eliminates </w:t>
      </w:r>
      <w:r>
        <w:rPr>
          <w:b/>
        </w:rPr>
        <w:t>GILTI calculations</w:t>
      </w:r>
      <w:r>
        <w:t xml:space="preserve"> and CFC compliance (Form 5471)</w:t>
      </w:r>
    </w:p>
    <w:p>
      <w:pPr>
        <w:pStyle w:val="ListBullet"/>
        <w:ind w:left="360"/>
      </w:pPr>
      <w:r>
        <w:t xml:space="preserve">Reduces </w:t>
      </w:r>
      <w:r>
        <w:rPr>
          <w:b/>
        </w:rPr>
        <w:t>transfer pricing documentation</w:t>
      </w:r>
      <w:r>
        <w:t xml:space="preserve"> burden</w:t>
      </w:r>
    </w:p>
    <w:p>
      <w:pPr>
        <w:pStyle w:val="ListNumber"/>
      </w:pPr>
      <w:r>
        <w:rPr>
          <w:b/>
        </w:rPr>
        <w:t>Access to U.S. R&amp;D incentives</w:t>
      </w:r>
      <w:r>
        <w:t>:</w:t>
      </w:r>
    </w:p>
    <w:p>
      <w:pPr>
        <w:pStyle w:val="ListBullet"/>
        <w:ind w:left="360"/>
      </w:pPr>
      <w:r>
        <w:rPr>
          <w:b/>
        </w:rPr>
        <w:t>R&amp;D tax credit</w:t>
      </w:r>
      <w:r>
        <w:t xml:space="preserve"> (up to 20% of qualified R&amp;D expenses)</w:t>
      </w:r>
    </w:p>
    <w:p>
      <w:pPr>
        <w:pStyle w:val="ListBullet"/>
        <w:ind w:left="360"/>
      </w:pPr>
      <w:r>
        <w:rPr>
          <w:b/>
        </w:rPr>
        <w:t>US Internal Revenue Code Section 174 deduction</w:t>
      </w:r>
      <w:r>
        <w:t xml:space="preserve"> (amortization of R&amp;D costs over 5 years)</w:t>
      </w:r>
    </w:p>
    <w:p>
      <w:pPr>
        <w:pStyle w:val="ListNumber"/>
      </w:pPr>
      <w:r>
        <w:rPr>
          <w:b/>
        </w:rPr>
        <w:t>Elimination of BEPS/Pillar Two risk</w:t>
      </w:r>
      <w:r>
        <w:t>:</w:t>
      </w:r>
    </w:p>
    <w:p>
      <w:pPr>
        <w:pStyle w:val="ListBullet"/>
        <w:ind w:left="360"/>
      </w:pPr>
      <w:r>
        <w:rPr>
          <w:b/>
        </w:rPr>
        <w:t>OECD Pillar Two</w:t>
      </w:r>
      <w:r>
        <w:t xml:space="preserve"> would impose </w:t>
      </w:r>
      <w:r>
        <w:rPr>
          <w:b/>
        </w:rPr>
        <w:t>15% minimum tax</w:t>
      </w:r>
      <w:r>
        <w:t xml:space="preserve"> on Bermuda income, eliminating current tax advantage</w:t>
      </w:r>
    </w:p>
    <w:p>
      <w:pPr>
        <w:pStyle w:val="ListBullet"/>
        <w:ind w:left="360"/>
      </w:pPr>
      <w:r>
        <w:t>Repatriating proactively avoids future compliance with complex Pillar Two rules</w:t>
      </w:r>
    </w:p>
    <w:p>
      <w:pPr>
        <w:pStyle w:val="ListNumber"/>
      </w:pPr>
      <w:r>
        <w:rPr>
          <w:b/>
        </w:rPr>
        <w:t>Reputational considerations</w:t>
      </w:r>
      <w:r>
        <w:t>:</w:t>
      </w:r>
    </w:p>
    <w:p>
      <w:pPr>
        <w:pStyle w:val="ListBullet"/>
        <w:ind w:left="360"/>
      </w:pPr>
      <w:r>
        <w:t xml:space="preserve">Reduces exposure to </w:t>
      </w:r>
      <w:r>
        <w:rPr>
          <w:b/>
        </w:rPr>
        <w:t>public criticism</w:t>
      </w:r>
      <w:r>
        <w:t xml:space="preserve"> of offshore tax structures</w:t>
      </w:r>
    </w:p>
    <w:p>
      <w:pPr>
        <w:pStyle w:val="ListBullet"/>
        <w:ind w:left="360"/>
      </w:pPr>
      <w:r>
        <w:t xml:space="preserve">Aligns with </w:t>
      </w:r>
      <w:r>
        <w:rPr>
          <w:b/>
        </w:rPr>
        <w:t>ESG (Environmental, Social, Governance)</w:t>
      </w:r>
      <w:r>
        <w:t xml:space="preserve"> commitments</w:t>
      </w:r>
    </w:p>
    <w:p>
      <w:pPr>
        <w:pStyle w:val="ListNumber"/>
      </w:pPr>
      <w:r>
        <w:rPr>
          <w:b/>
        </w:rPr>
        <w:t>Operational efficiency</w:t>
      </w:r>
      <w:r>
        <w:t>:</w:t>
      </w:r>
    </w:p>
    <w:p>
      <w:pPr>
        <w:pStyle w:val="ListBullet"/>
        <w:ind w:left="360"/>
      </w:pPr>
      <w:r>
        <w:rPr>
          <w:b/>
        </w:rPr>
        <w:t>Co-locates IP ownership</w:t>
      </w:r>
      <w:r>
        <w:t xml:space="preserve"> with R&amp;D personnel (based in U.S.)</w:t>
      </w:r>
    </w:p>
    <w:p>
      <w:pPr>
        <w:pStyle w:val="ListBullet"/>
        <w:ind w:left="360"/>
      </w:pPr>
      <w:r>
        <w:t xml:space="preserve">Simplifies </w:t>
      </w:r>
      <w:r>
        <w:rPr>
          <w:b/>
        </w:rPr>
        <w:t>contractual arrangements</w:t>
      </w:r>
      <w:r>
        <w:t xml:space="preserve"> with customers</w:t>
      </w:r>
    </w:p>
    <w:p>
      <w:pPr>
        <w:pStyle w:val="Heading3"/>
      </w:pPr>
      <w:r>
        <w:t>Recommendation</w:t>
      </w:r>
    </w:p>
    <w:p>
      <w:r>
        <w:rPr>
          <w:b/>
        </w:rPr>
        <w:t>Proceed with IP repatriation</w:t>
      </w:r>
      <w:r>
        <w:t xml:space="preserve"> despite the </w:t>
      </w:r>
      <w:r>
        <w:rPr>
          <w:b/>
        </w:rPr>
        <w:t>$725,000 annual tax cost</w:t>
      </w:r>
      <w:r>
        <w:t xml:space="preserve"> because:</w:t>
      </w:r>
    </w:p>
    <w:p>
      <w:pPr>
        <w:pStyle w:val="ListNumber"/>
      </w:pPr>
      <w:r>
        <w:rPr>
          <w:b/>
        </w:rPr>
        <w:t>Long-term risk mitigation</w:t>
      </w:r>
      <w:r>
        <w:t>: Pillar Two will likely eliminate the Bermuda advantage within 2-3 years</w:t>
      </w:r>
    </w:p>
    <w:p>
      <w:pPr>
        <w:pStyle w:val="ListNumber"/>
      </w:pPr>
      <w:r>
        <w:rPr>
          <w:b/>
        </w:rPr>
        <w:t>Compliance savings</w:t>
      </w:r>
      <w:r>
        <w:t xml:space="preserve">: Estimated annual savings of </w:t>
      </w:r>
      <w:r>
        <w:rPr>
          <w:b/>
        </w:rPr>
        <w:t>$250,000-$500,000</w:t>
      </w:r>
      <w:r>
        <w:t xml:space="preserve"> in tax compliance and transfer pricing documentation costs</w:t>
      </w:r>
    </w:p>
    <w:p>
      <w:pPr>
        <w:pStyle w:val="ListNumber"/>
      </w:pPr>
      <w:r>
        <w:rPr>
          <w:b/>
        </w:rPr>
        <w:t>R&amp;D credit benefit</w:t>
      </w:r>
      <w:r>
        <w:t xml:space="preserve">: Potential </w:t>
      </w:r>
      <w:r>
        <w:rPr>
          <w:b/>
        </w:rPr>
        <w:t>$500,000-$1 million</w:t>
      </w:r>
      <w:r>
        <w:t xml:space="preserve"> annual R&amp;D credit on future IP enhancements</w:t>
      </w:r>
    </w:p>
    <w:p>
      <w:pPr>
        <w:pStyle w:val="ListNumber"/>
      </w:pPr>
      <w:r>
        <w:rPr>
          <w:b/>
        </w:rPr>
        <w:t>Operational alignment</w:t>
      </w:r>
      <w:r>
        <w:t>: Simplifies structure and aligns ownership with value creation</w:t>
      </w:r>
    </w:p>
    <w:p>
      <w:r>
        <w:rPr>
          <w:b/>
        </w:rPr>
        <w:t>Net annual cost after accounting for benefits</w:t>
      </w:r>
      <w:r>
        <w:t xml:space="preserve">: </w:t>
      </w:r>
      <w:r>
        <w:rPr>
          <w:b/>
        </w:rPr>
        <w:t>$0-$475,000</w:t>
      </w:r>
      <w:r>
        <w:t xml:space="preserve"> (vs. $725,000 gross cost), which is a reasonable price for reduced risk and simplified compliance.</w:t>
      </w:r>
    </w:p>
    <w:p>
      <w:r>
        <w:rPr>
          <w:b/>
        </w:rPr>
        <w:t>Implementation Steps</w:t>
      </w:r>
      <w:r>
        <w:t>:</w:t>
      </w:r>
    </w:p>
    <w:p>
      <w:pPr>
        <w:pStyle w:val="ListNumber"/>
      </w:pPr>
      <w:r>
        <w:rPr>
          <w:b/>
        </w:rPr>
        <w:t>File election under T.D. 9994</w:t>
      </w:r>
      <w:r>
        <w:t xml:space="preserve"> to terminate US Internal Revenue Code Section 367(d) inclusions</w:t>
      </w:r>
    </w:p>
    <w:p>
      <w:pPr>
        <w:pStyle w:val="ListNumber"/>
      </w:pPr>
      <w:r>
        <w:rPr>
          <w:b/>
        </w:rPr>
        <w:t>Transfer IP</w:t>
      </w:r>
      <w:r>
        <w:t xml:space="preserve"> from Bermuda to U.S. (likely as a liquidating distribution or contribution)</w:t>
      </w:r>
    </w:p>
    <w:p>
      <w:pPr>
        <w:pStyle w:val="ListNumber"/>
      </w:pPr>
      <w:r>
        <w:rPr>
          <w:b/>
        </w:rPr>
        <w:t>Obtain independent valuation</w:t>
      </w:r>
      <w:r>
        <w:t xml:space="preserve"> to support transfer pricing (IP value may have changed since 2015)</w:t>
      </w:r>
    </w:p>
    <w:p>
      <w:pPr>
        <w:pStyle w:val="ListNumber"/>
      </w:pPr>
      <w:r>
        <w:rPr>
          <w:b/>
        </w:rPr>
        <w:t>Document FDII eligibility</w:t>
      </w:r>
      <w:r>
        <w:t>: Ensure foreign-derived revenue is properly substantiated</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