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Structuring technical service operations</w:t>
      </w:r>
    </w:p>
    <w:p>
      <w:pPr>
        <w:pStyle w:val="Heading1"/>
      </w:pPr>
      <w:r>
        <w:t>Structuring Technical Service Operations in Energy Resources</w:t>
      </w:r>
    </w:p>
    <w:p>
      <w:pPr>
        <w:pStyle w:val="Heading2"/>
      </w:pPr>
      <w:r>
        <w:t>1. Core Framework: Service Structuring Options</w:t>
      </w:r>
    </w:p>
    <w:p>
      <w:r>
        <w:t>**Technical service operations** in the energy sector encompass a wide range of specialized activities including seismic surveys, drilling operations, engineering services, maintenance, and operational support. The **structuring of these operations** from a tax perspective is critical to achieving operational efficiency while minimizing global tax costs and compliance risks.</w:t>
      </w:r>
    </w:p>
    <w:p>
      <w:pPr>
        <w:pStyle w:val="Heading3"/>
      </w:pPr>
      <w:r>
        <w:t>1.1 Service Delivery Models Overview</w:t>
      </w:r>
    </w:p>
    <w:p>
      <w:r>
        <w:t>Energy companies have multiple options for structuring technical service delivery across their global operations. The choice of structure significantly impacts:</w:t>
      </w:r>
    </w:p>
    <w:p>
      <w:r>
        <w:t>- **Effective tax rate** on service operations</w:t>
      </w:r>
    </w:p>
    <w:p>
      <w:r>
        <w:t>- **Permanent establishment (PE) exposure** in service recipient countries</w:t>
      </w:r>
    </w:p>
    <w:p>
      <w:r>
        <w:t>- **Withholding tax (WHT)** on cross-border payments</w:t>
      </w:r>
    </w:p>
    <w:p>
      <w:r>
        <w:t>- **Transfer pricing (TP) complexity** and documentation requirements</w:t>
      </w:r>
    </w:p>
    <w:p>
      <w:r>
        <w:t>- **Substance and compliance obligations**</w:t>
      </w:r>
    </w:p>
    <w:p>
      <w:r>
        <w:t>**Key Structuring Options**:</w:t>
      </w:r>
    </w:p>
    <w:p>
      <w:r>
        <w:t>1. **Direct Provision Model**: Parent company provides services directly to subsidiaries/operations</w:t>
      </w:r>
    </w:p>
    <w:p>
      <w:r>
        <w:t>2. **Service Company Structure**: Dedicated service entity provides services to group companies</w:t>
      </w:r>
    </w:p>
    <w:p>
      <w:r>
        <w:t>3. **Subcontracting Arrangement**: Services outsourced to third-party providers</w:t>
      </w:r>
    </w:p>
    <w:p>
      <w:r>
        <w:t>4. **Secondment Structure**: Personnel seconded from one group entity to another</w:t>
      </w:r>
    </w:p>
    <w:p>
      <w:r>
        <w:t>5. **Joint Service Arrangements**: Shared service centers or regional hubs serving multiple entities</w:t>
      </w:r>
    </w:p>
    <w:p>
      <w:pPr>
        <w:pStyle w:val="Heading3"/>
      </w:pPr>
      <w:r>
        <w:t>1.2 Structure Comparison Table</w:t>
      </w:r>
    </w:p>
    <w:p>
      <w:r>
        <w:t>| **Structure Type** | **Tax Treatment** | **WHT Exposure** | **PE Risk** | **Transfer Pricing** | **Substance Required** | **Typical Application** |</w:t>
      </w:r>
    </w:p>
    <w:p>
      <w:r>
        <w:t>|-------------------|-------------------|------------------|-------------|---------------------|------------------------|------------------------|</w:t>
      </w:r>
    </w:p>
    <w:p>
      <w:r>
        <w:t>| **Direct Provision** | Service income taxed in provider's jurisdiction | High (direct fees subject to WHT) | High (service PE risk) | Full transfer pricing documentation required | Limited (project basis) | Ad hoc technical services |</w:t>
      </w:r>
    </w:p>
    <w:p>
      <w:r>
        <w:t>| **Service Company** | Profits taxed in service co. location | Medium (depends on treaty) | Medium (can be managed) | Cost-plus markup required | High (operational substance) | Centralized technical services |</w:t>
      </w:r>
    </w:p>
    <w:p>
      <w:r>
        <w:t>| **Subcontracting** | Third-party bears tax burden | None for group | Low (third party's risk) | Arm's length price from third party | None for group | Specialized services outside core competence |</w:t>
      </w:r>
    </w:p>
    <w:p>
      <w:r>
        <w:t>| **Secondment** | Salary cost recovery only | Low/None (reimbursement) | Very Low (no profit element) | Cost recovery basis | Medium (employee substance) | Personnel deployment |</w:t>
      </w:r>
    </w:p>
    <w:p>
      <w:r>
        <w:t>| **Regional Hub** | Hub jurisdiction taxation | Low (treaty network) | Controlled through structure | Hub markup required | Very High (regional substance) | Multi-country service provision |</w:t>
      </w:r>
    </w:p>
    <w:p>
      <w:pPr>
        <w:pStyle w:val="Heading3"/>
      </w:pPr>
      <w:r>
        <w:t>1.3 Tax Efficiency Considerations</w:t>
      </w:r>
    </w:p>
    <w:p>
      <w:r>
        <w:t>**Primary Tax Objectives**:</w:t>
      </w:r>
    </w:p>
    <w:p>
      <w:r>
        <w:t>- **Minimize global effective tax rate** on service profits</w:t>
      </w:r>
    </w:p>
    <w:p>
      <w:r>
        <w:t>- **Optimize WHT** on cross-border service payments</w:t>
      </w:r>
    </w:p>
    <w:p>
      <w:r>
        <w:t>- **Avoid unintended PE creation** in high-tax jurisdictions</w:t>
      </w:r>
    </w:p>
    <w:p>
      <w:r>
        <w:t>- **Achieve tax-efficient repatriation** of service profits</w:t>
      </w:r>
    </w:p>
    <w:p>
      <w:r>
        <w:t>- **Comply with substance requirements** (post-**Base Erosion and Profit Shifting (BEPS)** environment)</w:t>
      </w:r>
    </w:p>
    <w:p>
      <w:r>
        <w:t>- **Manage Pillar Two implications** (15% minimum tax)</w:t>
      </w:r>
    </w:p>
    <w:p>
      <w:r>
        <w:t>**Critical Success Factors**:</w:t>
      </w:r>
    </w:p>
    <w:p>
      <w:r>
        <w:t>- **Treaty network access**: Location with comprehensive treaty network reduces WHT</w:t>
      </w:r>
    </w:p>
    <w:p>
      <w:r>
        <w:t>- **Operational substance**: Real economic activity to support profit allocation</w:t>
      </w:r>
    </w:p>
    <w:p>
      <w:r>
        <w:t>- **Transfer pricing defensibility**: Market-aligned service fees and markups</w:t>
      </w:r>
    </w:p>
    <w:p>
      <w:r>
        <w:t>- **PE risk management**: Structure to avoid fixed place or service PE triggers</w:t>
      </w:r>
    </w:p>
    <w:p>
      <w:r>
        <w:t>- **Commercial rationale**: Business justification beyond tax considerations</w:t>
      </w:r>
    </w:p>
    <w:p>
      <w:pPr>
        <w:pStyle w:val="Heading2"/>
      </w:pPr>
      <w:r>
        <w:t>2. Technical Rules and Implementation</w:t>
      </w:r>
    </w:p>
    <w:p>
      <w:pPr>
        <w:pStyle w:val="Heading3"/>
      </w:pPr>
      <w:r>
        <w:t>2.1 Service Company Structures</w:t>
      </w:r>
    </w:p>
    <w:p>
      <w:r>
        <w:t>**Service Company Design Principles**:</w:t>
      </w:r>
    </w:p>
    <w:p>
      <w:r>
        <w:t>A **captive service company** is a group entity established to provide technical services to affiliated companies. Properly structured service companies can achieve:</w:t>
      </w:r>
    </w:p>
    <w:p>
      <w:r>
        <w:t>- Centralized expertise and cost efficiency</w:t>
      </w:r>
    </w:p>
    <w:p>
      <w:r>
        <w:t>- Reduced WHT through favorable treaty network</w:t>
      </w:r>
    </w:p>
    <w:p>
      <w:r>
        <w:t>- Controlled PE exposure through substance and activity management</w:t>
      </w:r>
    </w:p>
    <w:p>
      <w:r>
        <w:t>- Simplified transfer pricing (consistent markup approach)</w:t>
      </w:r>
    </w:p>
    <w:p>
      <w:r>
        <w:t>**Legal Form Considerations**:</w:t>
      </w:r>
    </w:p>
    <w:p>
      <w:r>
        <w:t>- **Limited liability company**: Standard corporate form with tax transparency options</w:t>
      </w:r>
    </w:p>
    <w:p>
      <w:r>
        <w:t>- **Branch structure**: Extension of parent with attribution of profits</w:t>
      </w:r>
    </w:p>
    <w:p>
      <w:r>
        <w:t>- **Partnership**: Flow-through taxation in certain jurisdictions</w:t>
      </w:r>
    </w:p>
    <w:p>
      <w:r>
        <w:t>- **Permanent establishment**: Intentional PE creation for profit allocation</w:t>
      </w:r>
    </w:p>
    <w:p>
      <w:r>
        <w:t>**Location Selection Criteria**:</w:t>
      </w:r>
    </w:p>
    <w:p>
      <w:r>
        <w:t>1. **Corporate tax rate**: Competitive but defensible rate (not zero-tax jurisdictions post-BEPS)</w:t>
      </w:r>
    </w:p>
    <w:p>
      <w:r>
        <w:t>2. **Treaty network**: Comprehensive coverage with reduced WHT rates</w:t>
      </w:r>
    </w:p>
    <w:p>
      <w:r>
        <w:t>3. **Substance requirements**: Ability to meet economic substance tests</w:t>
      </w:r>
    </w:p>
    <w:p>
      <w:r>
        <w:t>4. **Regulatory environment**: Stable legal framework and dispute resolution</w:t>
      </w:r>
    </w:p>
    <w:p>
      <w:r>
        <w:t>5. **Operational feasibility**: Access to talent, infrastructure, and customers</w:t>
      </w:r>
    </w:p>
    <w:p>
      <w:r>
        <w:t>6. **Pillar Two impact**: Consideration of 15% minimum effective tax rate</w:t>
      </w:r>
    </w:p>
    <w:p>
      <w:r>
        <w:t>**Popular Service Company Jurisdictions**:</w:t>
      </w:r>
    </w:p>
    <w:p>
      <w:r>
        <w:t>- **Singapore**: 17% corporate rate, extensive treaties, technical services exemption</w:t>
      </w:r>
    </w:p>
    <w:p>
      <w:r>
        <w:t>- **Netherlands**: 25.8% rate (2024), participation exemption, strong treaty network</w:t>
      </w:r>
    </w:p>
    <w:p>
      <w:r>
        <w:t>- **Switzerland**: ~12-21% cantonal rates, treaty access, substance-friendly</w:t>
      </w:r>
    </w:p>
    <w:p>
      <w:r>
        <w:t>- **UAE**: 9% corporate rate (2023), growing treaty network, regional hub</w:t>
      </w:r>
    </w:p>
    <w:p>
      <w:r>
        <w:t>- **Ireland**: 12.5% rate on trading income, EU access, treaty network</w:t>
      </w:r>
    </w:p>
    <w:p>
      <w:pPr>
        <w:pStyle w:val="Heading3"/>
      </w:pPr>
      <w:r>
        <w:t>2.2 Transfer Pricing for Intercompany Services</w:t>
      </w:r>
    </w:p>
    <w:p>
      <w:r>
        <w:t>**Service Transfer Pricing (TP) Methods**:</w:t>
      </w:r>
    </w:p>
    <w:p>
      <w:r>
        <w:t>**Cost-Plus Method** (Most Common):</w:t>
      </w:r>
    </w:p>
    <w:p>
      <w:r>
        <w:t>- **Total costs** (direct + indirect) of service provision identified</w:t>
      </w:r>
    </w:p>
    <w:p>
      <w:r>
        <w:t>- **Arm's length markup** applied to cost base</w:t>
      </w:r>
    </w:p>
    <w:p>
      <w:r>
        <w:t>- **Markup range**: Typically 3-10% depending on service complexity and risk</w:t>
      </w:r>
    </w:p>
    <w:p>
      <w:r>
        <w:t>- **Formula**: Service Fee = Total Costs × (1 + Markup %)</w:t>
      </w:r>
    </w:p>
    <w:p>
      <w:r>
        <w:t>**Comparable Uncontrolled Price (CUP)**:</w:t>
      </w:r>
    </w:p>
    <w:p>
      <w:r>
        <w:t>- Market price for identical/similar services from independent providers</w:t>
      </w:r>
    </w:p>
    <w:p>
      <w:r>
        <w:t>- Requires reliable comparable data (limited availability for specialized services)</w:t>
      </w:r>
    </w:p>
    <w:p>
      <w:r>
        <w:t>- Most defensible but data-intensive approach</w:t>
      </w:r>
    </w:p>
    <w:p>
      <w:r>
        <w:t>**Transactional Net Margin Method (TNMM)**:</w:t>
      </w:r>
    </w:p>
    <w:p>
      <w:r>
        <w:t>- Net profit margin earned by service provider compared to independent comparables</w:t>
      </w:r>
    </w:p>
    <w:p>
      <w:r>
        <w:t>- **Profit Level Indicator (PLI)**: Operating margin, return on assets, Berry ratio</w:t>
      </w:r>
    </w:p>
    <w:p>
      <w:r>
        <w:t>- Flexible approach for complex service arrangements</w:t>
      </w:r>
    </w:p>
    <w:p>
      <w:r>
        <w:t>**Service Markup Benchmarking Ranges**:</w:t>
      </w:r>
    </w:p>
    <w:p>
      <w:r>
        <w:t>| **Service Type** | **Risk Profile** | **Typical Markup Range** | **Substance Required** |</w:t>
      </w:r>
    </w:p>
    <w:p>
      <w:r>
        <w:t>|-----------------|------------------|-------------------------|------------------------|</w:t>
      </w:r>
    </w:p>
    <w:p>
      <w:r>
        <w:t>| **Routine administrative services** | Low risk, limited value-add | 3-5% | Limited staff, systems |</w:t>
      </w:r>
    </w:p>
    <w:p>
      <w:r>
        <w:t>| **Technical support services** | Medium risk, specialized knowledge | 5-8% | Technical personnel, tools |</w:t>
      </w:r>
    </w:p>
    <w:p>
      <w:r>
        <w:t>| **Engineering and consulting** | Higher risk, significant expertise | 7-12% | Qualified engineers, project management |</w:t>
      </w:r>
    </w:p>
    <w:p>
      <w:r>
        <w:t>| **Research and development services** | High risk, innovation focus | 10-15%+ | R&amp;D facilities, IP development |</w:t>
      </w:r>
    </w:p>
    <w:p>
      <w:r>
        <w:t>| **Management and strategic services** | High risk, value creation | 8-15% | Senior management, decision-making |</w:t>
      </w:r>
    </w:p>
    <w:p>
      <w:r>
        <w:t>**Cost Allocation Methods**:</w:t>
      </w:r>
    </w:p>
    <w:p>
      <w:r>
        <w:t>- **Direct costs**: Traceable to specific service (personnel time, travel, materials)</w:t>
      </w:r>
    </w:p>
    <w:p>
      <w:r>
        <w:t>- **Indirect costs**: Allocated based on reasonable allocation keys</w:t>
      </w:r>
    </w:p>
    <w:p>
      <w:r>
        <w:t xml:space="preserve">  - Headcount allocation</w:t>
      </w:r>
    </w:p>
    <w:p>
      <w:r>
        <w:t xml:space="preserve">  - Time-based allocation (activity logs)</w:t>
      </w:r>
    </w:p>
    <w:p>
      <w:r>
        <w:t xml:space="preserve">  - Revenue or asset-based allocation</w:t>
      </w:r>
    </w:p>
    <w:p>
      <w:r>
        <w:t xml:space="preserve">  - Activity-based costing (ABC) for complex operations</w:t>
      </w:r>
    </w:p>
    <w:p>
      <w:r>
        <w:t>- **Shareholder costs**: General holding company costs typically NOT charged to service fee</w:t>
      </w:r>
    </w:p>
    <w:p>
      <w:r>
        <w:t>**Documentation Requirements**:</w:t>
      </w:r>
    </w:p>
    <w:p>
      <w:r>
        <w:t>- Service agreements defining scope, pricing, payment terms</w:t>
      </w:r>
    </w:p>
    <w:p>
      <w:r>
        <w:t>- Transfer pricing documentation (**Master File**, **Local File**)</w:t>
      </w:r>
    </w:p>
    <w:p>
      <w:r>
        <w:t>- Cost allocation methodology and supporting calculations</w:t>
      </w:r>
    </w:p>
    <w:p>
      <w:r>
        <w:t>- Comparability analysis and benchmarking studies</w:t>
      </w:r>
    </w:p>
    <w:p>
      <w:r>
        <w:t>- Annual review and adjustment mechanisms</w:t>
      </w:r>
    </w:p>
    <w:p>
      <w:pPr>
        <w:pStyle w:val="Heading3"/>
      </w:pPr>
      <w:r>
        <w:t>2.3 Withholding Tax Optimization</w:t>
      </w:r>
    </w:p>
    <w:p>
      <w:r>
        <w:t>**Service Payment WHT Treatment**:</w:t>
      </w:r>
    </w:p>
    <w:p>
      <w:r>
        <w:t>**Domestic Law Position**:</w:t>
      </w:r>
    </w:p>
    <w:p>
      <w:r>
        <w:t>- Many countries impose WHT on service fees paid to non-residents (5-25% typical)</w:t>
      </w:r>
    </w:p>
    <w:p>
      <w:r>
        <w:t>- **Technical services**: Often subject to higher WHT rates</w:t>
      </w:r>
    </w:p>
    <w:p>
      <w:r>
        <w:t>- **Royalty vs. service distinction**: Critical classification issue</w:t>
      </w:r>
    </w:p>
    <w:p>
      <w:r>
        <w:t>- **Know-how transfer**: May be treated as royalty with higher WHT</w:t>
      </w:r>
    </w:p>
    <w:p>
      <w:r>
        <w:t>**Treaty Relief Mechanisms**:</w:t>
      </w:r>
    </w:p>
    <w:p>
      <w:r>
        <w:t>- **Business profits article (Art. 7)**: No WHT if no PE in source country</w:t>
      </w:r>
    </w:p>
    <w:p>
      <w:r>
        <w:t>- **Royalty article (Art. 12)**: May include technical fees in some treaties</w:t>
      </w:r>
    </w:p>
    <w:p>
      <w:r>
        <w:t>- **OECD Model approach**: Technical services covered under Art. 7 (no WHT without PE)</w:t>
      </w:r>
    </w:p>
    <w:p>
      <w:r>
        <w:t>- **UN Model approach**: Some treaties include technical fees in royalties or separate article</w:t>
      </w:r>
    </w:p>
    <w:p>
      <w:r>
        <w:t>**WHT Rates - Treaty Examples**:</w:t>
      </w:r>
    </w:p>
    <w:p>
      <w:r>
        <w:t>| **Service Recipient Country** | **Treaty Partner** | **Service Fee WHT** | **Royalty WHT** | **PE Threshold** |</w:t>
      </w:r>
    </w:p>
    <w:p>
      <w:r>
        <w:t>|------------------------------|-------------------|--------------------|-----------------|--------------------|</w:t>
      </w:r>
    </w:p>
    <w:p>
      <w:r>
        <w:t>| **Nigeria** | Netherlands | 0% (Art. 7 if no PE) | 7.5% | 183 days service PE |</w:t>
      </w:r>
    </w:p>
    <w:p>
      <w:r>
        <w:t>| **Brazil** | Netherlands | 15% (technical services) | 15-25% | Fixed place PE only |</w:t>
      </w:r>
    </w:p>
    <w:p>
      <w:r>
        <w:t>| **Indonesia** | Singapore | 0% (Art. 7 if no PE) | 10% | 120 days service PE |</w:t>
      </w:r>
    </w:p>
    <w:p>
      <w:r>
        <w:t>| **Angola** | UAE | 0% (Art. 7 if no PE) | 5% | 6 months construction |</w:t>
      </w:r>
    </w:p>
    <w:p>
      <w:r>
        <w:t>| **Kazakhstan** | Netherlands | 0% (Art. 7 if no PE) | 10% | 6 months service PE |</w:t>
      </w:r>
    </w:p>
    <w:p>
      <w:r>
        <w:t>**Optimization Strategies**:</w:t>
      </w:r>
    </w:p>
    <w:p>
      <w:r>
        <w:t>1. **Treaty shopping prevention**: Ensure substance meets **Principal Purpose Test (PPT)**</w:t>
      </w:r>
    </w:p>
    <w:p>
      <w:r>
        <w:t>2. **Service company location**: Select jurisdiction with favorable treaty network</w:t>
      </w:r>
    </w:p>
    <w:p>
      <w:r>
        <w:t>3. **Service PE management**: Stay below time thresholds through rotation/structure</w:t>
      </w:r>
    </w:p>
    <w:p>
      <w:r>
        <w:t>4. **Payment characterization**: Structure as business profits rather than royalties</w:t>
      </w:r>
    </w:p>
    <w:p>
      <w:r>
        <w:t>5. **Gross vs. net WHT**: Some countries allow cost deduction before applying WHT</w:t>
      </w:r>
    </w:p>
    <w:p>
      <w:pPr>
        <w:pStyle w:val="Heading3"/>
      </w:pPr>
      <w:r>
        <w:t>2.4 Permanent Establishment Avoidance Strategies</w:t>
      </w:r>
    </w:p>
    <w:p>
      <w:r>
        <w:t>**Service PE Risk Management**:</w:t>
      </w:r>
    </w:p>
    <w:p>
      <w:r>
        <w:t>**Time Threshold Management**:</w:t>
      </w:r>
    </w:p>
    <w:p>
      <w:r>
        <w:t>- **Personnel rotation**: Ensure individuals stay below PE threshold periods</w:t>
      </w:r>
    </w:p>
    <w:p>
      <w:r>
        <w:t>- **Project aggregation risks**: Monitor "same or connected project" definitions</w:t>
      </w:r>
    </w:p>
    <w:p>
      <w:r>
        <w:t>- **12-month period calculation**: Track rolling 12-month periods, not calendar years</w:t>
      </w:r>
    </w:p>
    <w:p>
      <w:r>
        <w:t>- **Fragmentation concerns**: Anti-fragmentation rules in **Multilateral Instrument (MLI)** may aggregate activities</w:t>
      </w:r>
    </w:p>
    <w:p>
      <w:r>
        <w:t>**Structural PE Avoidance**:</w:t>
      </w:r>
    </w:p>
    <w:p>
      <w:r>
        <w:t>- **Subcontracting to third parties**: Breaks direct service relationship</w:t>
      </w:r>
    </w:p>
    <w:p>
      <w:r>
        <w:t>- **Local company establishment**: Creates separate taxable entity (not PE)</w:t>
      </w:r>
    </w:p>
    <w:p>
      <w:r>
        <w:t>- **Agency arrangements**: Avoid dependent agent status (no contract conclusion authority)</w:t>
      </w:r>
    </w:p>
    <w:p>
      <w:r>
        <w:t>- **Equipment without personnel**: Automated equipment may avoid service PE</w:t>
      </w:r>
    </w:p>
    <w:p>
      <w:r>
        <w:t>**Activity-Based Exemptions**:</w:t>
      </w:r>
    </w:p>
    <w:p>
      <w:r>
        <w:t>- **Preparatory or auxiliary activities**: Exempt under Art. 5(4) if limited scope</w:t>
      </w:r>
    </w:p>
    <w:p>
      <w:r>
        <w:t>- **Purchasing activities**: Buying supplies/goods generally preparatory</w:t>
      </w:r>
    </w:p>
    <w:p>
      <w:r>
        <w:t>- **Information collection**: Market research typically auxiliary</w:t>
      </w:r>
    </w:p>
    <w:p>
      <w:r>
        <w:t>- **Storage and display**: Limited activities exempt</w:t>
      </w:r>
    </w:p>
    <w:p>
      <w:r>
        <w:t>- **Policy rationale**: Exemptions prevent excessive taxation of minor ancillary activities that don't constitute substantive economic presence; ensures PE thresholds capture meaningful economic activity in source country rather than merely preparatory or auxiliary support functions</w:t>
      </w:r>
    </w:p>
    <w:p>
      <w:r>
        <w:t>**Fixed Place of Business Avoidance**:</w:t>
      </w:r>
    </w:p>
    <w:p>
      <w:r>
        <w:t>- **No permanent office**: Use client facilities or temporary accommodation</w:t>
      </w:r>
    </w:p>
    <w:p>
      <w:r>
        <w:t>- **Mobile workforce**: Rotate locations to avoid "fixed" characterization</w:t>
      </w:r>
    </w:p>
    <w:p>
      <w:r>
        <w:t>- **Offshore operations**: Subsea or platform work may avoid onshore PE</w:t>
      </w:r>
    </w:p>
    <w:p>
      <w:r>
        <w:t>- **Project site management**: Ensure sites don't exceed construction PE thresholds</w:t>
      </w:r>
    </w:p>
    <w:p>
      <w:pPr>
        <w:pStyle w:val="Heading3"/>
      </w:pPr>
      <w:r>
        <w:t>2.5 Substance Requirements</w:t>
      </w:r>
    </w:p>
    <w:p>
      <w:r>
        <w:t>**Economic Substance Tests (Post-BEPS)**:</w:t>
      </w:r>
    </w:p>
    <w:p>
      <w:r>
        <w:t>Following BEPS Action 5 and European Union (EU) Anti-Tax Avoidance Directives, **economic substance** is critical for service company structures:</w:t>
      </w:r>
    </w:p>
    <w:p>
      <w:r>
        <w:t>**Policy rationale**: Substance requirements prevent profit shifting to low-tax jurisdictions through "letterbox companies" with no real economic activity. Following the BEPS project, jurisdictions now require that profits be taxed where value is created, necessitating genuine operational presence (employees, assets, decision-making) to support profit allocation to service hubs.</w:t>
      </w:r>
    </w:p>
    <w:p>
      <w:r>
        <w:t>**Core Substance Elements**:</w:t>
      </w:r>
    </w:p>
    <w:p>
      <w:r>
        <w:t>1. **Adequate employees**: Qualified staff with appropriate skills for services provided</w:t>
      </w:r>
    </w:p>
    <w:p>
      <w:r>
        <w:t>2. **Operating expenditure**: Real costs incurred in service location</w:t>
      </w:r>
    </w:p>
    <w:p>
      <w:r>
        <w:t>3. **Physical presence**: Office space, equipment, infrastructure</w:t>
      </w:r>
    </w:p>
    <w:p>
      <w:r>
        <w:t>4. **Decision-making**: Management and strategic decisions taken in service company location</w:t>
      </w:r>
    </w:p>
    <w:p>
      <w:r>
        <w:t>5. **Outsourcing limitations**: Core income-generating activities performed locally</w:t>
      </w:r>
    </w:p>
    <w:p>
      <w:r>
        <w:t>**Substance Assessment Matrix**:</w:t>
      </w:r>
    </w:p>
    <w:p>
      <w:r>
        <w:t>| **Substance Element** | **Minimum Requirement** | **Enhanced Substance** |</w:t>
      </w:r>
    </w:p>
    <w:p>
      <w:r>
        <w:t>|----------------------|------------------------|------------------------|</w:t>
      </w:r>
    </w:p>
    <w:p>
      <w:r>
        <w:t>| **Employees** | 2-3 qualified staff | Full service team (5-10+) |</w:t>
      </w:r>
    </w:p>
    <w:p>
      <w:r>
        <w:t>| **Office** | Serviced office space | Dedicated facilities with equipment |</w:t>
      </w:r>
    </w:p>
    <w:p>
      <w:r>
        <w:t>| **Decision-making** | Board meetings in location | Management team resident |</w:t>
      </w:r>
    </w:p>
    <w:p>
      <w:r>
        <w:t>| **Operating costs** | Proportional to revenues | Significant operational expenditure |</w:t>
      </w:r>
    </w:p>
    <w:p>
      <w:r>
        <w:t>| **Local activities** | Contract negotiation | Service delivery and quality control |</w:t>
      </w:r>
    </w:p>
    <w:p>
      <w:r>
        <w:t>**Documentation to Demonstrate Substance**:</w:t>
      </w:r>
    </w:p>
    <w:p>
      <w:r>
        <w:t>- Employment contracts and payroll records</w:t>
      </w:r>
    </w:p>
    <w:p>
      <w:r>
        <w:t>- Office lease agreements and utility bills</w:t>
      </w:r>
    </w:p>
    <w:p>
      <w:r>
        <w:t>- Board meeting minutes and management accounts</w:t>
      </w:r>
    </w:p>
    <w:p>
      <w:r>
        <w:t>- Service delivery records and client communications</w:t>
      </w:r>
    </w:p>
    <w:p>
      <w:r>
        <w:t>- Local tax filings and compliance certificates</w:t>
      </w:r>
    </w:p>
    <w:p>
      <w:pPr>
        <w:pStyle w:val="Heading2"/>
      </w:pPr>
      <w:r>
        <w:t>3. Analytical Depth: Service Models and Optimization</w:t>
      </w:r>
    </w:p>
    <w:p>
      <w:pPr>
        <w:pStyle w:val="Heading3"/>
      </w:pPr>
      <w:r>
        <w:t>3.1 Centralized vs. Decentralized Service Provision</w:t>
      </w:r>
    </w:p>
    <w:p>
      <w:r>
        <w:t>**Centralized Service Model**:</w:t>
      </w:r>
    </w:p>
    <w:p>
      <w:r>
        <w:t>**Structure**: Single service company (or limited number) provides all technical services to global operations.</w:t>
      </w:r>
    </w:p>
    <w:p>
      <w:r>
        <w:t>**Advantages**:</w:t>
      </w:r>
    </w:p>
    <w:p>
      <w:r>
        <w:t>- **Cost efficiency**: Economies of scale, reduced duplication</w:t>
      </w:r>
    </w:p>
    <w:p>
      <w:r>
        <w:t>- **Expertise concentration**: Build center of excellence</w:t>
      </w:r>
    </w:p>
    <w:p>
      <w:r>
        <w:t>- **Simplified transfer pricing**: Consistent methodology and markup</w:t>
      </w:r>
    </w:p>
    <w:p>
      <w:r>
        <w:t>- **Treaty optimization**: Single location with best treaty network</w:t>
      </w:r>
    </w:p>
    <w:p>
      <w:r>
        <w:t>- **IP consolidation**: Centralize technical know-how and methodologies</w:t>
      </w:r>
    </w:p>
    <w:p>
      <w:r>
        <w:t>**Disadvantages**:</w:t>
      </w:r>
    </w:p>
    <w:p>
      <w:r>
        <w:t>- **Substance requirements**: High substance needed to justify profit allocation</w:t>
      </w:r>
    </w:p>
    <w:p>
      <w:r>
        <w:t>- **PE risks**: Multiple jurisdictions exposure from centralized delivery</w:t>
      </w:r>
    </w:p>
    <w:p>
      <w:r>
        <w:t>- **Time zone challenges**: Service delivery across regions</w:t>
      </w:r>
    </w:p>
    <w:p>
      <w:r>
        <w:t>- **Regulatory compliance**: May face restrictions on foreign service provision</w:t>
      </w:r>
    </w:p>
    <w:p>
      <w:r>
        <w:t>- **Pillar Two complexity**: Need to monitor jurisdiction-level ETR</w:t>
      </w:r>
    </w:p>
    <w:p>
      <w:r>
        <w:t>**Decentralized Service Model**:</w:t>
      </w:r>
    </w:p>
    <w:p>
      <w:r>
        <w:t>**Structure**: Regional or country-specific service entities provide services locally or within region.</w:t>
      </w:r>
    </w:p>
    <w:p>
      <w:r>
        <w:t>**Advantages**:</w:t>
      </w:r>
    </w:p>
    <w:p>
      <w:r>
        <w:t>- **Reduced PE risk**: Local presence in service delivery countries</w:t>
      </w:r>
    </w:p>
    <w:p>
      <w:r>
        <w:t>- **Regulatory compliance**: Easier licensing and local requirements</w:t>
      </w:r>
    </w:p>
    <w:p>
      <w:r>
        <w:t>- **Operational efficiency**: Proximity to operations and time zones</w:t>
      </w:r>
    </w:p>
    <w:p>
      <w:r>
        <w:t>- **Substance defense**: Clear economic rationale for local presence</w:t>
      </w:r>
    </w:p>
    <w:p>
      <w:r>
        <w:t>- **Political acceptability**: Host government preference for local service provision</w:t>
      </w:r>
    </w:p>
    <w:p>
      <w:r>
        <w:t>**Disadvantages**:</w:t>
      </w:r>
    </w:p>
    <w:p>
      <w:r>
        <w:t>- **Higher costs**: Duplication of resources and overhead</w:t>
      </w:r>
    </w:p>
    <w:p>
      <w:r>
        <w:t>- **Complex transfer pricing**: Multiple service entities require consistent policies</w:t>
      </w:r>
    </w:p>
    <w:p>
      <w:r>
        <w:t>- **Less favorable tax rates**: May be in higher-tax jurisdictions</w:t>
      </w:r>
    </w:p>
    <w:p>
      <w:r>
        <w:t>- **Limited treaty benefits**: Cannot optimize single treaty network</w:t>
      </w:r>
    </w:p>
    <w:p>
      <w:r>
        <w:t>- **Management complexity**: Coordination across multiple entities</w:t>
      </w:r>
    </w:p>
    <w:p>
      <w:pPr>
        <w:pStyle w:val="Heading3"/>
      </w:pPr>
      <w:r>
        <w:t>3.2 Regional Service Hub Strategy</w:t>
      </w:r>
    </w:p>
    <w:p>
      <w:r>
        <w:t>**Hub Structure Design**:</w:t>
      </w:r>
    </w:p>
    <w:p>
      <w:r>
        <w:t>A **regional service hub** consolidates service provision for a geographic region (e.g., Asia-Pacific, Middle East, Latin America) from a single strategically located entity.</w:t>
      </w:r>
    </w:p>
    <w:p>
      <w:r>
        <w:t>**Hub Location Selection**:</w:t>
      </w:r>
    </w:p>
    <w:p>
      <w:r>
        <w:t>1. **Singapore Hub** (Asia-Pacific focus):</w:t>
      </w:r>
    </w:p>
    <w:p>
      <w:r>
        <w:t xml:space="preserve">   - 17% corporate tax rate</w:t>
      </w:r>
    </w:p>
    <w:p>
      <w:r>
        <w:t xml:space="preserve">   - Extensive treaty network (75+ treaties)</w:t>
      </w:r>
    </w:p>
    <w:p>
      <w:r>
        <w:t xml:space="preserve">   - Technical services exemption for qualifying activities</w:t>
      </w:r>
    </w:p>
    <w:p>
      <w:r>
        <w:t xml:space="preserve">   - Developed infrastructure and talent pool</w:t>
      </w:r>
    </w:p>
    <w:p>
      <w:r>
        <w:t xml:space="preserve">   - Regulatory stability</w:t>
      </w:r>
    </w:p>
    <w:p>
      <w:r>
        <w:t>2. **Netherlands Hub** (Europe/Africa focus):</w:t>
      </w:r>
    </w:p>
    <w:p>
      <w:r>
        <w:t xml:space="preserve">   - 25.8% corporate tax rate</w:t>
      </w:r>
    </w:p>
    <w:p>
      <w:r>
        <w:t xml:space="preserve">   - Excellent treaty network (90+ treaties)</w:t>
      </w:r>
    </w:p>
    <w:p>
      <w:r>
        <w:t xml:space="preserve">   - Participation exemption for foreign profits</w:t>
      </w:r>
    </w:p>
    <w:p>
      <w:r>
        <w:t xml:space="preserve">   - EU single market access</w:t>
      </w:r>
    </w:p>
    <w:p>
      <w:r>
        <w:t xml:space="preserve">   - Strong substance environment</w:t>
      </w:r>
    </w:p>
    <w:p>
      <w:r>
        <w:t>3. **UAE Hub** (Middle East/Africa focus):</w:t>
      </w:r>
    </w:p>
    <w:p>
      <w:r>
        <w:t xml:space="preserve">   - 9% corporate tax rate (2023 onwards)</w:t>
      </w:r>
    </w:p>
    <w:p>
      <w:r>
        <w:t xml:space="preserve">   - Growing treaty network (130+ treaties)</w:t>
      </w:r>
    </w:p>
    <w:p>
      <w:r>
        <w:t xml:space="preserve">   - Strategic geographic location</w:t>
      </w:r>
    </w:p>
    <w:p>
      <w:r>
        <w:t xml:space="preserve">   - Free zone options with tax benefits</w:t>
      </w:r>
    </w:p>
    <w:p>
      <w:r>
        <w:t xml:space="preserve">   - Time zone advantages</w:t>
      </w:r>
    </w:p>
    <w:p>
      <w:r>
        <w:t>4. **Switzerland Hub** (European operations):</w:t>
      </w:r>
    </w:p>
    <w:p>
      <w:r>
        <w:t xml:space="preserve">   - Cantonal rates 12-21% (combined)</w:t>
      </w:r>
    </w:p>
    <w:p>
      <w:r>
        <w:t xml:space="preserve">   - Extensive treaty network</w:t>
      </w:r>
    </w:p>
    <w:p>
      <w:r>
        <w:t xml:space="preserve">   - Favorable substance regime</w:t>
      </w:r>
    </w:p>
    <w:p>
      <w:r>
        <w:t xml:space="preserve">   - Political and economic stability</w:t>
      </w:r>
    </w:p>
    <w:p>
      <w:r>
        <w:t>**Hub Operating Model**:</w:t>
      </w:r>
    </w:p>
    <w:p>
      <w:r>
        <w:t>- **Service provision**: Hub entity employs technical staff and owns service delivery</w:t>
      </w:r>
    </w:p>
    <w:p>
      <w:r>
        <w:t>- **Subcontracting**: Hub may subcontract specific services to local providers</w:t>
      </w:r>
    </w:p>
    <w:p>
      <w:r>
        <w:t>- **Personnel rotation**: Hub staff rotated to project locations below PE thresholds</w:t>
      </w:r>
    </w:p>
    <w:p>
      <w:r>
        <w:t>- **Regional coverage**: Serve multiple countries from single hub location</w:t>
      </w:r>
    </w:p>
    <w:p>
      <w:r>
        <w:t>- **Support functions**: Centralized procurement, training, technical support</w:t>
      </w:r>
    </w:p>
    <w:p>
      <w:pPr>
        <w:pStyle w:val="Heading3"/>
      </w:pPr>
      <w:r>
        <w:t>3.3 Shared Service Centers</w:t>
      </w:r>
    </w:p>
    <w:p>
      <w:r>
        <w:t>**Shared Service Center (SSC) Model**:</w:t>
      </w:r>
    </w:p>
    <w:p>
      <w:r>
        <w:t>SSCs consolidate administrative and support functions (HR, finance, IT, procurement) serving multiple group entities.</w:t>
      </w:r>
    </w:p>
    <w:p>
      <w:r>
        <w:t>**Tax Treatment Considerations**:</w:t>
      </w:r>
    </w:p>
    <w:p>
      <w:r>
        <w:t>- **Cost allocation**: Typically **cost reimbursement** with no markup or minimal markup (0-5%)</w:t>
      </w:r>
    </w:p>
    <w:p>
      <w:r>
        <w:t>- **Management fee**: Alternative approach charges management fee with small markup (3-5%)</w:t>
      </w:r>
    </w:p>
    <w:p>
      <w:r>
        <w:t>- **No profit center**: SSC not expected to generate significant profits</w:t>
      </w:r>
    </w:p>
    <w:p>
      <w:r>
        <w:t>- **Ancillary services**: Must be support services, not core business activities</w:t>
      </w:r>
    </w:p>
    <w:p>
      <w:r>
        <w:t>**Transfer Pricing for SSCs**:</w:t>
      </w:r>
    </w:p>
    <w:p>
      <w:r>
        <w:t>- **Direct charge method**: Specific services billed to actual users</w:t>
      </w:r>
    </w:p>
    <w:p>
      <w:r>
        <w:t>- **Allocation key method**: Costs allocated based on headcount, revenues, or other metrics</w:t>
      </w:r>
    </w:p>
    <w:p>
      <w:r>
        <w:t>- **Management fee approach**: Annual fixed or variable fee based on agreed formula</w:t>
      </w:r>
    </w:p>
    <w:p>
      <w:r>
        <w:t>**SSC Locations**:</w:t>
      </w:r>
    </w:p>
    <w:p>
      <w:r>
        <w:t>- **India**: Large SSC presence for back-office functions (technical, finance, IT)</w:t>
      </w:r>
    </w:p>
    <w:p>
      <w:r>
        <w:t>- **Poland**: European SSC hub for shared services</w:t>
      </w:r>
    </w:p>
    <w:p>
      <w:r>
        <w:t>- **Costa Rica**: Americas SSC location</w:t>
      </w:r>
    </w:p>
    <w:p>
      <w:r>
        <w:t>- **Malaysia**: Asia-Pacific SSC alternative to Singapore/India</w:t>
      </w:r>
    </w:p>
    <w:p>
      <w:r>
        <w:t>**Substance for SSCs**:</w:t>
      </w:r>
    </w:p>
    <w:p>
      <w:r>
        <w:t>- Substantial workforce performing actual services</w:t>
      </w:r>
    </w:p>
    <w:p>
      <w:r>
        <w:t>- Real office facilities and infrastructure</w:t>
      </w:r>
    </w:p>
    <w:p>
      <w:r>
        <w:t>- Management oversight and quality control</w:t>
      </w:r>
    </w:p>
    <w:p>
      <w:r>
        <w:t>- Service delivery documentation and performance metrics</w:t>
      </w:r>
    </w:p>
    <w:p>
      <w:pPr>
        <w:pStyle w:val="Heading3"/>
      </w:pPr>
      <w:r>
        <w:t>3.4 Treaty Network Optimization</w:t>
      </w:r>
    </w:p>
    <w:p>
      <w:r>
        <w:t>**Strategic Treaty Planning**:</w:t>
      </w:r>
    </w:p>
    <w:p>
      <w:r>
        <w:t>**Analysis Framework**:</w:t>
      </w:r>
    </w:p>
    <w:p>
      <w:r>
        <w:t>1. **Map service recipient countries**: Identify where services will be provided</w:t>
      </w:r>
    </w:p>
    <w:p>
      <w:r>
        <w:t>2. **Review applicable treaties**: WHT rates, PE thresholds, service fee treatment</w:t>
      </w:r>
    </w:p>
    <w:p>
      <w:r>
        <w:t>3. **Compare hub options**: Model effective tax rate from different hub locations</w:t>
      </w:r>
    </w:p>
    <w:p>
      <w:r>
        <w:t>4. **Assess substance requirements**: Determine feasibility of maintaining substance</w:t>
      </w:r>
    </w:p>
    <w:p>
      <w:r>
        <w:t>5. **Consider Pillar Two**: Ensure 15% minimum ETR in each jurisdiction</w:t>
      </w:r>
    </w:p>
    <w:p>
      <w:r>
        <w:t>**Treaty Considerations**:</w:t>
      </w:r>
    </w:p>
    <w:p>
      <w:r>
        <w:t>- **WHT rates on service fees**: Business profits (0% if no PE) vs. royalty treatment</w:t>
      </w:r>
    </w:p>
    <w:p>
      <w:r>
        <w:t>- **Service PE thresholds**: 90-183 days typical range</w:t>
      </w:r>
    </w:p>
    <w:p>
      <w:r>
        <w:t>- **Anti-abuse provisions**: PPT and **Limitation on Benefits (LOB)** clauses limit treaty shopping</w:t>
      </w:r>
    </w:p>
    <w:p>
      <w:r>
        <w:t>- **Exchange of information**: Transparency requirements</w:t>
      </w:r>
    </w:p>
    <w:p>
      <w:r>
        <w:t>- **Dispute resolution**: **Mutual Agreement Procedure (MAP)** and arbitration procedures</w:t>
      </w:r>
    </w:p>
    <w:p>
      <w:r>
        <w:t>**Optimization Strategy Example**:</w:t>
      </w:r>
    </w:p>
    <w:p>
      <w:r>
        <w:t>- **Netherlands service company** serving Nigeria, Angola, Indonesia operations</w:t>
      </w:r>
    </w:p>
    <w:p>
      <w:r>
        <w:t>- **Netherlands-Nigeria treaty**: 0% WHT on service fees (Art. 7), 183-day service PE threshold</w:t>
      </w:r>
    </w:p>
    <w:p>
      <w:r>
        <w:t>- **Netherlands-Angola treaty**: 0% WHT if no PE, 6-month construction PE</w:t>
      </w:r>
    </w:p>
    <w:p>
      <w:r>
        <w:t>- **Netherlands-Indonesia treaty**: 0% WHT if no PE (OECD model treaty)</w:t>
      </w:r>
    </w:p>
    <w:p>
      <w:r>
        <w:t>- **Substance in Netherlands**: 8 technical staff, office in Amsterdam, management decisions</w:t>
      </w:r>
    </w:p>
    <w:p>
      <w:r>
        <w:t>- **Result**: No WHT on service fees if stay below PE thresholds</w:t>
      </w:r>
    </w:p>
    <w:p>
      <w:pPr>
        <w:pStyle w:val="Heading2"/>
      </w:pPr>
      <w:r>
        <w:t>4. Application Methodology: Structure Selection Framework</w:t>
      </w:r>
    </w:p>
    <w:p>
      <w:pPr>
        <w:pStyle w:val="Heading3"/>
      </w:pPr>
      <w:r>
        <w:t>4.1 Service Structure Decision Matrix</w:t>
      </w:r>
    </w:p>
    <w:p>
      <w:r>
        <w:t>**Step 1: Service Characterization**</w:t>
      </w:r>
    </w:p>
    <w:p>
      <w:r>
        <w:t>- **Service type**: Routine, specialized, or highly technical</w:t>
      </w:r>
    </w:p>
    <w:p>
      <w:r>
        <w:t>- **Service frequency**: Ongoing, periodic, or one-off</w:t>
      </w:r>
    </w:p>
    <w:p>
      <w:r>
        <w:t>- **Service volume**: High-value centralization opportunity or limited scope</w:t>
      </w:r>
    </w:p>
    <w:p>
      <w:r>
        <w:t>- **Service recipients**: Number and location of group entities requiring services</w:t>
      </w:r>
    </w:p>
    <w:p>
      <w:r>
        <w:t>**Step 2: Tax Environment Assessment**</w:t>
      </w:r>
    </w:p>
    <w:p>
      <w:r>
        <w:t>- **Recipient country tax rates**: Corporate tax and WHT rates</w:t>
      </w:r>
    </w:p>
    <w:p>
      <w:r>
        <w:t>- **Treaty network**: Availability and terms of applicable treaties</w:t>
      </w:r>
    </w:p>
    <w:p>
      <w:r>
        <w:t>- **PE risks**: Service PE thresholds and enforcement approach</w:t>
      </w:r>
    </w:p>
    <w:p>
      <w:r>
        <w:t>- **Transfer pricing risk**: Complexity and audit risk in recipient countries</w:t>
      </w:r>
    </w:p>
    <w:p>
      <w:r>
        <w:t>- **Pillar Two impact**: Assess whether 15% minimum tax applies</w:t>
      </w:r>
    </w:p>
    <w:p>
      <w:r>
        <w:t>**Step 3: Structuring Options Evaluation**</w:t>
      </w:r>
    </w:p>
    <w:p>
      <w:r>
        <w:t>**Quantitative Factors**:</w:t>
      </w:r>
    </w:p>
    <w:p>
      <w:r>
        <w:t>- Effective tax rate calculation for each structure</w:t>
      </w:r>
    </w:p>
    <w:p>
      <w:r>
        <w:t>- WHT costs on cross-border payments</w:t>
      </w:r>
    </w:p>
    <w:p>
      <w:r>
        <w:t>- Compliance costs (TP documentation, tax filings)</w:t>
      </w:r>
    </w:p>
    <w:p>
      <w:r>
        <w:t>- Setup and ongoing operational costs</w:t>
      </w:r>
    </w:p>
    <w:p>
      <w:r>
        <w:t>**Qualitative Factors**:</w:t>
      </w:r>
    </w:p>
    <w:p>
      <w:r>
        <w:t>- Substance requirements and feasibility</w:t>
      </w:r>
    </w:p>
    <w:p>
      <w:r>
        <w:t>- Commercial rationale and business purpose</w:t>
      </w:r>
    </w:p>
    <w:p>
      <w:r>
        <w:t>- Operational complexity and management burden</w:t>
      </w:r>
    </w:p>
    <w:p>
      <w:r>
        <w:t>- Regulatory and licensing requirements</w:t>
      </w:r>
    </w:p>
    <w:p>
      <w:r>
        <w:t>- Reputational and political considerations</w:t>
      </w:r>
    </w:p>
    <w:p>
      <w:r>
        <w:t>**Step 4: Optimal Structure Selection**</w:t>
      </w:r>
    </w:p>
    <w:p>
      <w:r>
        <w:t>**Decision Criteria**:</w:t>
      </w:r>
    </w:p>
    <w:p>
      <w:r>
        <w:t>1. **Tax efficiency**: Select structure minimizing global tax cost while meeting substance tests</w:t>
      </w:r>
    </w:p>
    <w:p>
      <w:r>
        <w:t>2. **Risk management**: Avoid high PE risk or transfer pricing controversy</w:t>
      </w:r>
    </w:p>
    <w:p>
      <w:r>
        <w:t>3. **Operational feasibility**: Ensure structure can be implemented and maintained</w:t>
      </w:r>
    </w:p>
    <w:p>
      <w:r>
        <w:t>4. **Future flexibility**: Consider scalability and adaptability</w:t>
      </w:r>
    </w:p>
    <w:p>
      <w:r>
        <w:t>5. **BEPS compliance**: Align with OECD guidance and local implementation</w:t>
      </w:r>
    </w:p>
    <w:p>
      <w:pPr>
        <w:pStyle w:val="Heading3"/>
      </w:pPr>
      <w:r>
        <w:t>4.2 Tax Cost Modeling Approach</w:t>
      </w:r>
    </w:p>
    <w:p>
      <w:r>
        <w:t>**Total Tax Cost Formula**:</w:t>
      </w:r>
    </w:p>
    <w:p>
      <w:r>
        <w:t>**Total Tax Cost = Corporate Tax + WHT + Compliance Costs + Risk-Adjusted Costs**</w:t>
      </w:r>
    </w:p>
    <w:p>
      <w:r>
        <w:t>Where:</w:t>
      </w:r>
    </w:p>
    <w:p>
      <w:r>
        <w:t>- **Corporate Tax** = (Service Fee - Costs) × Corporate Tax Rate in service company location</w:t>
      </w:r>
    </w:p>
    <w:p>
      <w:r>
        <w:t>- **WHT** = Service Fee × WHT Rate × (1 - Treaty Relief %)</w:t>
      </w:r>
    </w:p>
    <w:p>
      <w:r>
        <w:t>- **Compliance Costs** = TP documentation + tax filings + substance maintenance</w:t>
      </w:r>
    </w:p>
    <w:p>
      <w:r>
        <w:t>- **Risk-Adjusted Costs** = Probability of audit × potential adjustments × penalty rate</w:t>
      </w:r>
    </w:p>
    <w:p>
      <w:r>
        <w:t>**Sensitivity Analysis**:</w:t>
      </w:r>
    </w:p>
    <w:p>
      <w:r>
        <w:t>- Model multiple scenarios with different assumptions</w:t>
      </w:r>
    </w:p>
    <w:p>
      <w:r>
        <w:t>- Vary service volumes, markup percentages, tax rates</w:t>
      </w:r>
    </w:p>
    <w:p>
      <w:r>
        <w:t>- Assess impact of PE creation on effective tax rate</w:t>
      </w:r>
    </w:p>
    <w:p>
      <w:r>
        <w:t>- Consider Pillar Two top-up tax if applicable</w:t>
      </w:r>
    </w:p>
    <w:p>
      <w:pPr>
        <w:pStyle w:val="Heading2"/>
      </w:pPr>
      <w:r>
        <w:t>5. Worked Examples</w:t>
      </w:r>
    </w:p>
    <w:p>
      <w:pPr>
        <w:pStyle w:val="Heading3"/>
      </w:pPr>
      <w:r>
        <w:t>5.1 Example 1: Regional Service Hub Analysis - Netherlands vs. Singapore</w:t>
      </w:r>
    </w:p>
    <w:p>
      <w:r>
        <w:t>**Background**:</w:t>
      </w:r>
    </w:p>
    <w:p>
      <w:r>
        <w:t>**Global Oil Services Group** provides specialized drilling and engineering services to its subsidiaries operating in Nigeria, Indonesia, Angola, and Malaysia. The group is considering establishing a **regional service hub** to centralize technical service provision. Two locations are under evaluation: **Netherlands** and **Singapore**.</w:t>
      </w:r>
    </w:p>
    <w:p>
      <w:r>
        <w:t>**Service Profile**:</w:t>
      </w:r>
    </w:p>
    <w:p>
      <w:r>
        <w:t>- Annual service fees to be charged: **USD 10,000,000**</w:t>
      </w:r>
    </w:p>
    <w:p>
      <w:r>
        <w:t>- Cost base (salaries, equipment, overhead): **USD 7,500,000**</w:t>
      </w:r>
    </w:p>
    <w:p>
      <w:r>
        <w:t>- Required markup: **8%** (arm's length based on benchmarking)</w:t>
      </w:r>
    </w:p>
    <w:p>
      <w:r>
        <w:t>- Service fees calculated: USD 7,500,000 × 1.08 = **USD 8,100,000**</w:t>
      </w:r>
    </w:p>
    <w:p>
      <w:r>
        <w:t>- Expected profit margin: USD 8,100,000 - USD 7,500,000 = **USD 600,000**</w:t>
      </w:r>
    </w:p>
    <w:p>
      <w:r>
        <w:t>*Note: For illustrative purposes, we'll use cost-plus markup. Market-based pricing could also be USD 10,000,000 if supported by comparables.*</w:t>
      </w:r>
    </w:p>
    <w:p>
      <w:r>
        <w:t>**Let's use the USD 8,100,000 fee (cost-plus 8%) for analysis:**</w:t>
      </w:r>
    </w:p>
    <w:p>
      <w:r>
        <w:t>**Tax Analysis:**</w:t>
      </w:r>
    </w:p>
    <w:p>
      <w:r>
        <w:t>**Option A: Netherlands Service Hub**</w:t>
      </w:r>
    </w:p>
    <w:p>
      <w:r>
        <w:t>**Corporate Tax Calculation**:</w:t>
      </w:r>
    </w:p>
    <w:p>
      <w:r>
        <w:t>- Service revenue: USD 8,100,000</w:t>
      </w:r>
    </w:p>
    <w:p>
      <w:r>
        <w:t>- Costs: USD 7,500,000</w:t>
      </w:r>
    </w:p>
    <w:p>
      <w:r>
        <w:t>- Taxable profit: USD 600,000</w:t>
      </w:r>
    </w:p>
    <w:p>
      <w:r>
        <w:t>- Netherlands corporate tax rate: **25.8%** (2024 rate)</w:t>
      </w:r>
    </w:p>
    <w:p>
      <w:r>
        <w:t>- Corporate tax: USD 600,000 × 25.8% = **USD 154,800**</w:t>
      </w:r>
    </w:p>
    <w:p>
      <w:r>
        <w:t>**Withholding Tax on Service Payments**:</w:t>
      </w:r>
    </w:p>
    <w:p>
      <w:r>
        <w:t>| **Recipient Country** | **Service Fee Allocation** | **Treaty WHT Rate** | **WHT Cost** | **PE Threshold** |</w:t>
      </w:r>
    </w:p>
    <w:p>
      <w:r>
        <w:t>|----------------------|---------------------------|--------------------|--------------|--------------------|</w:t>
      </w:r>
    </w:p>
    <w:p>
      <w:r>
        <w:t>| Nigeria | USD 3,000,000 | 0% (Art. 7, no PE) | USD 0 | 183 days |</w:t>
      </w:r>
    </w:p>
    <w:p>
      <w:r>
        <w:t>| Indonesia | USD 2,500,000 | 0% (Art. 7, no PE) | USD 0 | Fixed place PE |</w:t>
      </w:r>
    </w:p>
    <w:p>
      <w:r>
        <w:t>| Angola | USD 1,600,000 | 0% (Art. 7, no PE) | USD 0 | 6 months construction |</w:t>
      </w:r>
    </w:p>
    <w:p>
      <w:r>
        <w:t>| Malaysia | USD 1,000,000 | 0% (Art. 7, no PE) | USD 0 | Fixed place PE |</w:t>
      </w:r>
    </w:p>
    <w:p>
      <w:r>
        <w:t>| **Total** | **USD 8,100,000** | | **USD 0** | |</w:t>
      </w:r>
    </w:p>
    <w:p>
      <w:r>
        <w:t>**Compliance and Substance Costs**:</w:t>
      </w:r>
    </w:p>
    <w:p>
      <w:r>
        <w:t>- Transfer pricing documentation and compliance: USD 80,000</w:t>
      </w:r>
    </w:p>
    <w:p>
      <w:r>
        <w:t>- Substance requirements (8 technical staff, office): USD 150,000</w:t>
      </w:r>
    </w:p>
    <w:p>
      <w:r>
        <w:t>- Legal and tax advisory: USD 50,000</w:t>
      </w:r>
    </w:p>
    <w:p>
      <w:r>
        <w:t>- **Total compliance costs**: USD 280,000</w:t>
      </w:r>
    </w:p>
    <w:p>
      <w:r>
        <w:t>**Total Tax Cost (Netherlands Hub)**:</w:t>
      </w:r>
    </w:p>
    <w:p>
      <w:r>
        <w:t>- Corporate tax: USD 154,800</w:t>
      </w:r>
    </w:p>
    <w:p>
      <w:r>
        <w:t>- WHT: USD 0</w:t>
      </w:r>
    </w:p>
    <w:p>
      <w:r>
        <w:t>- Compliance costs: USD 280,000</w:t>
      </w:r>
    </w:p>
    <w:p>
      <w:r>
        <w:t>- **Total**: USD 434,800</w:t>
      </w:r>
    </w:p>
    <w:p>
      <w:r>
        <w:t>- **Effective tax rate**: USD 154,800 / USD 600,000 = **25.8%** (on profits)</w:t>
      </w:r>
    </w:p>
    <w:p>
      <w:r>
        <w:t>- **Total cost as % of profit**: USD 434,800 / USD 600,000 = **72.5%**</w:t>
      </w:r>
    </w:p>
    <w:p>
      <w:r>
        <w:t>**Option B: Singapore Service Hub**</w:t>
      </w:r>
    </w:p>
    <w:p>
      <w:r>
        <w:t>**Corporate Tax Calculation**:</w:t>
      </w:r>
    </w:p>
    <w:p>
      <w:r>
        <w:t>- Service revenue: USD 8,100,000</w:t>
      </w:r>
    </w:p>
    <w:p>
      <w:r>
        <w:t>- Costs: USD 7,500,000</w:t>
      </w:r>
    </w:p>
    <w:p>
      <w:r>
        <w:t>- Taxable profit: USD 600,000</w:t>
      </w:r>
    </w:p>
    <w:p>
      <w:r>
        <w:t>- Singapore corporate tax rate: **17%**</w:t>
      </w:r>
    </w:p>
    <w:p>
      <w:r>
        <w:t>- Corporate tax: USD 600,000 × 17% = **USD 102,000**</w:t>
      </w:r>
    </w:p>
    <w:p>
      <w:r>
        <w:t>**Withholding Tax on Service Payments**:</w:t>
      </w:r>
    </w:p>
    <w:p>
      <w:r>
        <w:t>| **Recipient Country** | **Service Fee Allocation** | **Treaty WHT Rate** | **WHT Cost** | **PE Threshold** |</w:t>
      </w:r>
    </w:p>
    <w:p>
      <w:r>
        <w:t>|----------------------|---------------------------|--------------------|--------------|--------------------|</w:t>
      </w:r>
    </w:p>
    <w:p>
      <w:r>
        <w:t>| Nigeria | USD 3,000,000 | 0% (Art. 7, no PE) | USD 0 | 183 days |</w:t>
      </w:r>
    </w:p>
    <w:p>
      <w:r>
        <w:t>| Indonesia | USD 2,500,000 | 0% (Art. 7, no PE) | USD 0 | 120 days service PE |</w:t>
      </w:r>
    </w:p>
    <w:p>
      <w:r>
        <w:t>| Angola | USD 1,600,000 | 5%* (no treaty) | USD 80,000 | N/A - domestic law |</w:t>
      </w:r>
    </w:p>
    <w:p>
      <w:r>
        <w:t>| Malaysia | USD 1,000,000 | 0% (Art. 7, no PE) | USD 0 | Fixed place PE |</w:t>
      </w:r>
    </w:p>
    <w:p>
      <w:r>
        <w:t>| **Total** | **USD 8,100,000** | | **USD 80,000** | |</w:t>
      </w:r>
    </w:p>
    <w:p>
      <w:r>
        <w:t>*Assuming Angola applies 5% WHT on technical service fees under domestic law in absence of treaty.</w:t>
      </w:r>
    </w:p>
    <w:p>
      <w:r>
        <w:t>**Compliance and Substance Costs**:</w:t>
      </w:r>
    </w:p>
    <w:p>
      <w:r>
        <w:t>- Transfer pricing documentation and compliance: USD 70,000</w:t>
      </w:r>
    </w:p>
    <w:p>
      <w:r>
        <w:t>- Substance requirements (8 technical staff, office): USD 180,000 (higher costs in Singapore)</w:t>
      </w:r>
    </w:p>
    <w:p>
      <w:r>
        <w:t>- Legal and tax advisory: USD 45,000</w:t>
      </w:r>
    </w:p>
    <w:p>
      <w:r>
        <w:t>- **Total compliance costs**: USD 295,000</w:t>
      </w:r>
    </w:p>
    <w:p>
      <w:r>
        <w:t>**Total Tax Cost (Singapore Hub)**:</w:t>
      </w:r>
    </w:p>
    <w:p>
      <w:r>
        <w:t>- Corporate tax: USD 102,000</w:t>
      </w:r>
    </w:p>
    <w:p>
      <w:r>
        <w:t>- WHT: USD 80,000</w:t>
      </w:r>
    </w:p>
    <w:p>
      <w:r>
        <w:t>- Compliance costs: USD 295,000</w:t>
      </w:r>
    </w:p>
    <w:p>
      <w:r>
        <w:t>- **Total**: USD 477,000</w:t>
      </w:r>
    </w:p>
    <w:p>
      <w:r>
        <w:t>- **Effective tax rate**: USD 102,000 / USD 600,000 = **17%** (on profits)</w:t>
      </w:r>
    </w:p>
    <w:p>
      <w:r>
        <w:t>- **Total cost as % of profit**: USD 477,000 / USD 600,000 = **79.5%**</w:t>
      </w:r>
    </w:p>
    <w:p>
      <w:r>
        <w:t>**Comparative Analysis**:</w:t>
      </w:r>
    </w:p>
    <w:p>
      <w:r>
        <w:t>| **Factor** | **Netherlands Hub** | **Singapore Hub** | **Advantage** |</w:t>
      </w:r>
    </w:p>
    <w:p>
      <w:r>
        <w:t>|-----------|--------------------|--------------------|---------------|</w:t>
      </w:r>
    </w:p>
    <w:p>
      <w:r>
        <w:t>| **Corporate tax rate** | 25.8% | 17% | Singapore (-8.8 pp) |</w:t>
      </w:r>
    </w:p>
    <w:p>
      <w:r>
        <w:t>| **Corporate tax cost** | USD 154,800 | USD 102,000 | Singapore (-USD 52,800) |</w:t>
      </w:r>
    </w:p>
    <w:p>
      <w:r>
        <w:t>| **WHT cost** | USD 0 | USD 80,000 | Netherlands (-USD 80,000) |</w:t>
      </w:r>
    </w:p>
    <w:p>
      <w:r>
        <w:t>| **Compliance costs** | USD 280,000 | USD 295,000 | Netherlands (-USD 15,000) |</w:t>
      </w:r>
    </w:p>
    <w:p>
      <w:r>
        <w:t>| **Total tax cost** | USD 434,800 | USD 477,000 | Netherlands (-USD 42,200) |</w:t>
      </w:r>
    </w:p>
    <w:p>
      <w:r>
        <w:t>| **Treaty network** | 90+ treaties | 75+ treaties | Netherlands |</w:t>
      </w:r>
    </w:p>
    <w:p>
      <w:r>
        <w:t>| **Angola coverage** | No treaty (but EU MOU) | No treaty | Neutral |</w:t>
      </w:r>
    </w:p>
    <w:p>
      <w:r>
        <w:t>| **Operational costs** | Lower | Higher | Netherlands |</w:t>
      </w:r>
    </w:p>
    <w:p>
      <w:r>
        <w:t>| **Time zone** | EU/Africa friendly | Asia-Pacific friendly | Depends on operations |</w:t>
      </w:r>
    </w:p>
    <w:p>
      <w:r>
        <w:t>**Recommendation**:</w:t>
      </w:r>
    </w:p>
    <w:p>
      <w:r>
        <w:t>**Netherlands** offers **lower total tax cost** (USD 434,800 vs. USD 477,000) primarily due to:</w:t>
      </w:r>
    </w:p>
    <w:p>
      <w:r>
        <w:t>1. **Superior treaty network**: No WHT on service payments vs. USD 80,000 WHT cost for Angola services from Singapore</w:t>
      </w:r>
    </w:p>
    <w:p>
      <w:r>
        <w:t>2. **Lower compliance costs**: EUR-based operations more cost-effective</w:t>
      </w:r>
    </w:p>
    <w:p>
      <w:r>
        <w:t>3. **Better geographic coverage**: Treaties with all four recipient countries</w:t>
      </w:r>
    </w:p>
    <w:p>
      <w:r>
        <w:t>However, **Singapore** may be preferred if:</w:t>
      </w:r>
    </w:p>
    <w:p>
      <w:r>
        <w:t>- Operations shift toward Asia-Pacific region (Indonesia, Malaysia focus)</w:t>
      </w:r>
    </w:p>
    <w:p>
      <w:r>
        <w:t>- Angola operations reduce or treaty is negotiated</w:t>
      </w:r>
    </w:p>
    <w:p>
      <w:r>
        <w:t>- Lower corporate tax rate becomes more significant with higher profit margins</w:t>
      </w:r>
    </w:p>
    <w:p>
      <w:r>
        <w:t>- Time zone advantages for service delivery coordination</w:t>
      </w:r>
    </w:p>
    <w:p>
      <w:r>
        <w:t>**Sensitivity**: If profit margin increases to USD 1,200,000 (e.g., higher service fees or lower costs):</w:t>
      </w:r>
    </w:p>
    <w:p>
      <w:r>
        <w:t>- Netherlands: USD 309,600 corporate tax + USD 0 WHT + USD 280,000 compliance = **USD 589,600 total**</w:t>
      </w:r>
    </w:p>
    <w:p>
      <w:r>
        <w:t>- Singapore: USD 204,000 corporate tax + USD 80,000 WHT + USD 295,000 compliance = **USD 579,000 total**</w:t>
      </w:r>
    </w:p>
    <w:p>
      <w:r>
        <w:t>- At higher margins, **Singapore becomes more competitive** due to lower corporate tax rate.</w:t>
      </w:r>
    </w:p>
    <w:p>
      <w:pPr>
        <w:pStyle w:val="Heading3"/>
      </w:pPr>
      <w:r>
        <w:t>5.2 Example 2: Secondment vs. Subcontracting Comparison</w:t>
      </w:r>
    </w:p>
    <w:p>
      <w:r>
        <w:t>**Background**:</w:t>
      </w:r>
    </w:p>
    <w:p>
      <w:r>
        <w:t>**International Energy Corp (IEC)**, headquartered in the UK, needs to provide engineering services to its Nigerian subsidiary for a 10-month offshore platform development project. IEC is evaluating two structural options:</w:t>
      </w:r>
    </w:p>
    <w:p>
      <w:r>
        <w:t>**Option A: Secondment Arrangement**</w:t>
      </w:r>
    </w:p>
    <w:p>
      <w:r>
        <w:t>- UK-based engineers seconded to Nigerian subsidiary</w:t>
      </w:r>
    </w:p>
    <w:p>
      <w:r>
        <w:t>- Nigerian sub pays salary costs plus 5% administrative fee</w:t>
      </w:r>
    </w:p>
    <w:p>
      <w:r>
        <w:t>- Engineers remain UK employees during secondment</w:t>
      </w:r>
    </w:p>
    <w:p>
      <w:r>
        <w:t>**Option B: Subcontracting Arrangement**</w:t>
      </w:r>
    </w:p>
    <w:p>
      <w:r>
        <w:t>- IEC UK provides services directly as contractor</w:t>
      </w:r>
    </w:p>
    <w:p>
      <w:r>
        <w:t>- Charges cost-plus 10% markup to Nigerian sub</w:t>
      </w:r>
    </w:p>
    <w:p>
      <w:r>
        <w:t>- Engineers travel to Nigeria but remain based in UK</w:t>
      </w:r>
    </w:p>
    <w:p>
      <w:r>
        <w:t>**Service Parameters**:</w:t>
      </w:r>
    </w:p>
    <w:p>
      <w:r>
        <w:t>- **Number of engineers**: 6 engineers</w:t>
      </w:r>
    </w:p>
    <w:p>
      <w:r>
        <w:t>- **Project duration**: 10 months</w:t>
      </w:r>
    </w:p>
    <w:p>
      <w:r>
        <w:t>- **Annual salary per engineer**: GBP 80,000 (approximately USD 100,000)</w:t>
      </w:r>
    </w:p>
    <w:p>
      <w:r>
        <w:t>- **Total salary costs for 10 months**: 6 × USD 100,000 × (10/12) = **USD 500,000**</w:t>
      </w:r>
    </w:p>
    <w:p>
      <w:r>
        <w:t>- **Support costs** (admin, tools, travel): USD 100,000</w:t>
      </w:r>
    </w:p>
    <w:p>
      <w:r>
        <w:t>- **Total cost base**: USD 600,000</w:t>
      </w:r>
    </w:p>
    <w:p>
      <w:r>
        <w:t>**Time in Nigeria**:</w:t>
      </w:r>
    </w:p>
    <w:p>
      <w:r>
        <w:t>- Engineers rotate with each spending average **90 days** in Nigeria over 10-month period</w:t>
      </w:r>
    </w:p>
    <w:p>
      <w:r>
        <w:t>- Total days: 6 engineers × 90 days = **540 person-days** in Nigeria</w:t>
      </w:r>
    </w:p>
    <w:p>
      <w:r>
        <w:t>**Tax Analysis:**</w:t>
      </w:r>
    </w:p>
    <w:p>
      <w:r>
        <w:t>**Option A: Secondment Structure**</w:t>
      </w:r>
    </w:p>
    <w:p>
      <w:r>
        <w:t>**Pricing**:</w:t>
      </w:r>
    </w:p>
    <w:p>
      <w:r>
        <w:t>- Cost base: USD 600,000</w:t>
      </w:r>
    </w:p>
    <w:p>
      <w:r>
        <w:t>- Administrative fee: 5%</w:t>
      </w:r>
    </w:p>
    <w:p>
      <w:r>
        <w:t>- Total charge to Nigerian sub: USD 600,000 × 1.05 = **USD 630,000**</w:t>
      </w:r>
    </w:p>
    <w:p>
      <w:r>
        <w:t>- IEC UK margin: USD 30,000</w:t>
      </w:r>
    </w:p>
    <w:p>
      <w:r>
        <w:t>**UK Tax Position**:</w:t>
      </w:r>
    </w:p>
    <w:p>
      <w:r>
        <w:t>- Taxable profit: USD 30,000 (administrative fee only)</w:t>
      </w:r>
    </w:p>
    <w:p>
      <w:r>
        <w:t>- UK corporate tax rate: 25% (2024)</w:t>
      </w:r>
    </w:p>
    <w:p>
      <w:r>
        <w:t>- UK tax: USD 30,000 × 25% = **USD 7,500**</w:t>
      </w:r>
    </w:p>
    <w:p>
      <w:r>
        <w:t>**Nigerian Tax Position**:</w:t>
      </w:r>
    </w:p>
    <w:p>
      <w:r>
        <w:t>- **Secondment = Cost Reimbursement**: Generally no WHT on pure cost reimbursement</w:t>
      </w:r>
    </w:p>
    <w:p>
      <w:r>
        <w:t>- 5% admin fee may be subject to WHT: USD 30,000 × 10% = **USD 3,000** (assuming 10% WHT on fees)</w:t>
      </w:r>
    </w:p>
    <w:p>
      <w:r>
        <w:t>- **Service PE risk**: LOW - seconded employees work for Nigerian subsidiary, not IEC UK</w:t>
      </w:r>
    </w:p>
    <w:p>
      <w:r>
        <w:t xml:space="preserve">  - Employment arrangement with local entity</w:t>
      </w:r>
    </w:p>
    <w:p>
      <w:r>
        <w:t xml:space="preserve">  - No independent service provision by UK parent</w:t>
      </w:r>
    </w:p>
    <w:p>
      <w:r>
        <w:t xml:space="preserve">  - Salary paid by/recharged to Nigerian employer</w:t>
      </w:r>
    </w:p>
    <w:p>
      <w:r>
        <w:t>- **Result**: No PE created in Nigeria</w:t>
      </w:r>
    </w:p>
    <w:p>
      <w:r>
        <w:t>**Individual Tax on Engineers**:</w:t>
      </w:r>
    </w:p>
    <w:p>
      <w:r>
        <w:t>- Engineers may face **Nigerian personal income tax** on salary for days worked in Nigeria</w:t>
      </w:r>
    </w:p>
    <w:p>
      <w:r>
        <w:t>- Nigerian **Personal Income Tax (PIT)** rates: Up to 24% on employment income</w:t>
      </w:r>
    </w:p>
    <w:p>
      <w:r>
        <w:t>- UK-Nigeria tax treaty provides **foreign tax credit** for Nigerian tax paid</w:t>
      </w:r>
    </w:p>
    <w:p>
      <w:r>
        <w:t>- **Calculation** (per engineer for 90 days in Nigeria):</w:t>
      </w:r>
    </w:p>
    <w:p>
      <w:r>
        <w:t xml:space="preserve">  - Nigeria-sourced employment income: USD 100,000 × (90/365) = USD 24,658</w:t>
      </w:r>
    </w:p>
    <w:p>
      <w:r>
        <w:t xml:space="preserve">  - Nigerian PIT (assume 20% effective): USD 24,658 × 20% = USD 4,932</w:t>
      </w:r>
    </w:p>
    <w:p>
      <w:r>
        <w:t xml:space="preserve">  - Credit claimed in UK tax return</w:t>
      </w:r>
    </w:p>
    <w:p>
      <w:r>
        <w:t xml:space="preserve">  - **Net additional tax burden**: Limited due to credit mechanism</w:t>
      </w:r>
    </w:p>
    <w:p>
      <w:r>
        <w:t>**Total Tax Cost (Secondment)**:</w:t>
      </w:r>
    </w:p>
    <w:p>
      <w:r>
        <w:t>- UK corporate tax: USD 7,500</w:t>
      </w:r>
    </w:p>
    <w:p>
      <w:r>
        <w:t>- Nigerian WHT (on admin fee): USD 3,000</w:t>
      </w:r>
    </w:p>
    <w:p>
      <w:r>
        <w:t>- Individual tax: Economically borne by employees (neutral to IEC if salary grossing-up not required)</w:t>
      </w:r>
    </w:p>
    <w:p>
      <w:r>
        <w:t>- **Total corporate tax cost**: USD 10,500</w:t>
      </w:r>
    </w:p>
    <w:p>
      <w:r>
        <w:t>**Option B: Subcontracting Structure**</w:t>
      </w:r>
    </w:p>
    <w:p>
      <w:r>
        <w:t>**Pricing**:</w:t>
      </w:r>
    </w:p>
    <w:p>
      <w:r>
        <w:t>- Cost base: USD 600,000</w:t>
      </w:r>
    </w:p>
    <w:p>
      <w:r>
        <w:t>- Markup: 10%</w:t>
      </w:r>
    </w:p>
    <w:p>
      <w:r>
        <w:t>- Total charge to Nigerian sub: USD 600,000 × 1.10 = **USD 660,000**</w:t>
      </w:r>
    </w:p>
    <w:p>
      <w:r>
        <w:t>- IEC UK margin: USD 60,000</w:t>
      </w:r>
    </w:p>
    <w:p>
      <w:r>
        <w:t>**UK Tax Position**:</w:t>
      </w:r>
    </w:p>
    <w:p>
      <w:r>
        <w:t>- Taxable profit: USD 60,000</w:t>
      </w:r>
    </w:p>
    <w:p>
      <w:r>
        <w:t>- UK corporate tax rate: 25% (2024)</w:t>
      </w:r>
    </w:p>
    <w:p>
      <w:r>
        <w:t>- UK tax: USD 60,000 × 25% = **USD 15,000**</w:t>
      </w:r>
    </w:p>
    <w:p>
      <w:r>
        <w:t>**Nigerian Tax Position**:</w:t>
      </w:r>
    </w:p>
    <w:p>
      <w:r>
        <w:t>**Service PE Risk Assessment**:</w:t>
      </w:r>
    </w:p>
    <w:p>
      <w:r>
        <w:t>- UK-Nigeria tax treaty includes **service PE provision**: 183 days in any 12-month period</w:t>
      </w:r>
    </w:p>
    <w:p>
      <w:r>
        <w:t>- **Time calculation**:</w:t>
      </w:r>
    </w:p>
    <w:p>
      <w:r>
        <w:t xml:space="preserve">  - 6 engineers × 90 days each = 540 person-days</w:t>
      </w:r>
    </w:p>
    <w:p>
      <w:r>
        <w:t xml:space="preserve">  - Multiple individuals: **aggregate** if providing services for "same or connected project"</w:t>
      </w:r>
    </w:p>
    <w:p>
      <w:r>
        <w:t xml:space="preserve">  - **Connected project**: Single platform development likely considered connected</w:t>
      </w:r>
    </w:p>
    <w:p>
      <w:r>
        <w:t xml:space="preserve">  - **Total days**: 540 days / 6 persons = Still 90 days per person</w:t>
      </w:r>
    </w:p>
    <w:p>
      <w:r>
        <w:t xml:space="preserve">  - **Result**: Each individual below 183-day threshold</w:t>
      </w:r>
    </w:p>
    <w:p>
      <w:r>
        <w:t xml:space="preserve">  - **However**: Some jurisdictions **aggregate** person-days for the project</w:t>
      </w:r>
    </w:p>
    <w:p>
      <w:r>
        <w:t>**Conservative interpretation** (Nigeria may aggregate):</w:t>
      </w:r>
    </w:p>
    <w:p>
      <w:r>
        <w:t>- If 540 person-days treated as single project duration = **540 days &gt; 183 days**</w:t>
      </w:r>
    </w:p>
    <w:p>
      <w:r>
        <w:t>- **Service PE created** in Nigeria</w:t>
      </w:r>
    </w:p>
    <w:p>
      <w:r>
        <w:t>**Tax Consequences with Service PE**:</w:t>
      </w:r>
    </w:p>
    <w:p>
      <w:r>
        <w:t>- **Profits attributable to PE**: Likely substantial portion of USD 60,000 margin</w:t>
      </w:r>
    </w:p>
    <w:p>
      <w:r>
        <w:t>- **Assume 80% of margin** attributable to Nigerian PE (services performed in Nigeria)</w:t>
      </w:r>
    </w:p>
    <w:p>
      <w:r>
        <w:t>- Profits attributable to PE: USD 60,000 × 80% = **USD 48,000**</w:t>
      </w:r>
    </w:p>
    <w:p>
      <w:r>
        <w:t>- Nigerian corporate tax rate: **30%** (petroleum sector often 30-50%)</w:t>
      </w:r>
    </w:p>
    <w:p>
      <w:r>
        <w:t>- Nigerian tax on PE profits: USD 48,000 × 30% = **USD 14,400**</w:t>
      </w:r>
    </w:p>
    <w:p>
      <w:r>
        <w:t>- UK tax on remaining profits: USD 12,000 × 25% = USD 3,000</w:t>
      </w:r>
    </w:p>
    <w:p>
      <w:r>
        <w:t>- **UK foreign tax credit** for Nigerian tax: USD 14,400 credit against UK tax on Nigerian profits</w:t>
      </w:r>
    </w:p>
    <w:p>
      <w:r>
        <w:t>- Net UK tax: USD 15,000 - USD 14,400 = USD 600</w:t>
      </w:r>
    </w:p>
    <w:p>
      <w:r>
        <w:t>**Withholding Tax**:</w:t>
      </w:r>
    </w:p>
    <w:p>
      <w:r>
        <w:t>- If PE exists: **No WHT** on service fees (profits taxed through PE instead)</w:t>
      </w:r>
    </w:p>
    <w:p>
      <w:r>
        <w:t>- If no PE: **10% WHT** on service fees</w:t>
      </w:r>
    </w:p>
    <w:p>
      <w:r>
        <w:t xml:space="preserve">  - WHT: USD 660,000 × 10% = USD 66,000</w:t>
      </w:r>
    </w:p>
    <w:p>
      <w:r>
        <w:t xml:space="preserve">  - Potentially creditable against UK tax but UK tax only USD 15,000</w:t>
      </w:r>
    </w:p>
    <w:p>
      <w:r>
        <w:t xml:space="preserve">  - **Excess WHT**: USD 66,000 - USD 15,000 = USD 51,000 (non-creditable loss)</w:t>
      </w:r>
    </w:p>
    <w:p>
      <w:r>
        <w:t>**Compliance and Risks**:</w:t>
      </w:r>
    </w:p>
    <w:p>
      <w:r>
        <w:t>- PE registration and tax filing in Nigeria: USD 20,000</w:t>
      </w:r>
    </w:p>
    <w:p>
      <w:r>
        <w:t>- Transfer pricing documentation: USD 40,000</w:t>
      </w:r>
    </w:p>
    <w:p>
      <w:r>
        <w:t>- PE profit attribution analysis: USD 25,000</w:t>
      </w:r>
    </w:p>
    <w:p>
      <w:r>
        <w:t>- **Total compliance costs**: USD 85,000</w:t>
      </w:r>
    </w:p>
    <w:p>
      <w:r>
        <w:t>**Total Tax Cost (Subcontracting - with PE)**:</w:t>
      </w:r>
    </w:p>
    <w:p>
      <w:r>
        <w:t>- UK corporate tax: USD 15,000</w:t>
      </w:r>
    </w:p>
    <w:p>
      <w:r>
        <w:t>- Nigerian corporate tax (PE): USD 14,400</w:t>
      </w:r>
    </w:p>
    <w:p>
      <w:r>
        <w:t>- Compliance costs: USD 85,000</w:t>
      </w:r>
    </w:p>
    <w:p>
      <w:r>
        <w:t>- **Total**: USD 114,400</w:t>
      </w:r>
    </w:p>
    <w:p>
      <w:r>
        <w:t>**Total Tax Cost (Subcontracting - if no PE, conservative WHT approach)**:</w:t>
      </w:r>
    </w:p>
    <w:p>
      <w:r>
        <w:t>- UK corporate tax: USD 15,000</w:t>
      </w:r>
    </w:p>
    <w:p>
      <w:r>
        <w:t>- Nigerian WHT: USD 66,000</w:t>
      </w:r>
    </w:p>
    <w:p>
      <w:r>
        <w:t>- Foreign tax credit: (USD 15,000) - cannot exceed UK tax on foreign profit</w:t>
      </w:r>
    </w:p>
    <w:p>
      <w:r>
        <w:t>- Net cost: USD 66,000 (WHT) + USD 0 (UK tax fully credited)</w:t>
      </w:r>
    </w:p>
    <w:p>
      <w:r>
        <w:t>- Compliance costs: USD 40,000 (no PE filing, but transfer pricing documentation)</w:t>
      </w:r>
    </w:p>
    <w:p>
      <w:r>
        <w:t>- **Total**: USD 106,000</w:t>
      </w:r>
    </w:p>
    <w:p>
      <w:r>
        <w:t>**Comparative Summary**:</w:t>
      </w:r>
    </w:p>
    <w:p>
      <w:r>
        <w:t>| **Factor** | **Secondment (Option A)** | **Subcontracting with PE (Option B)** | **Difference** |</w:t>
      </w:r>
    </w:p>
    <w:p>
      <w:r>
        <w:t>|-----------|---------------------------|---------------------------------------|---------------|</w:t>
      </w:r>
    </w:p>
    <w:p>
      <w:r>
        <w:t>| **Service fee charged** | USD 630,000 | USD 660,000 | +USD 30,000 |</w:t>
      </w:r>
    </w:p>
    <w:p>
      <w:r>
        <w:t>| **IEC UK margin** | USD 30,000 (5%) | USD 60,000 (10%) | +USD 30,000 |</w:t>
      </w:r>
    </w:p>
    <w:p>
      <w:r>
        <w:t>| **UK corporate tax** | USD 7,500 | USD 15,000 | +USD 7,500 |</w:t>
      </w:r>
    </w:p>
    <w:p>
      <w:r>
        <w:t>| **Nigerian corporate tax (PE)** | USD 0 | USD 14,400 | +USD 14,400 |</w:t>
      </w:r>
    </w:p>
    <w:p>
      <w:r>
        <w:t>| **Nigerian WHT** | USD 3,000 | USD 0 (PE route) | -USD 3,000 |</w:t>
      </w:r>
    </w:p>
    <w:p>
      <w:r>
        <w:t>| **Compliance costs** | USD 10,000 | USD 85,000 | +USD 75,000 |</w:t>
      </w:r>
    </w:p>
    <w:p>
      <w:r>
        <w:t>| **Total tax &amp; compliance** | USD 20,500 | USD 114,400 | +USD 93,900 |</w:t>
      </w:r>
    </w:p>
    <w:p>
      <w:r>
        <w:t>| **Net margin after tax** | USD 9,500 | USD 45,600 - USD 29,400 = USD 16,200 | +USD 6,700 |</w:t>
      </w:r>
    </w:p>
    <w:p>
      <w:r>
        <w:t>| **PE risk** | Low | High | |</w:t>
      </w:r>
    </w:p>
    <w:p>
      <w:r>
        <w:t>| **Transfer pricing complexity** | Low | High | |</w:t>
      </w:r>
    </w:p>
    <w:p>
      <w:r>
        <w:t>**Alternative: Subcontracting WITHOUT PE (if can stay below threshold)**:</w:t>
      </w:r>
    </w:p>
    <w:p>
      <w:r>
        <w:t>- Rotate engineers to keep each below 90 days AND argue no aggregation</w:t>
      </w:r>
    </w:p>
    <w:p>
      <w:r>
        <w:t>- Total tax cost: USD 106,000 (see calculation above)</w:t>
      </w:r>
    </w:p>
    <w:p>
      <w:r>
        <w:t>- Still less favorable than secondment due to WHT</w:t>
      </w:r>
    </w:p>
    <w:p>
      <w:r>
        <w:t>**Recommendation**:</w:t>
      </w:r>
    </w:p>
    <w:p>
      <w:r>
        <w:t>**Secondment structure (Option A)** is clearly superior:</w:t>
      </w:r>
    </w:p>
    <w:p>
      <w:r>
        <w:t>1. **Lower total tax cost**: USD 20,500 vs. USD 114,400 (saves USD 93,900)</w:t>
      </w:r>
    </w:p>
    <w:p>
      <w:r>
        <w:t>2. **No PE risk**: Eliminates complex PE registration and attribution</w:t>
      </w:r>
    </w:p>
    <w:p>
      <w:r>
        <w:t>3. **Minimal WHT exposure**: Only on small admin fee</w:t>
      </w:r>
    </w:p>
    <w:p>
      <w:r>
        <w:t>4. **Lower compliance burden**: Simple cost recharge agreement</w:t>
      </w:r>
    </w:p>
    <w:p>
      <w:r>
        <w:t>5. **Operational flexibility**: Engineers work directly for Nigerian sub</w:t>
      </w:r>
    </w:p>
    <w:p>
      <w:r>
        <w:t>**Implementation Considerations for Secondment**:</w:t>
      </w:r>
    </w:p>
    <w:p>
      <w:r>
        <w:t>- **Secondment agreement**: Clear terms defining temporary assignment, salary recharge, duration</w:t>
      </w:r>
    </w:p>
    <w:p>
      <w:r>
        <w:t>- **Employment status**: Engineers remain UK employees but temporarily assigned to Nigerian sub</w:t>
      </w:r>
    </w:p>
    <w:p>
      <w:r>
        <w:t>- **Cost allocation**: Direct salary plus allocable overhead, minimal markup</w:t>
      </w:r>
    </w:p>
    <w:p>
      <w:r>
        <w:t>- **Individual tax compliance**: Engineers file Nigerian tax returns for sourced income</w:t>
      </w:r>
    </w:p>
    <w:p>
      <w:r>
        <w:t>- **Immigration**: Work permits/visas for seconded staff in Nigeria</w:t>
      </w:r>
    </w:p>
    <w:p>
      <w:r>
        <w:t>- **Social security**: Determine whether UK or Nigerian social security applies (A1 certificate if available)</w:t>
      </w:r>
    </w:p>
    <w:p>
      <w:r>
        <w:t>**When Subcontracting Might Be Preferred**:</w:t>
      </w:r>
    </w:p>
    <w:p>
      <w:r>
        <w:t>- Short-term projects (&lt;90 days total) avoiding PE risk</w:t>
      </w:r>
    </w:p>
    <w:p>
      <w:r>
        <w:t>- Services provided remotely without physical presence in Nigeria</w:t>
      </w:r>
    </w:p>
    <w:p>
      <w:r>
        <w:t>- Third-party service provider (not group entity) eliminating transfer pricing concerns</w:t>
      </w:r>
    </w:p>
    <w:p>
      <w:r>
        <w:t>- Desire to book higher margins in UK (though at significantly higher tax cost in this scenario)</w:t>
      </w:r>
    </w:p>
    <w:p>
      <w:pPr>
        <w:pStyle w:val="Heading2"/>
      </w:pPr>
      <w:r>
        <w:t>6. Recent Developments (2023-2025)</w:t>
      </w:r>
    </w:p>
    <w:p>
      <w:pPr>
        <w:pStyle w:val="Heading3"/>
      </w:pPr>
      <w:r>
        <w:t>6.1 BEPS 2.0 and Pillar Two Impact</w:t>
      </w:r>
    </w:p>
    <w:p>
      <w:r>
        <w:t>**Global Minimum Tax (15% Effective Tax Rate (ETR))**:</w:t>
      </w:r>
    </w:p>
    <w:p>
      <w:r>
        <w:t>- **Pillar Two** effective from 2024 (phased implementation)</w:t>
      </w:r>
    </w:p>
    <w:p>
      <w:r>
        <w:t>- Service companies must maintain **15% effective tax rate** in each jurisdiction</w:t>
      </w:r>
    </w:p>
    <w:p>
      <w:r>
        <w:t>- **Impact on structure selection**:</w:t>
      </w:r>
    </w:p>
    <w:p>
      <w:r>
        <w:t xml:space="preserve">  - Low-tax jurisdictions (below 15%) face **top-up tax**</w:t>
      </w:r>
    </w:p>
    <w:p>
      <w:r>
        <w:t xml:space="preserve">  - UAE (9% rate) service companies may face 6% top-up tax</w:t>
      </w:r>
    </w:p>
    <w:p>
      <w:r>
        <w:t xml:space="preserve">  - Ireland (12.5% rate on trading income) service companies face potential 2.5% top-up</w:t>
      </w:r>
    </w:p>
    <w:p>
      <w:r>
        <w:t xml:space="preserve">  - Singapore (17% rate) and Netherlands (25.8% rate) **not affected**</w:t>
      </w:r>
    </w:p>
    <w:p>
      <w:r>
        <w:t>- **Policy rationale**: Pillar Two addresses base erosion through profit shifting to low-tax jurisdictions by ensuring minimum 15% taxation globally, eliminating race-to-the-bottom tax competition and ensuring multinational enterprises pay fair share of tax regardless of where they book profits</w:t>
      </w:r>
    </w:p>
    <w:p>
      <w:r>
        <w:t>**Qualified Domestic Minimum Top-up Tax (QDMTT)**:</w:t>
      </w:r>
    </w:p>
    <w:p>
      <w:r>
        <w:t>- Many countries implementing QDMTT to collect top-up tax domestically</w:t>
      </w:r>
    </w:p>
    <w:p>
      <w:r>
        <w:t>- Service company profits in low-tax jurisdictions face domestic top-up</w:t>
      </w:r>
    </w:p>
    <w:p>
      <w:r>
        <w:t>- **Planning response**: Consider shifting service hubs to jurisdictions above 15% rate</w:t>
      </w:r>
    </w:p>
    <w:p>
      <w:r>
        <w:t>**Substance-Based Income Exclusion (SBIE)**:</w:t>
      </w:r>
    </w:p>
    <w:p>
      <w:r>
        <w:t>- **Carve-out** for substance: 5% of eligible payroll and tangible assets excluded from top-up tax</w:t>
      </w:r>
    </w:p>
    <w:p>
      <w:r>
        <w:t>- **Service companies benefit**: High payroll costs create meaningful exclusion</w:t>
      </w:r>
    </w:p>
    <w:p>
      <w:r>
        <w:t>- **Example**: Service company with USD 10M payroll can exclude USD 500,000 from Pillar Two calculations</w:t>
      </w:r>
    </w:p>
    <w:p>
      <w:pPr>
        <w:pStyle w:val="Heading3"/>
      </w:pPr>
      <w:r>
        <w:t>6.2 Transfer Pricing Developments</w:t>
      </w:r>
    </w:p>
    <w:p>
      <w:r>
        <w:t>**OECD Transfer Pricing Guidelines 2022 Update**:</w:t>
      </w:r>
    </w:p>
    <w:p>
      <w:r>
        <w:t>- Enhanced guidance on **intra-group services**</w:t>
      </w:r>
    </w:p>
    <w:p>
      <w:r>
        <w:t>- **Low value-adding services**: 5% markup safe harbor</w:t>
      </w:r>
    </w:p>
    <w:p>
      <w:r>
        <w:t>- **Shareholder activities**: Cannot be charged to subsidiaries</w:t>
      </w:r>
    </w:p>
    <w:p>
      <w:r>
        <w:t>- **Benefit test**: Services must provide benefit to recipient</w:t>
      </w:r>
    </w:p>
    <w:p>
      <w:r>
        <w:t>**Increased Scrutiny of Service Fees**:</w:t>
      </w:r>
    </w:p>
    <w:p>
      <w:r>
        <w:t>- Tax authorities challenging **high markups** on routine services</w:t>
      </w:r>
    </w:p>
    <w:p>
      <w:r>
        <w:t>- Focus on **substance** supporting service company profits</w:t>
      </w:r>
    </w:p>
    <w:p>
      <w:r>
        <w:t>- **Documentation requirements**: Detailed activity logs, time tracking, delivery evidence</w:t>
      </w:r>
    </w:p>
    <w:p>
      <w:r>
        <w:t>**Formulaic Approaches**:</w:t>
      </w:r>
    </w:p>
    <w:p>
      <w:r>
        <w:t>- Some jurisdictions (e.g., India, China) prescribing fixed markup ranges</w:t>
      </w:r>
    </w:p>
    <w:p>
      <w:r>
        <w:t>- **India**: 2-5% markup for routine support services increasingly accepted</w:t>
      </w:r>
    </w:p>
    <w:p>
      <w:r>
        <w:t>- **Brazil**: Fixed markup regulations under "Profit Split" method</w:t>
      </w:r>
    </w:p>
    <w:p>
      <w:pPr>
        <w:pStyle w:val="Heading3"/>
      </w:pPr>
      <w:r>
        <w:t>6.3 Withholding Tax Trends</w:t>
      </w:r>
    </w:p>
    <w:p>
      <w:r>
        <w:t>**Expanding Technical Service WHT**:</w:t>
      </w:r>
    </w:p>
    <w:p>
      <w:r>
        <w:t>- Countries introducing or increasing WHT on technical services</w:t>
      </w:r>
    </w:p>
    <w:p>
      <w:r>
        <w:t>- **India**: Equalisation levy on digital services (2% on gross)</w:t>
      </w:r>
    </w:p>
    <w:p>
      <w:r>
        <w:t>- **African jurisdictions**: Increasing WHT rates (10-15% typical)</w:t>
      </w:r>
    </w:p>
    <w:p>
      <w:r>
        <w:t>**Multilateral Instrument (MLI) Impact**:</w:t>
      </w:r>
    </w:p>
    <w:p>
      <w:r>
        <w:t>- **Principal Purpose Test (PPT)**: Anti-treaty shopping rule</w:t>
      </w:r>
    </w:p>
    <w:p>
      <w:r>
        <w:t>- Service companies must demonstrate **business purpose** beyond tax</w:t>
      </w:r>
    </w:p>
    <w:p>
      <w:r>
        <w:t>- **Substance requirements** critical to treaty benefits access</w:t>
      </w:r>
    </w:p>
    <w:p>
      <w:r>
        <w:t>- Over 100 jurisdictions adopted MLI modifying bilateral treaties</w:t>
      </w:r>
    </w:p>
    <w:p>
      <w:r>
        <w:t>**Treaty Limitation of Benefits (LOB)**:</w:t>
      </w:r>
    </w:p>
    <w:p>
      <w:r>
        <w:t>- Stricter **eligibility tests** for treaty benefits</w:t>
      </w:r>
    </w:p>
    <w:p>
      <w:r>
        <w:t>- **Active business test**: Service company must conduct substantial activities</w:t>
      </w:r>
    </w:p>
    <w:p>
      <w:r>
        <w:t>- **Ownership and base erosion tests**: Must meet quantitative thresholds</w:t>
      </w:r>
    </w:p>
    <w:p>
      <w:pPr>
        <w:pStyle w:val="Heading3"/>
      </w:pPr>
      <w:r>
        <w:t>6.4 Substance Requirements Evolution</w:t>
      </w:r>
    </w:p>
    <w:p>
      <w:r>
        <w:t>**EU Tax Transparency Directive**:</w:t>
      </w:r>
    </w:p>
    <w:p>
      <w:r>
        <w:t>- **Directive on Administrative Cooperation 6 (DAC 6)**: Mandatory disclosure of cross-border arrangements</w:t>
      </w:r>
    </w:p>
    <w:p>
      <w:r>
        <w:t>- Service structures potentially **reportable** if meet hallmarks</w:t>
      </w:r>
    </w:p>
    <w:p>
      <w:r>
        <w:t>- **Country-by-Country Reporting (CbCR)**: Expanded to include service revenues</w:t>
      </w:r>
    </w:p>
    <w:p>
      <w:r>
        <w:t>**Economic Substance Regulations**:</w:t>
      </w:r>
    </w:p>
    <w:p>
      <w:r>
        <w:t>- **Cayman Islands, BVI, other offshore centers**: Strict substance tests</w:t>
      </w:r>
    </w:p>
    <w:p>
      <w:r>
        <w:t>- **Core income-generating activities** must be in jurisdiction</w:t>
      </w:r>
    </w:p>
    <w:p>
      <w:r>
        <w:t>- **Adequate employees and expenditure** proportionate to activities</w:t>
      </w:r>
    </w:p>
    <w:p>
      <w:r>
        <w:t>- **Heavy penalties** for non-compliance (up to USD 100,000+)</w:t>
      </w:r>
    </w:p>
    <w:p>
      <w:r>
        <w:t>**OECD Amount B (2024)**:</w:t>
      </w:r>
    </w:p>
    <w:p>
      <w:r>
        <w:t>- **Simplified transfer pricing** for baseline marketing and distribution</w:t>
      </w:r>
    </w:p>
    <w:p>
      <w:r>
        <w:t>- **Potential extension** to routine services in future</w:t>
      </w:r>
    </w:p>
    <w:p>
      <w:r>
        <w:t>- **Fixed return approach**: Could provide safe harbor for service markups</w:t>
      </w:r>
    </w:p>
    <w:p>
      <w:pPr>
        <w:pStyle w:val="Heading2"/>
      </w:pPr>
      <w:r>
        <w:t>7. Planning Recommendations</w:t>
      </w:r>
    </w:p>
    <w:p>
      <w:pPr>
        <w:pStyle w:val="Heading3"/>
      </w:pPr>
      <w:r>
        <w:t>7.1 Best Practices for Service Structure Design</w:t>
      </w:r>
    </w:p>
    <w:p>
      <w:r>
        <w:t>**Strategic Considerations**:</w:t>
      </w:r>
    </w:p>
    <w:p>
      <w:r>
        <w:t>1. **Start with commercial rationale**: Ensure genuine business purpose (efficiency, expertise, scale)</w:t>
      </w:r>
    </w:p>
    <w:p>
      <w:r>
        <w:t>2. **Build adequate substance**: Invest in real operations, employees, and decision-making capability</w:t>
      </w:r>
    </w:p>
    <w:p>
      <w:r>
        <w:t>3. **Document contemporaneously**: Prepare agreements, TP documentation, and operational records</w:t>
      </w:r>
    </w:p>
    <w:p>
      <w:r>
        <w:t>4. **Monitor PE thresholds**: Implement systems to track days in each jurisdiction</w:t>
      </w:r>
    </w:p>
    <w:p>
      <w:r>
        <w:t>5. **Regular structure review**: Reassess every 2-3 years for tax law changes and business evolution</w:t>
      </w:r>
    </w:p>
    <w:p>
      <w:r>
        <w:t>**Operational Best Practices**:</w:t>
      </w:r>
    </w:p>
    <w:p>
      <w:r>
        <w:t>1. **Service agreements**: Written contracts defining scope, pricing, payment terms, IP ownership</w:t>
      </w:r>
    </w:p>
    <w:p>
      <w:r>
        <w:t>2. **Activity tracking**: Time sheets, project logs, delivery documentation</w:t>
      </w:r>
    </w:p>
    <w:p>
      <w:r>
        <w:t>3. **Cost allocation**: Robust methodology with supporting data and allocation keys</w:t>
      </w:r>
    </w:p>
    <w:p>
      <w:r>
        <w:t>4. **Markup benchmarking**: Periodic comparability studies (every 3 years minimum)</w:t>
      </w:r>
    </w:p>
    <w:p>
      <w:r>
        <w:t>5. **Compliance calendar**: Track filing deadlines, treaty claims, transfer pricing documentation</w:t>
      </w:r>
    </w:p>
    <w:p>
      <w:r>
        <w:t>**Risk Mitigation**:</w:t>
      </w:r>
    </w:p>
    <w:p>
      <w:r>
        <w:t>1. **PE exposure management**:</w:t>
      </w:r>
    </w:p>
    <w:p>
      <w:r>
        <w:t xml:space="preserve">   - Rotation schedules to stay below thresholds</w:t>
      </w:r>
    </w:p>
    <w:p>
      <w:r>
        <w:t xml:space="preserve">   - Consider intentional PE registration if threshold exceeded</w:t>
      </w:r>
    </w:p>
    <w:p>
      <w:r>
        <w:t xml:space="preserve">   - Monitor aggregation risks for connected projects</w:t>
      </w:r>
    </w:p>
    <w:p>
      <w:r>
        <w:t>2. **Transfer pricing defense**:</w:t>
      </w:r>
    </w:p>
    <w:p>
      <w:r>
        <w:t xml:space="preserve">   - Benchmarking studies supporting markup selection</w:t>
      </w:r>
    </w:p>
    <w:p>
      <w:r>
        <w:t xml:space="preserve">   - Economic analysis showing value creation</w:t>
      </w:r>
    </w:p>
    <w:p>
      <w:r>
        <w:t xml:space="preserve">   - Advance Pricing Agreements (APAs) for significant service flows</w:t>
      </w:r>
    </w:p>
    <w:p>
      <w:r>
        <w:t>3. **WHT optimization**:</w:t>
      </w:r>
    </w:p>
    <w:p>
      <w:r>
        <w:t xml:space="preserve">   - Leverage treaty network effectively</w:t>
      </w:r>
    </w:p>
    <w:p>
      <w:r>
        <w:t xml:space="preserve">   - Proper characterization (business profits vs. royalties)</w:t>
      </w:r>
    </w:p>
    <w:p>
      <w:r>
        <w:t xml:space="preserve">   - Timely filing of treaty residence certificates</w:t>
      </w:r>
    </w:p>
    <w:p>
      <w:r>
        <w:t>4. **Pillar Two compliance**:</w:t>
      </w:r>
    </w:p>
    <w:p>
      <w:r>
        <w:t xml:space="preserve">   - Model jurisdiction-level **Effective Tax Rate (ETR)** for service entities</w:t>
      </w:r>
    </w:p>
    <w:p>
      <w:r>
        <w:t xml:space="preserve">   - Ensure structure maintains 15%+ ETR or apply **Substance-Based Income Exclusion (SBIE)** carve-out</w:t>
      </w:r>
    </w:p>
    <w:p>
      <w:r>
        <w:t xml:space="preserve">   - Consider **Qualified Domestic Minimum Top-up Tax (QDMTT)** impact in hub location selection</w:t>
      </w:r>
    </w:p>
    <w:p>
      <w:pPr>
        <w:pStyle w:val="Heading3"/>
      </w:pPr>
      <w:r>
        <w:t>7.2 Implementation Roadmap</w:t>
      </w:r>
    </w:p>
    <w:p>
      <w:r>
        <w:t>**Phase 1: Analysis and Design (Months 1-2)**</w:t>
      </w:r>
    </w:p>
    <w:p>
      <w:r>
        <w:t>- Map current service flows and costs</w:t>
      </w:r>
    </w:p>
    <w:p>
      <w:r>
        <w:t>- Identify tax efficiency opportunities</w:t>
      </w:r>
    </w:p>
    <w:p>
      <w:r>
        <w:t>- Evaluate hub location options with financial modeling</w:t>
      </w:r>
    </w:p>
    <w:p>
      <w:r>
        <w:t>- Design target structure with substance plan</w:t>
      </w:r>
    </w:p>
    <w:p>
      <w:r>
        <w:t>**Phase 2: Entity Setup (Months 3-4)**</w:t>
      </w:r>
    </w:p>
    <w:p>
      <w:r>
        <w:t>- Incorporate service company entity</w:t>
      </w:r>
    </w:p>
    <w:p>
      <w:r>
        <w:t>- Obtain tax registrations and licenses</w:t>
      </w:r>
    </w:p>
    <w:p>
      <w:r>
        <w:t>- Hire key personnel (management and technical)</w:t>
      </w:r>
    </w:p>
    <w:p>
      <w:r>
        <w:t>- Establish office facilities</w:t>
      </w:r>
    </w:p>
    <w:p>
      <w:r>
        <w:t>**Phase 3: Operational Implementation (Months 5-6)**</w:t>
      </w:r>
    </w:p>
    <w:p>
      <w:r>
        <w:t>- Transfer service delivery to new structure</w:t>
      </w:r>
    </w:p>
    <w:p>
      <w:r>
        <w:t>- Execute intercompany service agreements</w:t>
      </w:r>
    </w:p>
    <w:p>
      <w:r>
        <w:t>- Implement time tracking and cost allocation systems</w:t>
      </w:r>
    </w:p>
    <w:p>
      <w:r>
        <w:t>- Establish transfer pricing policies</w:t>
      </w:r>
    </w:p>
    <w:p>
      <w:r>
        <w:t>**Phase 4: Compliance Framework (Months 7-12)**</w:t>
      </w:r>
    </w:p>
    <w:p>
      <w:r>
        <w:t>- Prepare Master File and Local File documentation</w:t>
      </w:r>
    </w:p>
    <w:p>
      <w:r>
        <w:t>- File tax returns in service company jurisdiction</w:t>
      </w:r>
    </w:p>
    <w:p>
      <w:r>
        <w:t>- Monitor PE threshold compliance</w:t>
      </w:r>
    </w:p>
    <w:p>
      <w:r>
        <w:t>- Conduct first-year review and adjustments</w:t>
      </w:r>
    </w:p>
    <w:p>
      <w:r>
        <w:t>**Ongoing Management**:</w:t>
      </w:r>
    </w:p>
    <w:p>
      <w:r>
        <w:t>- Quarterly PE day tracking and reporting</w:t>
      </w:r>
    </w:p>
    <w:p>
      <w:r>
        <w:t>- Annual benchmarking study updates</w:t>
      </w:r>
    </w:p>
    <w:p>
      <w:r>
        <w:t>- Triennial comprehensive structure review</w:t>
      </w:r>
    </w:p>
    <w:p>
      <w:r>
        <w:t>- Continuous monitoring of tax law developments</w:t>
      </w:r>
    </w:p>
    <w:p>
      <w:pPr>
        <w:pStyle w:val="Heading3"/>
      </w:pPr>
      <w:r>
        <w:t>7.3 Common Pitfalls to Avoid</w:t>
      </w:r>
    </w:p>
    <w:p>
      <w:r>
        <w:t>1. **Insufficient substance**: Mailbox companies with no real operations</w:t>
      </w:r>
    </w:p>
    <w:p>
      <w:r>
        <w:t>2. **PE threshold breaches**: Inadequate monitoring of personnel days</w:t>
      </w:r>
    </w:p>
    <w:p>
      <w:r>
        <w:t>3. **Excessive markups**: Unjustified high margins leading to TP adjustments</w:t>
      </w:r>
    </w:p>
    <w:p>
      <w:r>
        <w:t>4. **Poor documentation**: Lack of contemporaneous agreements and support</w:t>
      </w:r>
    </w:p>
    <w:p>
      <w:r>
        <w:t>5. **Treaty shopping**: Structures perceived as abusive with no business purpose</w:t>
      </w:r>
    </w:p>
    <w:p>
      <w:r>
        <w:t>6. **Shareholder costs**: Incorrectly charging holding company costs to service fees</w:t>
      </w:r>
    </w:p>
    <w:p>
      <w:r>
        <w:t>7. **Inconsistent pricing**: Different markups for similar services without justification</w:t>
      </w:r>
    </w:p>
    <w:p>
      <w:r>
        <w:t>8. **Ignoring Pillar Two**: Failure to assess 15% minimum tax impact</w:t>
      </w:r>
    </w:p>
    <w:p>
      <w:pPr>
        <w:pStyle w:val="Heading3"/>
      </w:pPr>
      <w:r>
        <w:t>7.4 Future Outlook</w:t>
      </w:r>
    </w:p>
    <w:p>
      <w:r>
        <w:t>**Expected Developments**:</w:t>
      </w:r>
    </w:p>
    <w:p>
      <w:r>
        <w:t>- **Increased transparency**: Broader CbC reporting and public disclosure</w:t>
      </w:r>
    </w:p>
    <w:p>
      <w:r>
        <w:t>- **Pillar Two expansion**: Potential lowering of EUR 750M revenue threshold</w:t>
      </w:r>
    </w:p>
    <w:p>
      <w:r>
        <w:t>- **Digital services**: Special rules for digital/automated services</w:t>
      </w:r>
    </w:p>
    <w:p>
      <w:r>
        <w:t>- **Sustainability**: ESG considerations in service structure location decisions</w:t>
      </w:r>
    </w:p>
    <w:p>
      <w:r>
        <w:t>- **Amount B extension**: OECD may expand simplified TP to services</w:t>
      </w:r>
    </w:p>
    <w:p>
      <w:r>
        <w:t>**Adaptive Strategies**:</w:t>
      </w:r>
    </w:p>
    <w:p>
      <w:r>
        <w:t>- Build flexible structures that can adapt to changing rules</w:t>
      </w:r>
    </w:p>
    <w:p>
      <w:r>
        <w:t>- Focus on real economic substance and value creation</w:t>
      </w:r>
    </w:p>
    <w:p>
      <w:r>
        <w:t>- Maintain comprehensive documentation and compliance</w:t>
      </w:r>
    </w:p>
    <w:p>
      <w:r>
        <w:t>- Engage proactively with tax authorities (APAs, rulings)</w:t>
      </w:r>
    </w:p>
    <w:p>
      <w:r>
        <w:t>- Consider tax certainty mechanisms (**International Compliance Assurance Programme (ICAP)**, bilateral **Advance Pricing Agreements (APAs)**)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