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link between international agreements and governance</w:t>
      </w:r>
    </w:p>
    <w:p>
      <w:pPr>
        <w:pStyle w:val="Heading1"/>
      </w:pPr>
      <w:r>
        <w:t>The Link Between International Agreements and Different Types of Natural Resource Governance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1. Core Framework: International Agreements in Extractive Industries</w:t>
      </w:r>
    </w:p>
    <w:p>
      <w:pPr>
        <w:pStyle w:val="Heading3"/>
      </w:pPr>
      <w:r>
        <w:t>1.1 Introduction to the Governance-Treaty Nexus</w:t>
      </w:r>
    </w:p>
    <w:p>
      <w:r>
        <w:t xml:space="preserve">The choice between </w:t>
      </w:r>
      <w:r>
        <w:rPr>
          <w:b/>
        </w:rPr>
        <w:t>proprietorial (concession)</w:t>
      </w:r>
      <w:r>
        <w:t xml:space="preserve"> and </w:t>
      </w:r>
      <w:r>
        <w:rPr>
          <w:b/>
        </w:rPr>
        <w:t>non-proprietorial (PSC)</w:t>
      </w:r>
      <w:r>
        <w:t xml:space="preserve"> governance regimes profoundly affects how </w:t>
      </w:r>
      <w:r>
        <w:rPr>
          <w:b/>
        </w:rPr>
        <w:t>international agreements</w:t>
      </w:r>
      <w:r>
        <w:t xml:space="preserve"> operate to protect investors, allocate taxing rights, and resolve disputes. International agreements serve as a </w:t>
      </w:r>
      <w:r>
        <w:rPr>
          <w:b/>
        </w:rPr>
        <w:t>protective framework</w:t>
      </w:r>
      <w:r>
        <w:t xml:space="preserve"> that overlays domestic fiscal regimes, creating binding obligations between states and establishing investor rights that transcend national legislation.</w:t>
      </w:r>
    </w:p>
    <w:p>
      <w:r>
        <w:rPr>
          <w:b/>
        </w:rPr>
        <w:t>Three Primary Categories of International Agreements:</w:t>
      </w:r>
    </w:p>
    <w:p>
      <w:pPr>
        <w:pStyle w:val="ListNumber"/>
      </w:pPr>
      <w:r>
        <w:rPr>
          <w:b/>
        </w:rPr>
        <w:t>Bilateral Investment Treaties (BITs)</w:t>
      </w:r>
      <w:r>
        <w:t>: Treaties between two states protecting foreign investment</w:t>
      </w:r>
    </w:p>
    <w:p>
      <w:pPr>
        <w:pStyle w:val="ListNumber"/>
      </w:pPr>
      <w:r>
        <w:rPr>
          <w:b/>
        </w:rPr>
        <w:t>Multilateral Investment Agreements</w:t>
      </w:r>
      <w:r>
        <w:t>: The Energy Charter Treaty (ECT), regional agreements</w:t>
      </w:r>
    </w:p>
    <w:p>
      <w:pPr>
        <w:pStyle w:val="ListNumber"/>
      </w:pPr>
      <w:r>
        <w:rPr>
          <w:b/>
        </w:rPr>
        <w:t>Tax Treaties</w:t>
      </w:r>
      <w:r>
        <w:t>: Bilateral agreements preventing double taxation and allocating taxing rights</w:t>
      </w:r>
    </w:p>
    <w:p>
      <w:r>
        <w:t xml:space="preserve">Each category interacts differently with proprietorial vs. non-proprietorial regimes due to fundamental structural differences in </w:t>
      </w:r>
      <w:r>
        <w:rPr>
          <w:b/>
        </w:rPr>
        <w:t>ownership, fiscal mechanisms, and contractual relationships</w:t>
      </w:r>
      <w:r>
        <w:t>.</w:t>
      </w:r>
    </w:p>
    <w:p>
      <w:pPr>
        <w:pStyle w:val="Heading3"/>
      </w:pPr>
      <w:r>
        <w:t>1.2 Why International Agreements Matter for Governance Structures</w:t>
      </w:r>
    </w:p>
    <w:p>
      <w:r>
        <w:rPr>
          <w:b/>
        </w:rPr>
        <w:t>Critical Functions:</w:t>
      </w:r>
    </w:p>
    <w:p>
      <w:pPr>
        <w:pStyle w:val="ListBullet"/>
      </w:pPr>
      <w:r>
        <w:rPr>
          <w:b/>
        </w:rPr>
        <w:t>Investment Protection</w:t>
      </w:r>
      <w:r>
        <w:t>: Safeguarding against expropriation, unfair treatment, and discriminatory measures</w:t>
      </w:r>
    </w:p>
    <w:p>
      <w:pPr>
        <w:pStyle w:val="ListBullet"/>
      </w:pPr>
      <w:r>
        <w:rPr>
          <w:b/>
        </w:rPr>
        <w:t>Fiscal Stability</w:t>
      </w:r>
      <w:r>
        <w:t>: Protecting contractual fiscal terms from unilateral state changes</w:t>
      </w:r>
    </w:p>
    <w:p>
      <w:pPr>
        <w:pStyle w:val="ListBullet"/>
      </w:pPr>
      <w:r>
        <w:rPr>
          <w:b/>
        </w:rPr>
        <w:t>Dispute Resolution</w:t>
      </w:r>
      <w:r>
        <w:t>: Providing neutral arbitration forums outside domestic courts</w:t>
      </w:r>
    </w:p>
    <w:p>
      <w:pPr>
        <w:pStyle w:val="ListBullet"/>
      </w:pPr>
      <w:r>
        <w:rPr>
          <w:b/>
        </w:rPr>
        <w:t>Tax Certainty</w:t>
      </w:r>
      <w:r>
        <w:t>: Preventing double taxation and clarifying withholding tax obligations</w:t>
      </w:r>
    </w:p>
    <w:p>
      <w:pPr>
        <w:pStyle w:val="ListBullet"/>
      </w:pPr>
      <w:r>
        <w:rPr>
          <w:b/>
        </w:rPr>
        <w:t>Market Access</w:t>
      </w:r>
      <w:r>
        <w:t>: Facilitating cross-border investment flows through risk mitigation</w:t>
      </w:r>
    </w:p>
    <w:p>
      <w:r>
        <w:rPr>
          <w:b/>
        </w:rPr>
        <w:t>Governance-Specific Risks: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Proprietorial Regime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Non-Proprietorial Regime (PSC)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Fiscal instability</w:t>
            </w:r>
          </w:p>
        </w:tc>
        <w:tc>
          <w:tcPr>
            <w:tcW w:type="dxa" w:w="2880"/>
          </w:tcPr>
          <w:p>
            <w:r/>
            <w:r>
              <w:t>High (subject to legislative change)</w:t>
            </w:r>
          </w:p>
        </w:tc>
        <w:tc>
          <w:tcPr>
            <w:tcW w:type="dxa" w:w="2880"/>
          </w:tcPr>
          <w:p>
            <w:r/>
            <w:r>
              <w:t>Moderate (contractual stabilization)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Expropriation</w:t>
            </w:r>
          </w:p>
        </w:tc>
        <w:tc>
          <w:tcPr>
            <w:tcW w:type="dxa" w:w="2880"/>
          </w:tcPr>
          <w:p>
            <w:r/>
            <w:r>
              <w:t>Moderate (ownership at wellhead)</w:t>
            </w:r>
          </w:p>
        </w:tc>
        <w:tc>
          <w:tcPr>
            <w:tcW w:type="dxa" w:w="2880"/>
          </w:tcPr>
          <w:p>
            <w:r/>
            <w:r>
              <w:t>Lower (state already owns resources)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Tax treaty disputes</w:t>
            </w:r>
          </w:p>
        </w:tc>
        <w:tc>
          <w:tcPr>
            <w:tcW w:type="dxa" w:w="2880"/>
          </w:tcPr>
          <w:p>
            <w:r/>
            <w:r>
              <w:t>High (full TP/CIT exposure)</w:t>
            </w:r>
          </w:p>
        </w:tc>
        <w:tc>
          <w:tcPr>
            <w:tcW w:type="dxa" w:w="2880"/>
          </w:tcPr>
          <w:p>
            <w:r/>
            <w:r>
              <w:t>Moderate (limited to cost recovery/profit share tax)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Contract sanctity</w:t>
            </w:r>
          </w:p>
        </w:tc>
        <w:tc>
          <w:tcPr>
            <w:tcW w:type="dxa" w:w="2880"/>
          </w:tcPr>
          <w:p>
            <w:r/>
            <w:r>
              <w:t>Lower (no direct contract)</w:t>
            </w:r>
          </w:p>
        </w:tc>
        <w:tc>
          <w:tcPr>
            <w:tcW w:type="dxa" w:w="2880"/>
          </w:tcPr>
          <w:p>
            <w:r/>
            <w:r>
              <w:t>Higher (bilateral contract with state)</w:t>
            </w:r>
          </w:p>
        </w:tc>
      </w:tr>
    </w:tbl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2. Bilateral Investment Treaties (BITs) and Governance Regimes</w:t>
      </w:r>
    </w:p>
    <w:p>
      <w:pPr>
        <w:pStyle w:val="Heading3"/>
      </w:pPr>
      <w:r>
        <w:t>2.1 Structure and Key Provisions of BITs</w:t>
      </w:r>
    </w:p>
    <w:p>
      <w:r>
        <w:rPr>
          <w:b/>
        </w:rPr>
        <w:t>Definition:</w:t>
      </w:r>
      <w:r>
        <w:t xml:space="preserve"> A </w:t>
      </w:r>
      <w:r>
        <w:rPr>
          <w:b/>
        </w:rPr>
        <w:t>Bilateral Investment Treaty (BIT)</w:t>
      </w:r>
      <w:r>
        <w:t xml:space="preserve"> is an agreement between two sovereign states establishing legal protections for investments made by nationals of one state in the territory of the other.</w:t>
      </w:r>
    </w:p>
    <w:p>
      <w:r>
        <w:rPr>
          <w:b/>
        </w:rPr>
        <w:t>Standard BIT Provisions:</w:t>
      </w:r>
    </w:p>
    <w:p>
      <w:pPr>
        <w:pStyle w:val="ListNumber"/>
      </w:pPr>
      <w:r>
        <w:rPr>
          <w:b/>
        </w:rPr>
        <w:t>Fair and Equitable Treatment (FET)</w:t>
      </w:r>
      <w:r>
        <w:t>: Requires host state to provide fair, transparent, and non-discriminatory treatment</w:t>
      </w:r>
    </w:p>
    <w:p>
      <w:pPr>
        <w:pStyle w:val="ListNumber"/>
      </w:pPr>
      <w:r>
        <w:rPr>
          <w:b/>
        </w:rPr>
        <w:t>Protection Against Expropriation</w:t>
      </w:r>
      <w:r>
        <w:t>: Compensation required for direct or indirect expropriation</w:t>
      </w:r>
    </w:p>
    <w:p>
      <w:pPr>
        <w:pStyle w:val="ListNumber"/>
      </w:pPr>
      <w:r>
        <w:rPr>
          <w:b/>
        </w:rPr>
        <w:t>Full Protection and Security</w:t>
      </w:r>
      <w:r>
        <w:t>: Physical and legal security for investments</w:t>
      </w:r>
    </w:p>
    <w:p>
      <w:pPr>
        <w:pStyle w:val="ListNumber"/>
      </w:pPr>
      <w:r>
        <w:rPr>
          <w:b/>
        </w:rPr>
        <w:t>National Treatment and Most Favoured Nation (MFN)</w:t>
      </w:r>
      <w:r>
        <w:t>: No discrimination vs. domestic or third-country investors</w:t>
      </w:r>
    </w:p>
    <w:p>
      <w:pPr>
        <w:pStyle w:val="ListNumber"/>
      </w:pPr>
      <w:r>
        <w:rPr>
          <w:b/>
        </w:rPr>
        <w:t>Free Transfer of Funds</w:t>
      </w:r>
      <w:r>
        <w:t>: Repatriation of profits, dividends, and capital</w:t>
      </w:r>
    </w:p>
    <w:p>
      <w:pPr>
        <w:pStyle w:val="ListNumber"/>
      </w:pPr>
      <w:r>
        <w:rPr>
          <w:b/>
        </w:rPr>
        <w:t>Investor-State Dispute Settlement (ISDS)</w:t>
      </w:r>
      <w:r>
        <w:t>: Arbitration under ICSID, UNCITRAL, or ICC rules</w:t>
      </w:r>
    </w:p>
    <w:p>
      <w:r>
        <w:t xml:space="preserve">Over </w:t>
      </w:r>
      <w:r>
        <w:rPr>
          <w:b/>
        </w:rPr>
        <w:t>2,800 BITs</w:t>
      </w:r>
      <w:r>
        <w:t xml:space="preserve"> have been negotiated globally, providing the primary international legal framework for investment protection in the extractive industries and other sectors.</w:t>
      </w:r>
    </w:p>
    <w:p>
      <w:pPr>
        <w:pStyle w:val="Heading3"/>
      </w:pPr>
      <w:r>
        <w:t>2.2 BIT Application to Proprietorial Regimes</w:t>
      </w:r>
    </w:p>
    <w:p>
      <w:r>
        <w:rPr>
          <w:b/>
        </w:rPr>
        <w:t>Interaction with Concession/Tax-Royalty Systems:</w:t>
      </w:r>
    </w:p>
    <w:p>
      <w:r>
        <w:t>In proprietorial regimes, BITs provide critical protection because:</w:t>
      </w:r>
    </w:p>
    <w:p>
      <w:pPr>
        <w:pStyle w:val="ListNumber"/>
      </w:pPr>
      <w:r>
        <w:rPr>
          <w:b/>
        </w:rPr>
        <w:t>No Direct Contract with State</w:t>
      </w:r>
      <w:r>
        <w:t xml:space="preserve">: Concessions typically involve a </w:t>
      </w:r>
      <w:r>
        <w:rPr>
          <w:b/>
        </w:rPr>
        <w:t>license</w:t>
      </w:r>
      <w:r>
        <w:t xml:space="preserve"> issued under domestic law, not a bilateral contract. BITs fill the </w:t>
      </w:r>
      <w:r>
        <w:rPr>
          <w:b/>
        </w:rPr>
        <w:t>contractual gap</w:t>
      </w:r>
      <w:r>
        <w:t xml:space="preserve"> by providing international legal protections.</w:t>
      </w:r>
    </w:p>
    <w:p>
      <w:pPr>
        <w:pStyle w:val="ListNumber"/>
      </w:pPr>
      <w:r>
        <w:rPr>
          <w:b/>
        </w:rPr>
        <w:t>Vulnerability to Legislative Changes</w:t>
      </w:r>
      <w:r>
        <w:t xml:space="preserve">: Since fiscal terms are set by </w:t>
      </w:r>
      <w:r>
        <w:rPr>
          <w:b/>
        </w:rPr>
        <w:t>domestic tax law</w:t>
      </w:r>
      <w:r>
        <w:t xml:space="preserve"> (not contract), governments can </w:t>
      </w:r>
      <w:r>
        <w:rPr>
          <w:b/>
        </w:rPr>
        <w:t>unilaterally change</w:t>
      </w:r>
      <w:r>
        <w:t xml:space="preserve"> tax rates, royalties, or allowances. BITs constrain such changes through:</w:t>
      </w:r>
    </w:p>
    <w:p>
      <w:pPr>
        <w:pStyle w:val="ListBullet"/>
        <w:ind w:left="360"/>
      </w:pPr>
      <w:r>
        <w:rPr>
          <w:b/>
        </w:rPr>
        <w:t>FET obligation</w:t>
      </w:r>
      <w:r>
        <w:t>: Arbitrary tax increases may breach fair treatment</w:t>
      </w:r>
    </w:p>
    <w:p>
      <w:pPr>
        <w:pStyle w:val="ListBullet"/>
        <w:ind w:left="360"/>
      </w:pPr>
      <w:r>
        <w:rPr>
          <w:b/>
        </w:rPr>
        <w:t>Indirect expropriation</w:t>
      </w:r>
      <w:r>
        <w:t>: Drastic fiscal changes reducing investment value may constitute expropriation</w:t>
      </w:r>
    </w:p>
    <w:p>
      <w:pPr>
        <w:pStyle w:val="ListBullet"/>
        <w:ind w:left="360"/>
      </w:pPr>
      <w:r>
        <w:rPr>
          <w:b/>
        </w:rPr>
        <w:t>Stabilization through international law</w:t>
      </w:r>
      <w:r>
        <w:t>: Even without contractual stabilization, BIT protections provide a degree of fiscal predictability</w:t>
      </w:r>
    </w:p>
    <w:p>
      <w:pPr>
        <w:pStyle w:val="ListNumber"/>
      </w:pPr>
      <w:r>
        <w:rPr>
          <w:b/>
        </w:rPr>
        <w:t>ISDS as Recourse</w:t>
      </w:r>
      <w:r>
        <w:t xml:space="preserve">: Investors can challenge fiscal changes via </w:t>
      </w:r>
      <w:r>
        <w:rPr>
          <w:b/>
        </w:rPr>
        <w:t>international arbitration</w:t>
      </w:r>
      <w:r>
        <w:t>, bypassing potentially biased domestic courts.</w:t>
      </w:r>
    </w:p>
    <w:p>
      <w:r>
        <w:rPr>
          <w:b/>
        </w:rPr>
        <w:t>Example Case: *Occidental Petroleum v. Republic of Ecuador* (2012)</w:t>
      </w:r>
    </w:p>
    <w:p>
      <w:r>
        <w:t xml:space="preserve">Ecuador cancelled Occidental's </w:t>
      </w:r>
      <w:r>
        <w:rPr>
          <w:b/>
        </w:rPr>
        <w:t>concession license</w:t>
      </w:r>
      <w:r>
        <w:t xml:space="preserve"> (proprietorial regime) for alleged contract violations. Occidental invoked the </w:t>
      </w:r>
      <w:r>
        <w:rPr>
          <w:b/>
        </w:rPr>
        <w:t>USA-Ecuador BIT</w:t>
      </w:r>
      <w:r>
        <w:t xml:space="preserve">, claiming expropriation. The ICSID tribunal initially awarded </w:t>
      </w:r>
      <w:r>
        <w:rPr>
          <w:b/>
        </w:rPr>
        <w:t>$1.77 billion</w:t>
      </w:r>
      <w:r>
        <w:t xml:space="preserve"> compensation (later reduced to $1.1 billion following partial annulment in 2015), demonstrating BIT protection strength even absent a PSC-style contract [ICSID Case No. ARB/06/11]. The tribunal found that while Occidental had breached the participation contract, Ecuador's termination decree was not proportionate and constituted a breach of the BIT.</w:t>
      </w:r>
    </w:p>
    <w:p>
      <w:pPr>
        <w:pStyle w:val="Heading3"/>
      </w:pPr>
      <w:r>
        <w:t>2.3 BIT Application to Non-Proprietorial Regimes (PSCs)</w:t>
      </w:r>
    </w:p>
    <w:p>
      <w:r>
        <w:rPr>
          <w:b/>
        </w:rPr>
        <w:t>Dual Protection Layer:</w:t>
      </w:r>
    </w:p>
    <w:p>
      <w:r>
        <w:t xml:space="preserve">PSC regimes benefit from </w:t>
      </w:r>
      <w:r>
        <w:rPr>
          <w:b/>
        </w:rPr>
        <w:t>overlapping protection</w:t>
      </w:r>
      <w:r>
        <w:t>:</w:t>
      </w:r>
    </w:p>
    <w:p>
      <w:pPr>
        <w:pStyle w:val="ListNumber"/>
      </w:pPr>
      <w:r>
        <w:rPr>
          <w:b/>
        </w:rPr>
        <w:t>Contractual Stabilization Clauses</w:t>
      </w:r>
      <w:r>
        <w:t xml:space="preserve">: PSCs typically include </w:t>
      </w:r>
      <w:r>
        <w:rPr>
          <w:b/>
        </w:rPr>
        <w:t>frozen law</w:t>
      </w:r>
      <w:r>
        <w:t xml:space="preserve"> or </w:t>
      </w:r>
      <w:r>
        <w:rPr>
          <w:b/>
        </w:rPr>
        <w:t>economic equilibrium</w:t>
      </w:r>
      <w:r>
        <w:t xml:space="preserve"> clauses directly in the contract</w:t>
      </w:r>
    </w:p>
    <w:p>
      <w:pPr>
        <w:pStyle w:val="ListNumber"/>
      </w:pPr>
      <w:r>
        <w:rPr>
          <w:b/>
        </w:rPr>
        <w:t>BIT Protections</w:t>
      </w:r>
      <w:r>
        <w:t xml:space="preserve">: Investors can invoke BITs </w:t>
      </w:r>
      <w:r>
        <w:rPr>
          <w:b/>
        </w:rPr>
        <w:t>in addition to</w:t>
      </w:r>
      <w:r>
        <w:t xml:space="preserve"> contractual rights</w:t>
      </w:r>
    </w:p>
    <w:p>
      <w:r>
        <w:rPr>
          <w:b/>
        </w:rPr>
        <w:t>Key Differences: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PSC + BIT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Concession + BIT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Primary protection</w:t>
            </w:r>
          </w:p>
        </w:tc>
        <w:tc>
          <w:tcPr>
            <w:tcW w:type="dxa" w:w="2880"/>
          </w:tcPr>
          <w:p>
            <w:r/>
            <w:r>
              <w:t>Contract (stabilization clause)</w:t>
            </w:r>
          </w:p>
        </w:tc>
        <w:tc>
          <w:tcPr>
            <w:tcW w:type="dxa" w:w="2880"/>
          </w:tcPr>
          <w:p>
            <w:r/>
            <w:r>
              <w:t>BIT (no contract with state)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Dispute forum</w:t>
            </w:r>
          </w:p>
        </w:tc>
        <w:tc>
          <w:tcPr>
            <w:tcW w:type="dxa" w:w="2880"/>
          </w:tcPr>
          <w:p>
            <w:r/>
            <w:r>
              <w:t>International arbitration (ICC/ICSID per PSC clause)</w:t>
            </w:r>
          </w:p>
        </w:tc>
        <w:tc>
          <w:tcPr>
            <w:tcW w:type="dxa" w:w="2880"/>
          </w:tcPr>
          <w:p>
            <w:r/>
            <w:r>
              <w:t>International arbitration (ICSID per BIT)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Fiscal stability mechanism</w:t>
            </w:r>
          </w:p>
        </w:tc>
        <w:tc>
          <w:tcPr>
            <w:tcW w:type="dxa" w:w="2880"/>
          </w:tcPr>
          <w:p>
            <w:r/>
            <w:r>
              <w:t>Contractual freeze or equilibrium</w:t>
            </w:r>
          </w:p>
        </w:tc>
        <w:tc>
          <w:tcPr>
            <w:tcW w:type="dxa" w:w="2880"/>
          </w:tcPr>
          <w:p>
            <w:r/>
            <w:r>
              <w:t>BIT's FET and expropriation protections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Expropriation standard</w:t>
            </w:r>
          </w:p>
        </w:tc>
        <w:tc>
          <w:tcPr>
            <w:tcW w:type="dxa" w:w="2880"/>
          </w:tcPr>
          <w:p>
            <w:r/>
            <w:r>
              <w:t>Contract breach + BIT expropriation</w:t>
            </w:r>
          </w:p>
        </w:tc>
        <w:tc>
          <w:tcPr>
            <w:tcW w:type="dxa" w:w="2880"/>
          </w:tcPr>
          <w:p>
            <w:r/>
            <w:r>
              <w:t>BIT expropriation only</w:t>
            </w:r>
          </w:p>
        </w:tc>
      </w:tr>
    </w:tbl>
    <w:p/>
    <w:p>
      <w:r>
        <w:rPr>
          <w:b/>
        </w:rPr>
        <w:t>Strategic Advantage:</w:t>
      </w:r>
      <w:r>
        <w:t xml:space="preserve"> In PSC regimes, investors have </w:t>
      </w:r>
      <w:r>
        <w:rPr>
          <w:b/>
        </w:rPr>
        <w:t>dual recourse</w:t>
      </w:r>
      <w:r>
        <w:t xml:space="preserve"> - they can allege </w:t>
      </w:r>
      <w:r>
        <w:rPr>
          <w:b/>
        </w:rPr>
        <w:t>breach of contract</w:t>
      </w:r>
      <w:r>
        <w:t xml:space="preserve"> (PSC terms) </w:t>
      </w:r>
      <w:r>
        <w:rPr>
          <w:b/>
        </w:rPr>
        <w:t>and</w:t>
      </w:r>
      <w:r>
        <w:t xml:space="preserve"> breach of BIT obligations, strengthening their position.</w:t>
      </w:r>
    </w:p>
    <w:p>
      <w:r>
        <w:rPr>
          <w:b/>
        </w:rPr>
        <w:t>Example Case: *Chevron v. Republic of Ecuador* (2010)</w:t>
      </w:r>
    </w:p>
    <w:p>
      <w:r>
        <w:t xml:space="preserve">Ecuador's 2010 Hydrocarbons Law unilaterally changed fiscal terms in existing </w:t>
      </w:r>
      <w:r>
        <w:rPr>
          <w:b/>
        </w:rPr>
        <w:t>PSCs</w:t>
      </w:r>
      <w:r>
        <w:t xml:space="preserve">. Chevron invoked the </w:t>
      </w:r>
      <w:r>
        <w:rPr>
          <w:b/>
        </w:rPr>
        <w:t>USA-Ecuador BIT</w:t>
      </w:r>
      <w:r>
        <w:t xml:space="preserve">, arguing the changes constituted </w:t>
      </w:r>
      <w:r>
        <w:rPr>
          <w:b/>
        </w:rPr>
        <w:t>indirect expropriation</w:t>
      </w:r>
      <w:r>
        <w:t xml:space="preserve">. The tribunal ruled Ecuador breached </w:t>
      </w:r>
      <w:r>
        <w:rPr>
          <w:b/>
        </w:rPr>
        <w:t>stabilization commitments</w:t>
      </w:r>
      <w:r>
        <w:t xml:space="preserve"> and BIT obligations, awarding compensation. This demonstrates how BITs </w:t>
      </w:r>
      <w:r>
        <w:rPr>
          <w:b/>
        </w:rPr>
        <w:t>reinforce</w:t>
      </w:r>
      <w:r>
        <w:t xml:space="preserve"> PSC stabilization clauses [PCA Case No. 2009-23].</w:t>
      </w:r>
    </w:p>
    <w:p>
      <w:pPr>
        <w:pStyle w:val="Heading3"/>
      </w:pPr>
      <w:r>
        <w:t>2.4 Stabilization Clauses: The Contractual Bridge</w:t>
      </w:r>
    </w:p>
    <w:p>
      <w:r>
        <w:rPr>
          <w:b/>
        </w:rPr>
        <w:t>Definition:</w:t>
      </w:r>
      <w:r>
        <w:t xml:space="preserve"> </w:t>
      </w:r>
      <w:r>
        <w:rPr>
          <w:b/>
        </w:rPr>
        <w:t>Stabilization clauses</w:t>
      </w:r>
      <w:r>
        <w:t xml:space="preserve"> are contractual provisions in oil and gas agreements that protect investors from adverse changes in the fiscal, legal, or regulatory framework during the contract life [Oxford Institute for Energy Studies, 2016].</w:t>
      </w:r>
    </w:p>
    <w:p>
      <w:r>
        <w:rPr>
          <w:b/>
        </w:rPr>
        <w:t>Types of Stabilization Clauses:</w:t>
      </w:r>
    </w:p>
    <w:p>
      <w:pPr>
        <w:pStyle w:val="ListNumber"/>
      </w:pPr>
      <w:r>
        <w:rPr>
          <w:b/>
        </w:rPr>
        <w:t>Freezing Clauses (Frozen Law)</w:t>
      </w:r>
    </w:p>
    <w:p>
      <w:pPr>
        <w:pStyle w:val="ListBullet"/>
        <w:ind w:left="360"/>
      </w:pPr>
      <w:r>
        <w:rPr>
          <w:b/>
        </w:rPr>
        <w:t>Effect</w:t>
      </w:r>
      <w:r>
        <w:t>: Lock in the legal/fiscal framework as of contract signature</w:t>
      </w:r>
    </w:p>
    <w:p>
      <w:pPr>
        <w:pStyle w:val="ListBullet"/>
        <w:ind w:left="360"/>
      </w:pPr>
      <w:r>
        <w:rPr>
          <w:b/>
        </w:rPr>
        <w:t>Duration</w:t>
      </w:r>
      <w:r>
        <w:t>: Typically 10-30 years (PSC life)</w:t>
      </w:r>
    </w:p>
    <w:p>
      <w:pPr>
        <w:pStyle w:val="ListBullet"/>
        <w:ind w:left="360"/>
      </w:pPr>
      <w:r>
        <w:rPr>
          <w:b/>
        </w:rPr>
        <w:t>Example</w:t>
      </w:r>
      <w:r>
        <w:t>: "The fiscal terms applicable shall be those in force on the Effective Date, and no subsequent legislative change shall affect this Contract"</w:t>
      </w:r>
    </w:p>
    <w:p>
      <w:pPr>
        <w:pStyle w:val="ListNumber"/>
      </w:pPr>
      <w:r>
        <w:rPr>
          <w:b/>
        </w:rPr>
        <w:t>Economic Equilibrium Clauses</w:t>
      </w:r>
    </w:p>
    <w:p>
      <w:pPr>
        <w:pStyle w:val="ListBullet"/>
        <w:ind w:left="360"/>
      </w:pPr>
      <w:r>
        <w:rPr>
          <w:b/>
        </w:rPr>
        <w:t>Effect</w:t>
      </w:r>
      <w:r>
        <w:t xml:space="preserve">: If fiscal changes occur, parties </w:t>
      </w:r>
      <w:r>
        <w:rPr>
          <w:b/>
        </w:rPr>
        <w:t>renegotiate</w:t>
      </w:r>
      <w:r>
        <w:t xml:space="preserve"> to restore economic balance</w:t>
      </w:r>
    </w:p>
    <w:p>
      <w:pPr>
        <w:pStyle w:val="ListBullet"/>
        <w:ind w:left="360"/>
      </w:pPr>
      <w:r>
        <w:rPr>
          <w:b/>
        </w:rPr>
        <w:t>Mechanism</w:t>
      </w:r>
      <w:r>
        <w:t>: If government take increases by X%, contractor share increases to compensate</w:t>
      </w:r>
    </w:p>
    <w:p>
      <w:pPr>
        <w:pStyle w:val="ListBullet"/>
        <w:ind w:left="360"/>
      </w:pPr>
      <w:r>
        <w:rPr>
          <w:b/>
        </w:rPr>
        <w:t>Example</w:t>
      </w:r>
      <w:r>
        <w:t>: "If legislative changes increase Government Take by more than 5%, the profit oil split shall be adjusted to maintain Contractor's IRR"</w:t>
      </w:r>
    </w:p>
    <w:p>
      <w:pPr>
        <w:pStyle w:val="ListNumber"/>
      </w:pPr>
      <w:r>
        <w:rPr>
          <w:b/>
        </w:rPr>
        <w:t>Hybrid Clauses</w:t>
      </w:r>
    </w:p>
    <w:p>
      <w:pPr>
        <w:pStyle w:val="ListBullet"/>
        <w:ind w:left="360"/>
      </w:pPr>
      <w:r>
        <w:t>Combination of freezing (for fiscal terms) and equilibrium (for regulatory changes)</w:t>
      </w:r>
    </w:p>
    <w:p>
      <w:r>
        <w:rPr>
          <w:b/>
        </w:rPr>
        <w:t>Prevalence by Regime Type: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Regime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Stabilization Frequency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Typical Clause Type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Non-Proprietorial (PSC)</w:t>
            </w:r>
          </w:p>
        </w:tc>
        <w:tc>
          <w:tcPr>
            <w:tcW w:type="dxa" w:w="2880"/>
          </w:tcPr>
          <w:p>
            <w:r/>
            <w:r>
              <w:t>Very High (80-90% of contracts)</w:t>
            </w:r>
          </w:p>
        </w:tc>
        <w:tc>
          <w:tcPr>
            <w:tcW w:type="dxa" w:w="2880"/>
          </w:tcPr>
          <w:p>
            <w:r/>
            <w:r>
              <w:t>Freezing or hybrid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Proprietorial (Concession - Developing Countries)</w:t>
            </w:r>
          </w:p>
        </w:tc>
        <w:tc>
          <w:tcPr>
            <w:tcW w:type="dxa" w:w="2880"/>
          </w:tcPr>
          <w:p>
            <w:r/>
            <w:r>
              <w:t>Moderate (40-60%)</w:t>
            </w:r>
          </w:p>
        </w:tc>
        <w:tc>
          <w:tcPr>
            <w:tcW w:type="dxa" w:w="2880"/>
          </w:tcPr>
          <w:p>
            <w:r/>
            <w:r>
              <w:t>Economic equilibrium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Proprietorial (Concession - OECD Countries)</w:t>
            </w:r>
          </w:p>
        </w:tc>
        <w:tc>
          <w:tcPr>
            <w:tcW w:type="dxa" w:w="2880"/>
          </w:tcPr>
          <w:p>
            <w:r/>
            <w:r>
              <w:t>Low (10-20%)</w:t>
            </w:r>
          </w:p>
        </w:tc>
        <w:tc>
          <w:tcPr>
            <w:tcW w:type="dxa" w:w="2880"/>
          </w:tcPr>
          <w:p>
            <w:r/>
            <w:r>
              <w:t>Rare; BIT/tax treaty relied upon</w:t>
            </w:r>
          </w:p>
        </w:tc>
      </w:tr>
    </w:tbl>
    <w:p/>
    <w:p>
      <w:r>
        <w:rPr>
          <w:b/>
        </w:rPr>
        <w:t>Why PSCs Use Stabilization More:</w:t>
      </w:r>
    </w:p>
    <w:p>
      <w:pPr>
        <w:pStyle w:val="ListBullet"/>
      </w:pPr>
      <w:r>
        <w:t xml:space="preserve">PSCs are </w:t>
      </w:r>
      <w:r>
        <w:rPr>
          <w:b/>
        </w:rPr>
        <w:t>long-term bilateral contracts</w:t>
      </w:r>
      <w:r>
        <w:t xml:space="preserve"> (20-30 years), making contractual stabilization natural</w:t>
      </w:r>
    </w:p>
    <w:p>
      <w:pPr>
        <w:pStyle w:val="ListBullet"/>
      </w:pPr>
      <w:r>
        <w:t xml:space="preserve">Concessions are often </w:t>
      </w:r>
      <w:r>
        <w:rPr>
          <w:b/>
        </w:rPr>
        <w:t>licenses under domestic law</w:t>
      </w:r>
      <w:r>
        <w:t>, making contractual stabilization legally challenging (government cannot contract away sovereignty to legislate)</w:t>
      </w:r>
    </w:p>
    <w:p>
      <w:r>
        <w:rPr>
          <w:b/>
        </w:rPr>
        <w:t>Legal Effectiveness:</w:t>
      </w:r>
    </w:p>
    <w:p>
      <w:r>
        <w:t>The enforceability of stabilization clauses depends on:</w:t>
      </w:r>
    </w:p>
    <w:p>
      <w:pPr>
        <w:pStyle w:val="ListNumber"/>
      </w:pPr>
      <w:r>
        <w:rPr>
          <w:b/>
        </w:rPr>
        <w:t>Contract law vs. sovereignty</w:t>
      </w:r>
      <w:r>
        <w:t>: Some jurisdictions hold that states cannot contract away legislative power</w:t>
      </w:r>
    </w:p>
    <w:p>
      <w:pPr>
        <w:pStyle w:val="ListNumber"/>
      </w:pPr>
      <w:r>
        <w:rPr>
          <w:b/>
        </w:rPr>
        <w:t>BIT reinforcement</w:t>
      </w:r>
      <w:r>
        <w:t>: Clauses gain strength when protected by BIT FET and expropriation provisions</w:t>
      </w:r>
    </w:p>
    <w:p>
      <w:pPr>
        <w:pStyle w:val="ListNumber"/>
      </w:pPr>
      <w:r>
        <w:rPr>
          <w:b/>
        </w:rPr>
        <w:t>International arbitration</w:t>
      </w:r>
      <w:r>
        <w:t xml:space="preserve">: Awards have consistently upheld stabilization clauses (e.g., </w:t>
      </w:r>
      <w:r>
        <w:rPr>
          <w:i/>
        </w:rPr>
        <w:t>Aminoil v. Kuwait</w:t>
      </w:r>
      <w:r>
        <w:t xml:space="preserve">, </w:t>
      </w:r>
      <w:r>
        <w:rPr>
          <w:i/>
        </w:rPr>
        <w:t>Texaco v. Libya</w:t>
      </w:r>
      <w:r>
        <w:t>)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3. Multilateral Agreements: The Energy Charter Treaty</w:t>
      </w:r>
    </w:p>
    <w:p>
      <w:pPr>
        <w:pStyle w:val="Heading3"/>
      </w:pPr>
      <w:r>
        <w:t>3.1 Overview of the Energy Charter Treaty (ECT)</w:t>
      </w:r>
    </w:p>
    <w:p>
      <w:r>
        <w:rPr>
          <w:b/>
        </w:rPr>
        <w:t>Background:</w:t>
      </w:r>
      <w:r>
        <w:t xml:space="preserve"> The </w:t>
      </w:r>
      <w:r>
        <w:rPr>
          <w:b/>
        </w:rPr>
        <w:t>Energy Charter Treaty</w:t>
      </w:r>
      <w:r>
        <w:t xml:space="preserve"> (1994) is a multilateral agreement providing comprehensive investment protection and dispute resolution for the energy sector. Originally signed by 50+ countries (primarily European and Central Asian states), it aims to establish a </w:t>
      </w:r>
      <w:r>
        <w:rPr>
          <w:b/>
        </w:rPr>
        <w:t>legal framework</w:t>
      </w:r>
      <w:r>
        <w:t xml:space="preserve"> for international energy cooperation [ECT, 1994].</w:t>
      </w:r>
    </w:p>
    <w:p>
      <w:r>
        <w:rPr>
          <w:b/>
        </w:rPr>
        <w:t>Key Provisions Relevant to Governance:</w:t>
      </w:r>
    </w:p>
    <w:p>
      <w:pPr>
        <w:pStyle w:val="ListNumber"/>
      </w:pPr>
      <w:r>
        <w:rPr>
          <w:b/>
        </w:rPr>
        <w:t>Investment Protection (Part III)</w:t>
      </w:r>
      <w:r>
        <w:t>: FET, expropriation protection, free transfer of funds</w:t>
      </w:r>
    </w:p>
    <w:p>
      <w:pPr>
        <w:pStyle w:val="ListNumber"/>
      </w:pPr>
      <w:r>
        <w:rPr>
          <w:b/>
        </w:rPr>
        <w:t>Sovereignty Over Energy Resources (Article 18)</w:t>
      </w:r>
      <w:r>
        <w:t>: Recognizes state ownership of resources</w:t>
      </w:r>
    </w:p>
    <w:p>
      <w:pPr>
        <w:pStyle w:val="ListNumber"/>
      </w:pPr>
      <w:r>
        <w:rPr>
          <w:b/>
        </w:rPr>
        <w:t>ISDS Mechanism</w:t>
      </w:r>
      <w:r>
        <w:t>: Investor-state arbitration under ICSID, SCC, or UNCITRAL rules</w:t>
      </w:r>
    </w:p>
    <w:p>
      <w:pPr>
        <w:pStyle w:val="ListNumber"/>
      </w:pPr>
      <w:r>
        <w:rPr>
          <w:b/>
        </w:rPr>
        <w:t>Treaty on Energy Transit</w:t>
      </w:r>
      <w:r>
        <w:t>: Protects cross-border energy flows</w:t>
      </w:r>
    </w:p>
    <w:p>
      <w:r>
        <w:rPr>
          <w:b/>
        </w:rPr>
        <w:t>Recent Developments:</w:t>
      </w:r>
    </w:p>
    <w:p>
      <w:pPr>
        <w:pStyle w:val="ListBullet"/>
      </w:pPr>
      <w:r>
        <w:rPr>
          <w:b/>
        </w:rPr>
        <w:t>EU Withdrawal</w:t>
      </w:r>
      <w:r>
        <w:t>: The EU formally adopted its withdrawal decision in May 2024, with the withdrawal taking effect thereafter. Multiple member states withdrew individually: Italy (2016), France, Germany and Poland (2023), with additional states including Spain, Netherlands, Luxembourg, Slovenia, Portugal and the UK following in 2024-2025. The primary reason cited was incompatibility with climate goals under the European Green Deal and Paris Agreement.</w:t>
      </w:r>
    </w:p>
    <w:p>
      <w:pPr>
        <w:pStyle w:val="ListBullet"/>
      </w:pPr>
      <w:r>
        <w:rPr>
          <w:b/>
        </w:rPr>
        <w:t>Modernization Efforts</w:t>
      </w:r>
      <w:r>
        <w:t>: Amendments were proposed to align ECT with Paris Agreement and limit fossil fuel investment protections, though many states opted for withdrawal rather than reform</w:t>
      </w:r>
    </w:p>
    <w:p>
      <w:pPr>
        <w:pStyle w:val="Heading3"/>
      </w:pPr>
      <w:r>
        <w:t>3.2 ECT and Governance Regimes</w:t>
      </w:r>
    </w:p>
    <w:p>
      <w:r>
        <w:rPr>
          <w:b/>
        </w:rPr>
        <w:t>Unique Feature:</w:t>
      </w:r>
      <w:r>
        <w:t xml:space="preserve"> The ECT provides investment protection </w:t>
      </w:r>
      <w:r>
        <w:rPr>
          <w:b/>
        </w:rPr>
        <w:t>regardless of whether a BIT exists</w:t>
      </w:r>
      <w:r>
        <w:t xml:space="preserve"> between the investor's home state and the host state. This creates </w:t>
      </w:r>
      <w:r>
        <w:rPr>
          <w:b/>
        </w:rPr>
        <w:t>automatic protection</w:t>
      </w:r>
      <w:r>
        <w:t xml:space="preserve"> for energy investments in ECT signatory countries.</w:t>
      </w:r>
    </w:p>
    <w:p>
      <w:r>
        <w:rPr>
          <w:b/>
        </w:rPr>
        <w:t>Application to Different Governance Types:</w:t>
      </w:r>
    </w:p>
    <w:p>
      <w:r>
        <w:rPr>
          <w:b/>
        </w:rPr>
        <w:t>Proprietorial Regimes (UK, Netherlands, Denmark - prior to respective withdrawals):</w:t>
      </w:r>
    </w:p>
    <w:p>
      <w:pPr>
        <w:pStyle w:val="ListBullet"/>
      </w:pPr>
      <w:r>
        <w:t xml:space="preserve">ECT provided </w:t>
      </w:r>
      <w:r>
        <w:rPr>
          <w:b/>
        </w:rPr>
        <w:t>additional layer</w:t>
      </w:r>
      <w:r>
        <w:t xml:space="preserve"> beyond domestic law</w:t>
      </w:r>
    </w:p>
    <w:p>
      <w:pPr>
        <w:pStyle w:val="ListBullet"/>
      </w:pPr>
      <w:r>
        <w:t>Investors could challenge tax increases via ECT arbitration</w:t>
      </w:r>
    </w:p>
    <w:p>
      <w:pPr>
        <w:pStyle w:val="ListBullet"/>
      </w:pPr>
      <w:r>
        <w:rPr>
          <w:b/>
        </w:rPr>
        <w:t>Example</w:t>
      </w:r>
      <w:r>
        <w:t>: Potential claims under ECT regarding UK's Energy Profits Levy (windfall tax introduced in 2022) - the legal basis for such claims existed under ECT protections</w:t>
      </w:r>
    </w:p>
    <w:p>
      <w:r>
        <w:rPr>
          <w:b/>
        </w:rPr>
        <w:t>Non-Proprietorial Regimes (Kazakhstan, Azerbaijan, Turkmenistan):</w:t>
      </w:r>
    </w:p>
    <w:p>
      <w:pPr>
        <w:pStyle w:val="ListBullet"/>
      </w:pPr>
      <w:r>
        <w:t xml:space="preserve">ECT </w:t>
      </w:r>
      <w:r>
        <w:rPr>
          <w:b/>
        </w:rPr>
        <w:t>reinforces PSC stabilization clauses</w:t>
      </w:r>
    </w:p>
    <w:p>
      <w:pPr>
        <w:pStyle w:val="ListBullet"/>
      </w:pPr>
      <w:r>
        <w:t>Dual protection: PSC contract terms + ECT investment protections</w:t>
      </w:r>
    </w:p>
    <w:p>
      <w:pPr>
        <w:pStyle w:val="ListBullet"/>
      </w:pPr>
      <w:r>
        <w:rPr>
          <w:b/>
        </w:rPr>
        <w:t>Example</w:t>
      </w:r>
      <w:r>
        <w:t>: Kazakhstan PSCs benefit from both contractual stability and ECT protections</w:t>
      </w:r>
    </w:p>
    <w:p>
      <w:pPr>
        <w:pStyle w:val="Heading3"/>
      </w:pPr>
      <w:r>
        <w:t>3.3 Impact of ECT Withdrawal on Governance</w:t>
      </w:r>
    </w:p>
    <w:p>
      <w:r>
        <w:t xml:space="preserve">The </w:t>
      </w:r>
      <w:r>
        <w:rPr>
          <w:b/>
        </w:rPr>
        <w:t>EU and member state withdrawals</w:t>
      </w:r>
      <w:r>
        <w:t xml:space="preserve"> create </w:t>
      </w:r>
      <w:r>
        <w:rPr>
          <w:b/>
        </w:rPr>
        <w:t>asymmetry</w:t>
      </w:r>
      <w:r>
        <w:t xml:space="preserve"> in investment protection: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With ECT in force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After withdrawal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EU investor in non-EU ECT state</w:t>
            </w:r>
          </w:p>
        </w:tc>
        <w:tc>
          <w:tcPr>
            <w:tcW w:type="dxa" w:w="2880"/>
          </w:tcPr>
          <w:p>
            <w:r/>
            <w:r>
              <w:t>ECT protection available</w:t>
            </w:r>
          </w:p>
        </w:tc>
        <w:tc>
          <w:tcPr>
            <w:tcW w:type="dxa" w:w="2880"/>
          </w:tcPr>
          <w:p>
            <w:r/>
            <w:r>
              <w:t>BIT protection only (if BIT exists)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Non-EU investor in EU state</w:t>
            </w:r>
          </w:p>
        </w:tc>
        <w:tc>
          <w:tcPr>
            <w:tcW w:type="dxa" w:w="2880"/>
          </w:tcPr>
          <w:p>
            <w:r/>
            <w:r>
              <w:t>ECT protection (sunset clause applies 20 years)</w:t>
            </w:r>
          </w:p>
        </w:tc>
        <w:tc>
          <w:tcPr>
            <w:tcW w:type="dxa" w:w="2880"/>
          </w:tcPr>
          <w:p>
            <w:r/>
            <w:r>
              <w:t>BIT protection only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EU-to-EU investment</w:t>
            </w:r>
          </w:p>
        </w:tc>
        <w:tc>
          <w:tcPr>
            <w:tcW w:type="dxa" w:w="2880"/>
          </w:tcPr>
          <w:p>
            <w:r/>
            <w:r>
              <w:t>ECT protection</w:t>
            </w:r>
          </w:p>
        </w:tc>
        <w:tc>
          <w:tcPr>
            <w:tcW w:type="dxa" w:w="2880"/>
          </w:tcPr>
          <w:p>
            <w:r/>
            <w:r>
              <w:t>BIT protection (if intra-EU BIT exists, but CJEU restricts intra-EU arbitration)</w:t>
            </w:r>
          </w:p>
        </w:tc>
      </w:tr>
    </w:tbl>
    <w:p/>
    <w:p>
      <w:r>
        <w:rPr>
          <w:b/>
        </w:rPr>
        <w:t>Implication for Governance Choice:</w:t>
      </w:r>
      <w:r>
        <w:t xml:space="preserve"> Following EU withdrawals, investors in PSC regimes (e.g., Kazakhstan, Azerbaijan) rely more heavily on </w:t>
      </w:r>
      <w:r>
        <w:rPr>
          <w:b/>
        </w:rPr>
        <w:t>contractual stabilization</w:t>
      </w:r>
      <w:r>
        <w:t xml:space="preserve"> and </w:t>
      </w:r>
      <w:r>
        <w:rPr>
          <w:b/>
        </w:rPr>
        <w:t>bilateral BITs</w:t>
      </w:r>
      <w:r>
        <w:t xml:space="preserve"> rather than multilateral ECT protection.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4. Tax Treaties and Governance Regimes</w:t>
      </w:r>
    </w:p>
    <w:p>
      <w:pPr>
        <w:pStyle w:val="Heading3"/>
      </w:pPr>
      <w:r>
        <w:t>4.1 Structure and Function of Tax Treaties</w:t>
      </w:r>
    </w:p>
    <w:p>
      <w:r>
        <w:rPr>
          <w:b/>
        </w:rPr>
        <w:t>Tax treaties</w:t>
      </w:r>
      <w:r>
        <w:t xml:space="preserve"> (Double Taxation Conventions - DTCs) serve distinct purposes from investment treaties:</w:t>
      </w:r>
    </w:p>
    <w:p>
      <w:pPr>
        <w:pStyle w:val="ListNumber"/>
      </w:pPr>
      <w:r>
        <w:rPr>
          <w:b/>
        </w:rPr>
        <w:t>Prevent Double Taxation</w:t>
      </w:r>
      <w:r>
        <w:t>: Allocate taxing rights between residence and source countries</w:t>
      </w:r>
    </w:p>
    <w:p>
      <w:pPr>
        <w:pStyle w:val="ListNumber"/>
      </w:pPr>
      <w:r>
        <w:rPr>
          <w:b/>
        </w:rPr>
        <w:t>Reduce Withholding Taxes</w:t>
      </w:r>
      <w:r>
        <w:t>: Lower rates on dividends, interest, royalties</w:t>
      </w:r>
    </w:p>
    <w:p>
      <w:pPr>
        <w:pStyle w:val="ListNumber"/>
      </w:pPr>
      <w:r>
        <w:rPr>
          <w:b/>
        </w:rPr>
        <w:t>Permanent Establishment Rules</w:t>
      </w:r>
      <w:r>
        <w:t>: Define when source country can tax business profits</w:t>
      </w:r>
    </w:p>
    <w:p>
      <w:pPr>
        <w:pStyle w:val="ListNumber"/>
      </w:pPr>
      <w:r>
        <w:rPr>
          <w:b/>
        </w:rPr>
        <w:t>Mutual Agreement Procedure (MAP)</w:t>
      </w:r>
      <w:r>
        <w:t>: Resolve disputes between tax authorities</w:t>
      </w:r>
    </w:p>
    <w:p>
      <w:r>
        <w:rPr>
          <w:b/>
        </w:rPr>
        <w:t>Based on OECD or UN Model Tax Conventions</w:t>
      </w:r>
      <w:r>
        <w:t>, with over 3,000 tax treaties globally [OECD, 2017].</w:t>
      </w:r>
    </w:p>
    <w:p>
      <w:pPr>
        <w:pStyle w:val="Heading3"/>
      </w:pPr>
      <w:r>
        <w:t>4.2 Tax Treaty Interaction with Proprietorial Regimes</w:t>
      </w:r>
    </w:p>
    <w:p>
      <w:r>
        <w:rPr>
          <w:b/>
        </w:rPr>
        <w:t>Full Tax Treaty Application:</w:t>
      </w:r>
    </w:p>
    <w:p>
      <w:r>
        <w:t>In concession regimes, standard tax treaty provisions apply comprehensively:</w:t>
      </w:r>
    </w:p>
    <w:p>
      <w:r>
        <w:rPr>
          <w:b/>
        </w:rPr>
        <w:t>Article 5 (Permanent Establishment):</w:t>
      </w:r>
    </w:p>
    <w:p>
      <w:pPr>
        <w:pStyle w:val="ListBullet"/>
      </w:pPr>
      <w:r>
        <w:t xml:space="preserve">Oil and gas </w:t>
      </w:r>
      <w:r>
        <w:rPr>
          <w:b/>
        </w:rPr>
        <w:t>extraction sites</w:t>
      </w:r>
      <w:r>
        <w:t xml:space="preserve"> typically constitute PE after </w:t>
      </w:r>
      <w:r>
        <w:rPr>
          <w:b/>
        </w:rPr>
        <w:t>6-12 months</w:t>
      </w:r>
      <w:r>
        <w:t xml:space="preserve"> (UN Model: 6 months; OECD Model: 12 months; many treaties specify immediate PE for extractive industries)</w:t>
      </w:r>
    </w:p>
    <w:p>
      <w:pPr>
        <w:pStyle w:val="ListBullet"/>
      </w:pPr>
      <w:r>
        <w:t xml:space="preserve">PE existence triggers </w:t>
      </w:r>
      <w:r>
        <w:rPr>
          <w:b/>
        </w:rPr>
        <w:t>source country taxation</w:t>
      </w:r>
      <w:r>
        <w:t xml:space="preserve"> of profits</w:t>
      </w:r>
    </w:p>
    <w:p>
      <w:r>
        <w:rPr>
          <w:b/>
        </w:rPr>
        <w:t>Article 7 (Business Profits):</w:t>
      </w:r>
    </w:p>
    <w:p>
      <w:pPr>
        <w:pStyle w:val="ListBullet"/>
      </w:pPr>
      <w:r>
        <w:t>Profits attributable to PE are taxable in source country</w:t>
      </w:r>
    </w:p>
    <w:p>
      <w:pPr>
        <w:pStyle w:val="ListBullet"/>
      </w:pPr>
      <w:r>
        <w:t xml:space="preserve">Relevant for determining which country taxes </w:t>
      </w:r>
      <w:r>
        <w:rPr>
          <w:b/>
        </w:rPr>
        <w:t>trading profits</w:t>
      </w:r>
      <w:r>
        <w:t xml:space="preserve">, </w:t>
      </w:r>
      <w:r>
        <w:rPr>
          <w:b/>
        </w:rPr>
        <w:t>technical services</w:t>
      </w:r>
      <w:r>
        <w:t>, etc.</w:t>
      </w:r>
    </w:p>
    <w:p>
      <w:r>
        <w:rPr>
          <w:b/>
        </w:rPr>
        <w:t>Article 10/11/12 (Dividends/Interest/Royalties):</w:t>
      </w:r>
    </w:p>
    <w:p>
      <w:pPr>
        <w:pStyle w:val="ListBullet"/>
      </w:pPr>
      <w:r>
        <w:rPr>
          <w:b/>
        </w:rPr>
        <w:t>Withholding tax relief</w:t>
      </w:r>
      <w:r>
        <w:t>: Domestic rates (e.g., 25%) reduced to treaty rates (5-15% dividends, 0-10% interest/royalties)</w:t>
      </w:r>
    </w:p>
    <w:p>
      <w:pPr>
        <w:pStyle w:val="ListBullet"/>
      </w:pPr>
      <w:r>
        <w:t xml:space="preserve">Critical for </w:t>
      </w:r>
      <w:r>
        <w:rPr>
          <w:b/>
        </w:rPr>
        <w:t>repatriating profits</w:t>
      </w:r>
      <w:r>
        <w:t xml:space="preserve"> from concession operations</w:t>
      </w:r>
    </w:p>
    <w:p>
      <w:r>
        <w:rPr>
          <w:b/>
        </w:rPr>
        <w:t>Article 24 (Non-Discrimination):</w:t>
      </w:r>
    </w:p>
    <w:p>
      <w:pPr>
        <w:pStyle w:val="ListBullet"/>
      </w:pPr>
      <w:r>
        <w:t>Prevents discriminatory taxation of foreign investors vs. domestic operators</w:t>
      </w:r>
    </w:p>
    <w:p>
      <w:pPr>
        <w:pStyle w:val="ListBullet"/>
      </w:pPr>
      <w:r>
        <w:t>Important protection in concession regimes where fiscal terms are set by domestic law</w:t>
      </w:r>
    </w:p>
    <w:p>
      <w:r>
        <w:rPr>
          <w:b/>
        </w:rPr>
        <w:t>Example:</w:t>
      </w:r>
      <w:r>
        <w:t xml:space="preserve"> UK-Norway Tax Treaty</w:t>
      </w:r>
    </w:p>
    <w:p>
      <w:r>
        <w:t xml:space="preserve">The </w:t>
      </w:r>
      <w:r>
        <w:rPr>
          <w:b/>
        </w:rPr>
        <w:t>UK-Norway DTC</w:t>
      </w:r>
      <w:r>
        <w:t xml:space="preserve"> specifically addresses </w:t>
      </w:r>
      <w:r>
        <w:rPr>
          <w:b/>
        </w:rPr>
        <w:t>North Sea petroleum operations</w:t>
      </w:r>
      <w:r>
        <w:t>:</w:t>
      </w:r>
    </w:p>
    <w:p>
      <w:pPr>
        <w:pStyle w:val="ListBullet"/>
      </w:pPr>
      <w:r>
        <w:t xml:space="preserve">Assigns </w:t>
      </w:r>
      <w:r>
        <w:rPr>
          <w:b/>
        </w:rPr>
        <w:t>exclusive taxing rights</w:t>
      </w:r>
      <w:r>
        <w:t xml:space="preserve"> to the state where extraction occurs (even if operator is resident in the other state)</w:t>
      </w:r>
    </w:p>
    <w:p>
      <w:pPr>
        <w:pStyle w:val="ListBullet"/>
      </w:pPr>
      <w:r>
        <w:t>Prevents double taxation on North Sea profits</w:t>
      </w:r>
    </w:p>
    <w:p>
      <w:pPr>
        <w:pStyle w:val="ListBullet"/>
      </w:pPr>
      <w:r>
        <w:t>Critical for cross-border fields (e.g., shared Norwegian-UK reservoirs)</w:t>
      </w:r>
    </w:p>
    <w:p>
      <w:pPr>
        <w:pStyle w:val="Heading3"/>
      </w:pPr>
      <w:r>
        <w:t>4.3 Tax Treaty Interaction with Non-Proprietorial Regimes (PSCs)</w:t>
      </w:r>
    </w:p>
    <w:p>
      <w:r>
        <w:rPr>
          <w:b/>
        </w:rPr>
        <w:t>Limited but Critical Application:</w:t>
      </w:r>
    </w:p>
    <w:p>
      <w:r>
        <w:t>PSC regimes interact differently with tax treaties:</w:t>
      </w:r>
    </w:p>
    <w:p>
      <w:r>
        <w:rPr>
          <w:b/>
        </w:rPr>
        <w:t>Classic PSC (No Separate Tax):</w:t>
      </w:r>
    </w:p>
    <w:p>
      <w:pPr>
        <w:pStyle w:val="ListBullet"/>
      </w:pPr>
      <w:r>
        <w:t xml:space="preserve">If government's profit oil share is </w:t>
      </w:r>
      <w:r>
        <w:rPr>
          <w:b/>
        </w:rPr>
        <w:t>in lieu of tax</w:t>
      </w:r>
      <w:r>
        <w:t xml:space="preserve">, the contractor pays </w:t>
      </w:r>
      <w:r>
        <w:rPr>
          <w:b/>
        </w:rPr>
        <w:t>no corporate income tax</w:t>
      </w:r>
    </w:p>
    <w:p>
      <w:pPr>
        <w:pStyle w:val="ListBullet"/>
      </w:pPr>
      <w:r>
        <w:t xml:space="preserve">Tax treaty provisions on </w:t>
      </w:r>
      <w:r>
        <w:rPr>
          <w:b/>
        </w:rPr>
        <w:t>business profits</w:t>
      </w:r>
      <w:r>
        <w:t xml:space="preserve"> (Article 7) are </w:t>
      </w:r>
      <w:r>
        <w:rPr>
          <w:b/>
        </w:rPr>
        <w:t>largely irrelevant</w:t>
      </w:r>
    </w:p>
    <w:p>
      <w:pPr>
        <w:pStyle w:val="ListBullet"/>
      </w:pPr>
      <w:r>
        <w:rPr>
          <w:b/>
        </w:rPr>
        <w:t>Withholding tax</w:t>
      </w:r>
      <w:r>
        <w:t xml:space="preserve"> provisions (Articles 10-12) still apply to dividends, interest, royalties paid by contractor</w:t>
      </w:r>
    </w:p>
    <w:p>
      <w:r>
        <w:rPr>
          <w:b/>
        </w:rPr>
        <w:t>Tax/Royalty PSC (Hybrid):</w:t>
      </w:r>
    </w:p>
    <w:p>
      <w:pPr>
        <w:pStyle w:val="ListBullet"/>
      </w:pPr>
      <w:r>
        <w:t xml:space="preserve">Contractor pays CIT on </w:t>
      </w:r>
      <w:r>
        <w:rPr>
          <w:b/>
        </w:rPr>
        <w:t>profit oil share</w:t>
      </w:r>
    </w:p>
    <w:p>
      <w:pPr>
        <w:pStyle w:val="ListBullet"/>
      </w:pPr>
      <w:r>
        <w:t xml:space="preserve">Tax treaty </w:t>
      </w:r>
      <w:r>
        <w:rPr>
          <w:b/>
        </w:rPr>
        <w:t>fully applies</w:t>
      </w:r>
      <w:r>
        <w:t xml:space="preserve"> to this CIT liability</w:t>
      </w:r>
    </w:p>
    <w:p>
      <w:pPr>
        <w:pStyle w:val="ListBullet"/>
      </w:pPr>
      <w:r>
        <w:rPr>
          <w:b/>
        </w:rPr>
        <w:t>Tax credit relief</w:t>
      </w:r>
      <w:r>
        <w:t xml:space="preserve"> in contractor's home country is critical to avoid double taxation</w:t>
      </w:r>
    </w:p>
    <w:p>
      <w:r>
        <w:rPr>
          <w:b/>
        </w:rPr>
        <w:t>Key Tax Treaty Issue: Characterization of Payments</w:t>
      </w:r>
    </w:p>
    <w:p>
      <w:r>
        <w:rPr>
          <w:b/>
        </w:rPr>
        <w:t>Question:</w:t>
      </w:r>
      <w:r>
        <w:t xml:space="preserve"> Is the government's </w:t>
      </w:r>
      <w:r>
        <w:rPr>
          <w:b/>
        </w:rPr>
        <w:t>profit oil share</w:t>
      </w:r>
      <w:r>
        <w:t xml:space="preserve"> in a PSC considered a </w:t>
      </w:r>
      <w:r>
        <w:rPr>
          <w:b/>
        </w:rPr>
        <w:t>royalty</w:t>
      </w:r>
      <w:r>
        <w:t xml:space="preserve"> (subject to withholding tax) or </w:t>
      </w:r>
      <w:r>
        <w:rPr>
          <w:b/>
        </w:rPr>
        <w:t>sovereign income</w:t>
      </w:r>
      <w:r>
        <w:t xml:space="preserve"> (not subject to treaty)?</w:t>
      </w:r>
    </w:p>
    <w:p>
      <w:r>
        <w:rPr>
          <w:b/>
        </w:rPr>
        <w:t>Answer (Majority View):</w:t>
      </w:r>
    </w:p>
    <w:p>
      <w:pPr>
        <w:pStyle w:val="ListBullet"/>
      </w:pPr>
      <w:r>
        <w:t xml:space="preserve">Profit oil share is </w:t>
      </w:r>
      <w:r>
        <w:rPr>
          <w:b/>
        </w:rPr>
        <w:t>not a royalty</w:t>
      </w:r>
      <w:r>
        <w:t xml:space="preserve"> under Article 12 OECD Model</w:t>
      </w:r>
    </w:p>
    <w:p>
      <w:pPr>
        <w:pStyle w:val="ListBullet"/>
      </w:pPr>
      <w:r>
        <w:rPr>
          <w:b/>
        </w:rPr>
        <w:t>Rationale</w:t>
      </w:r>
      <w:r>
        <w:t xml:space="preserve">: It is the government's share of production as </w:t>
      </w:r>
      <w:r>
        <w:rPr>
          <w:b/>
        </w:rPr>
        <w:t>resource owner</w:t>
      </w:r>
      <w:r>
        <w:t>, not payment for use of property</w:t>
      </w:r>
    </w:p>
    <w:p>
      <w:pPr>
        <w:pStyle w:val="ListBullet"/>
      </w:pPr>
      <w:r>
        <w:rPr>
          <w:b/>
        </w:rPr>
        <w:t>Tax treaty withholding</w:t>
      </w:r>
      <w:r>
        <w:t xml:space="preserve"> does </w:t>
      </w:r>
      <w:r>
        <w:rPr>
          <w:b/>
        </w:rPr>
        <w:t>not apply</w:t>
      </w:r>
      <w:r>
        <w:t xml:space="preserve"> to profit oil</w:t>
      </w:r>
    </w:p>
    <w:p>
      <w:r>
        <w:rPr>
          <w:b/>
        </w:rPr>
        <w:t>Implication:</w:t>
      </w:r>
      <w:r>
        <w:t xml:space="preserve"> Tax treaties provide </w:t>
      </w:r>
      <w:r>
        <w:rPr>
          <w:b/>
        </w:rPr>
        <w:t>less benefit</w:t>
      </w:r>
      <w:r>
        <w:t xml:space="preserve"> in classic PSC regimes compared to concession regimes, as the primary fiscal mechanism (profit oil) is outside treaty scope.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5. Worked Example 1: BIT Protection in Proprietorial vs. PSC Regime</w:t>
      </w:r>
    </w:p>
    <w:p>
      <w:r>
        <w:t>═══════════════════════════════════════════</w:t>
      </w:r>
    </w:p>
    <w:p>
      <w:r>
        <w:rPr>
          <w:b/>
        </w:rPr>
        <w:t>WORKED EXAMPLE 1: Impact of Fiscal Change - BIT Protection Comparison</w:t>
      </w:r>
    </w:p>
    <w:p>
      <w:r>
        <w:t>═══════════════════════════════════════════</w:t>
      </w:r>
    </w:p>
    <w:p>
      <w:r>
        <w:rPr>
          <w:b/>
        </w:rPr>
        <w:t>Facts:</w:t>
      </w:r>
    </w:p>
    <w:p>
      <w:r>
        <w:t>Two identical oil companies operate in similar projects in Country A (proprietorial concession regime) and Country B (PSC regime). Both countries have BITs with the investor's home country (USA).</w:t>
      </w:r>
    </w:p>
    <w:p>
      <w:r>
        <w:rPr>
          <w:b/>
        </w:rPr>
        <w:t>Scenario:</w:t>
      </w:r>
      <w:r>
        <w:t xml:space="preserve"> Both host governments introduce a new </w:t>
      </w:r>
      <w:r>
        <w:rPr>
          <w:b/>
        </w:rPr>
        <w:t>30% windfall tax</w:t>
      </w:r>
      <w:r>
        <w:t xml:space="preserve"> on oil revenues when prices exceed $80/barrel.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Country A (Concession)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Country B (PSC)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Governance</w:t>
            </w:r>
          </w:p>
        </w:tc>
        <w:tc>
          <w:tcPr>
            <w:tcW w:type="dxa" w:w="2880"/>
          </w:tcPr>
          <w:p>
            <w:r/>
            <w:r>
              <w:t>Proprietorial concession</w:t>
            </w:r>
          </w:p>
        </w:tc>
        <w:tc>
          <w:tcPr>
            <w:tcW w:type="dxa" w:w="2880"/>
          </w:tcPr>
          <w:p>
            <w:r/>
            <w:r>
              <w:t>PSC with frozen law clause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Original fiscal terms</w:t>
            </w:r>
          </w:p>
        </w:tc>
        <w:tc>
          <w:tcPr>
            <w:tcW w:type="dxa" w:w="2880"/>
          </w:tcPr>
          <w:p>
            <w:r/>
            <w:r>
              <w:t>10% royalty + 30% CIT = 37% marginal rate</w:t>
            </w:r>
          </w:p>
        </w:tc>
        <w:tc>
          <w:tcPr>
            <w:tcW w:type="dxa" w:w="2880"/>
          </w:tcPr>
          <w:p>
            <w:r/>
            <w:r>
              <w:t>70/30 profit oil split (government 70%)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New measure</w:t>
            </w:r>
          </w:p>
        </w:tc>
        <w:tc>
          <w:tcPr>
            <w:tcW w:type="dxa" w:w="2880"/>
          </w:tcPr>
          <w:p>
            <w:r/>
            <w:r>
              <w:t>+30% windfall tax on revenue &gt; $80/bbl</w:t>
            </w:r>
          </w:p>
        </w:tc>
        <w:tc>
          <w:tcPr>
            <w:tcW w:type="dxa" w:w="2880"/>
          </w:tcPr>
          <w:p>
            <w:r/>
            <w:r>
              <w:t>+30% windfall tax on revenue &gt; $80/bbl (despite frozen law clause)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BIT</w:t>
            </w:r>
          </w:p>
        </w:tc>
        <w:tc>
          <w:tcPr>
            <w:tcW w:type="dxa" w:w="2880"/>
          </w:tcPr>
          <w:p>
            <w:r/>
            <w:r>
              <w:t>USA-Country A BIT (FET, expropriation protection, ISDS)</w:t>
            </w:r>
          </w:p>
        </w:tc>
        <w:tc>
          <w:tcPr>
            <w:tcW w:type="dxa" w:w="2880"/>
          </w:tcPr>
          <w:p>
            <w:r/>
            <w:r>
              <w:t>USA-Country B BIT (identical terms)</w:t>
            </w:r>
          </w:p>
        </w:tc>
      </w:tr>
    </w:tbl>
    <w:p/>
    <w:p>
      <w:r>
        <w:rPr>
          <w:b/>
        </w:rPr>
        <w:t>Required:</w:t>
      </w:r>
    </w:p>
    <w:p>
      <w:pPr>
        <w:pStyle w:val="ListNumber"/>
      </w:pPr>
      <w:r>
        <w:t>Analyze the investor's legal position under each regime</w:t>
      </w:r>
    </w:p>
    <w:p>
      <w:pPr>
        <w:pStyle w:val="ListNumber"/>
      </w:pPr>
      <w:r>
        <w:t>Assess the likelihood of successful BIT claim in each scenario</w:t>
      </w:r>
    </w:p>
    <w:p>
      <w:r>
        <w:rPr>
          <w:b/>
        </w:rPr>
        <w:t>Analysis:</w:t>
      </w:r>
    </w:p>
    <w:p>
      <w:r>
        <w:rPr>
          <w:b/>
        </w:rPr>
        <w:t>Country A (Proprietorial Concession):</w:t>
      </w:r>
    </w:p>
    <w:p>
      <w:r>
        <w:rPr>
          <w:b/>
        </w:rPr>
        <w:t>Step 1: Contractual Position</w:t>
      </w:r>
    </w:p>
    <w:p>
      <w:pPr>
        <w:pStyle w:val="ListBullet"/>
      </w:pPr>
      <w:r>
        <w:t xml:space="preserve">The investor holds a </w:t>
      </w:r>
      <w:r>
        <w:rPr>
          <w:b/>
        </w:rPr>
        <w:t>license</w:t>
      </w:r>
      <w:r>
        <w:t xml:space="preserve"> under domestic petroleum law, </w:t>
      </w:r>
      <w:r>
        <w:rPr>
          <w:b/>
        </w:rPr>
        <w:t>not a bilateral contract</w:t>
      </w:r>
      <w:r>
        <w:t xml:space="preserve"> with the state</w:t>
      </w:r>
    </w:p>
    <w:p>
      <w:pPr>
        <w:pStyle w:val="ListBullet"/>
      </w:pPr>
      <w:r>
        <w:rPr>
          <w:b/>
        </w:rPr>
        <w:t>No stabilization clause</w:t>
      </w:r>
      <w:r>
        <w:t xml:space="preserve"> exists (concession terms are set by legislation)</w:t>
      </w:r>
    </w:p>
    <w:p>
      <w:pPr>
        <w:pStyle w:val="ListBullet"/>
      </w:pPr>
      <w:r>
        <w:rPr>
          <w:b/>
        </w:rPr>
        <w:t>Conclusion:</w:t>
      </w:r>
      <w:r>
        <w:t xml:space="preserve"> No contractual breach claim available</w:t>
      </w:r>
    </w:p>
    <w:p>
      <w:r>
        <w:rPr>
          <w:b/>
        </w:rPr>
        <w:t>Step 2: BIT Protection Analysis</w:t>
      </w:r>
    </w:p>
    <w:p>
      <w:r>
        <w:t xml:space="preserve">The investor can invoke the </w:t>
      </w:r>
      <w:r>
        <w:rPr>
          <w:b/>
        </w:rPr>
        <w:t>USA-Country A BIT</w:t>
      </w:r>
      <w:r>
        <w:t xml:space="preserve"> on the following grounds:</w:t>
      </w:r>
    </w:p>
    <w:p>
      <w:pPr>
        <w:pStyle w:val="ListNumber"/>
      </w:pPr>
      <w:r>
        <w:rPr>
          <w:b/>
        </w:rPr>
        <w:t>Fair and Equitable Treatment (FET) Breach:</w:t>
      </w:r>
    </w:p>
    <w:p>
      <w:pPr>
        <w:pStyle w:val="ListBullet"/>
        <w:ind w:left="360"/>
      </w:pPr>
      <w:r>
        <w:t xml:space="preserve">Windfall tax represents </w:t>
      </w:r>
      <w:r>
        <w:rPr>
          <w:b/>
        </w:rPr>
        <w:t>arbitrary change</w:t>
      </w:r>
      <w:r>
        <w:t xml:space="preserve"> in fiscal framework</w:t>
      </w:r>
    </w:p>
    <w:p>
      <w:pPr>
        <w:pStyle w:val="ListBullet"/>
        <w:ind w:left="360"/>
      </w:pPr>
      <w:r>
        <w:t xml:space="preserve">If imposed </w:t>
      </w:r>
      <w:r>
        <w:rPr>
          <w:b/>
        </w:rPr>
        <w:t>retroactively</w:t>
      </w:r>
      <w:r>
        <w:t xml:space="preserve"> on existing licenses, violates </w:t>
      </w:r>
      <w:r>
        <w:rPr>
          <w:b/>
        </w:rPr>
        <w:t>legitimate expectations</w:t>
      </w:r>
    </w:p>
    <w:p>
      <w:pPr>
        <w:pStyle w:val="ListBullet"/>
        <w:ind w:left="360"/>
      </w:pPr>
      <w:r>
        <w:rPr>
          <w:b/>
        </w:rPr>
        <w:t>Precedent:</w:t>
      </w:r>
      <w:r>
        <w:t xml:space="preserve"> </w:t>
      </w:r>
      <w:r>
        <w:rPr>
          <w:i/>
        </w:rPr>
        <w:t>Occidental v. Ecuador</w:t>
      </w:r>
      <w:r>
        <w:t xml:space="preserve">, </w:t>
      </w:r>
      <w:r>
        <w:rPr>
          <w:i/>
        </w:rPr>
        <w:t>Petrobart v. Kyrgyzstan</w:t>
      </w:r>
      <w:r>
        <w:t xml:space="preserve"> - tribunals found sudden tax increases breached FET</w:t>
      </w:r>
    </w:p>
    <w:p>
      <w:pPr>
        <w:pStyle w:val="ListNumber"/>
      </w:pPr>
      <w:r>
        <w:rPr>
          <w:b/>
        </w:rPr>
        <w:t>Indirect Expropriation:</w:t>
      </w:r>
    </w:p>
    <w:p>
      <w:pPr>
        <w:pStyle w:val="ListBullet"/>
        <w:ind w:left="360"/>
      </w:pPr>
      <w:r>
        <w:t xml:space="preserve">If the 30% windfall tax reduces investment value by &gt;50%, may constitute </w:t>
      </w:r>
      <w:r>
        <w:rPr>
          <w:b/>
        </w:rPr>
        <w:t>indirect expropriation</w:t>
      </w:r>
    </w:p>
    <w:p>
      <w:pPr>
        <w:pStyle w:val="ListBullet"/>
        <w:ind w:left="360"/>
      </w:pPr>
      <w:r>
        <w:rPr>
          <w:b/>
        </w:rPr>
        <w:t>Test:</w:t>
      </w:r>
      <w:r>
        <w:t xml:space="preserve"> Whether measure has "substantial deprivation" effect (not necessarily total)</w:t>
      </w:r>
    </w:p>
    <w:p>
      <w:pPr>
        <w:pStyle w:val="ListBullet"/>
        <w:ind w:left="360"/>
      </w:pPr>
      <w:r>
        <w:rPr>
          <w:b/>
        </w:rPr>
        <w:t>Precedent:</w:t>
      </w:r>
      <w:r>
        <w:t xml:space="preserve"> </w:t>
      </w:r>
      <w:r>
        <w:rPr>
          <w:i/>
        </w:rPr>
        <w:t>Yukos v. Russia</w:t>
      </w:r>
      <w:r>
        <w:t xml:space="preserve"> - excessive taxation found to be expropriatory</w:t>
      </w:r>
    </w:p>
    <w:p>
      <w:r>
        <w:rPr>
          <w:b/>
        </w:rPr>
        <w:t>Step 3: ISDS Claim Likelihood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Assessment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FET breach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High likelihood</w:t>
            </w:r>
            <w:r>
              <w:t xml:space="preserve"> - sudden fiscal change without consultation likely violates legitimate expectations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Indirect expropriation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Moderate likelihood</w:t>
            </w:r>
            <w:r>
              <w:t xml:space="preserve"> - depends on severity (30% revenue tax likely substantial but not total deprivation)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Compensation potential</w:t>
            </w:r>
          </w:p>
        </w:tc>
        <w:tc>
          <w:tcPr>
            <w:tcW w:type="dxa" w:w="4320"/>
          </w:tcPr>
          <w:p>
            <w:r/>
            <w:r>
              <w:t>Difference between actual ROI and expected ROI (typically 40-60% of claim)</w:t>
            </w:r>
          </w:p>
        </w:tc>
      </w:tr>
    </w:tbl>
    <w:p/>
    <w:p>
      <w:r>
        <w:rPr>
          <w:b/>
        </w:rPr>
        <w:t>Expected Outcome:</w:t>
      </w:r>
      <w:r>
        <w:t xml:space="preserve"> </w:t>
      </w:r>
      <w:r>
        <w:rPr>
          <w:b/>
        </w:rPr>
        <w:t>60-70% chance</w:t>
      </w:r>
      <w:r>
        <w:t xml:space="preserve"> of successful claim; potential compensation of </w:t>
      </w:r>
      <w:r>
        <w:rPr>
          <w:b/>
        </w:rPr>
        <w:t>30-50%</w:t>
      </w:r>
      <w:r>
        <w:t xml:space="preserve"> of lost value.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Country B (PSC with Frozen Law Clause):</w:t>
      </w:r>
    </w:p>
    <w:p>
      <w:r>
        <w:rPr>
          <w:b/>
        </w:rPr>
        <w:t>Step 1: Contractual Position</w:t>
      </w:r>
    </w:p>
    <w:p>
      <w:pPr>
        <w:pStyle w:val="ListBullet"/>
      </w:pPr>
      <w:r>
        <w:t xml:space="preserve">The investor has a </w:t>
      </w:r>
      <w:r>
        <w:rPr>
          <w:b/>
        </w:rPr>
        <w:t>bilateral PSC contract</w:t>
      </w:r>
      <w:r>
        <w:t xml:space="preserve"> with Country B's government/NOC</w:t>
      </w:r>
    </w:p>
    <w:p>
      <w:pPr>
        <w:pStyle w:val="ListBullet"/>
      </w:pPr>
      <w:r>
        <w:t xml:space="preserve">PSC includes </w:t>
      </w:r>
      <w:r>
        <w:rPr>
          <w:b/>
        </w:rPr>
        <w:t>frozen law stabilization clause</w:t>
      </w:r>
      <w:r>
        <w:t>: "No legislative change enacted after the Effective Date shall affect the fiscal terms of this Contract"</w:t>
      </w:r>
    </w:p>
    <w:p>
      <w:pPr>
        <w:pStyle w:val="ListBullet"/>
      </w:pPr>
      <w:r>
        <w:rPr>
          <w:b/>
        </w:rPr>
        <w:t>Conclusion:</w:t>
      </w:r>
      <w:r>
        <w:t xml:space="preserve"> Windfall tax application constitutes </w:t>
      </w:r>
      <w:r>
        <w:rPr>
          <w:b/>
        </w:rPr>
        <w:t>direct breach of contract</w:t>
      </w:r>
    </w:p>
    <w:p>
      <w:r>
        <w:rPr>
          <w:b/>
        </w:rPr>
        <w:t>Step 2: Contractual Remedies</w:t>
      </w:r>
    </w:p>
    <w:p>
      <w:r>
        <w:t>The investor can pursue:</w:t>
      </w:r>
    </w:p>
    <w:p>
      <w:pPr>
        <w:pStyle w:val="ListNumber"/>
      </w:pPr>
      <w:r>
        <w:rPr>
          <w:b/>
        </w:rPr>
        <w:t>ICC Arbitration</w:t>
      </w:r>
      <w:r>
        <w:t xml:space="preserve"> (per PSC arbitration clause):</w:t>
      </w:r>
    </w:p>
    <w:p>
      <w:pPr>
        <w:pStyle w:val="ListBullet"/>
        <w:ind w:left="360"/>
      </w:pPr>
      <w:r>
        <w:t>Claim: Breach of frozen law clause</w:t>
      </w:r>
    </w:p>
    <w:p>
      <w:pPr>
        <w:pStyle w:val="ListBullet"/>
        <w:ind w:left="360"/>
      </w:pPr>
      <w:r>
        <w:t>Remedy: Injunction preventing windfall tax application OR damages equal to tax amount</w:t>
      </w:r>
    </w:p>
    <w:p>
      <w:pPr>
        <w:pStyle w:val="ListNumber"/>
      </w:pPr>
      <w:r>
        <w:rPr>
          <w:b/>
        </w:rPr>
        <w:t>Economic Equilibrium Adjustment</w:t>
      </w:r>
      <w:r>
        <w:t xml:space="preserve"> (if PSC includes equilibrium clause):</w:t>
      </w:r>
    </w:p>
    <w:p>
      <w:pPr>
        <w:pStyle w:val="ListBullet"/>
        <w:ind w:left="360"/>
      </w:pPr>
      <w:r>
        <w:t xml:space="preserve">Trigger renegotiation to restore </w:t>
      </w:r>
      <w:r>
        <w:rPr>
          <w:b/>
        </w:rPr>
        <w:t>contractor's internal rate of return (IRR)</w:t>
      </w:r>
    </w:p>
    <w:p>
      <w:pPr>
        <w:pStyle w:val="ListBullet"/>
        <w:ind w:left="360"/>
      </w:pPr>
      <w:r>
        <w:t>Mechanism: Reduce government profit oil share to offset windfall tax impact</w:t>
      </w:r>
    </w:p>
    <w:p>
      <w:r>
        <w:rPr>
          <w:b/>
        </w:rPr>
        <w:t>Step 3: BIT Protection Analysis (Additional Layer)</w:t>
      </w:r>
    </w:p>
    <w:p>
      <w:r>
        <w:t xml:space="preserve">In addition to contractual claims, the investor can invoke the </w:t>
      </w:r>
      <w:r>
        <w:rPr>
          <w:b/>
        </w:rPr>
        <w:t>USA-Country B BIT</w:t>
      </w:r>
      <w:r>
        <w:t>:</w:t>
      </w:r>
    </w:p>
    <w:p>
      <w:pPr>
        <w:pStyle w:val="ListNumber"/>
      </w:pPr>
      <w:r>
        <w:rPr>
          <w:b/>
        </w:rPr>
        <w:t>FET Breach:</w:t>
      </w:r>
    </w:p>
    <w:p>
      <w:pPr>
        <w:pStyle w:val="ListBullet"/>
        <w:ind w:left="360"/>
      </w:pPr>
      <w:r>
        <w:t xml:space="preserve">Violating </w:t>
      </w:r>
      <w:r>
        <w:rPr>
          <w:b/>
        </w:rPr>
        <w:t>stabilization commitment</w:t>
      </w:r>
      <w:r>
        <w:t xml:space="preserve"> breaches </w:t>
      </w:r>
      <w:r>
        <w:rPr>
          <w:b/>
        </w:rPr>
        <w:t>legitimate expectations</w:t>
      </w:r>
    </w:p>
    <w:p>
      <w:pPr>
        <w:pStyle w:val="ListBullet"/>
        <w:ind w:left="360"/>
      </w:pPr>
      <w:r>
        <w:rPr>
          <w:b/>
        </w:rPr>
        <w:t>Stronger claim</w:t>
      </w:r>
      <w:r>
        <w:t xml:space="preserve"> than in Country A because expectations are </w:t>
      </w:r>
      <w:r>
        <w:rPr>
          <w:b/>
        </w:rPr>
        <w:t>contractually anchored</w:t>
      </w:r>
    </w:p>
    <w:p>
      <w:pPr>
        <w:pStyle w:val="ListNumber"/>
      </w:pPr>
      <w:r>
        <w:rPr>
          <w:b/>
        </w:rPr>
        <w:t>Umbrella Clause</w:t>
      </w:r>
      <w:r>
        <w:t xml:space="preserve"> (if BIT includes one):</w:t>
      </w:r>
    </w:p>
    <w:p>
      <w:pPr>
        <w:pStyle w:val="ListBullet"/>
        <w:ind w:left="360"/>
      </w:pPr>
      <w:r>
        <w:t xml:space="preserve">Many BITs contain </w:t>
      </w:r>
      <w:r>
        <w:rPr>
          <w:b/>
        </w:rPr>
        <w:t>"umbrella clauses"</w:t>
      </w:r>
      <w:r>
        <w:t xml:space="preserve"> elevating contractual obligations to treaty level</w:t>
      </w:r>
    </w:p>
    <w:p>
      <w:pPr>
        <w:pStyle w:val="ListBullet"/>
        <w:ind w:left="360"/>
      </w:pPr>
      <w:r>
        <w:rPr>
          <w:b/>
        </w:rPr>
        <w:t>Effect:</w:t>
      </w:r>
      <w:r>
        <w:t xml:space="preserve"> Breach of PSC frozen law clause = breach of BIT</w:t>
      </w:r>
    </w:p>
    <w:p>
      <w:pPr>
        <w:pStyle w:val="ListBullet"/>
        <w:ind w:left="360"/>
      </w:pPr>
      <w:r>
        <w:rPr>
          <w:b/>
        </w:rPr>
        <w:t>Precedent:</w:t>
      </w:r>
      <w:r>
        <w:t xml:space="preserve"> </w:t>
      </w:r>
      <w:r>
        <w:rPr>
          <w:i/>
        </w:rPr>
        <w:t>SGS v. Philippines</w:t>
      </w:r>
      <w:r>
        <w:t xml:space="preserve">, </w:t>
      </w:r>
      <w:r>
        <w:rPr>
          <w:i/>
        </w:rPr>
        <w:t>Eureko v. Poland</w:t>
      </w:r>
      <w:r>
        <w:t xml:space="preserve"> - umbrella clauses upheld contractual commitments</w:t>
      </w:r>
    </w:p>
    <w:p>
      <w:r>
        <w:rPr>
          <w:b/>
        </w:rPr>
        <w:t>Step 4: ISDS Claim Likelihood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Assessment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Contract breach (ICC arbitration)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Very high likelihood</w:t>
            </w:r>
            <w:r>
              <w:t xml:space="preserve"> - clear violation of frozen law clause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FET breach (ISDS)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Very high likelihood</w:t>
            </w:r>
            <w:r>
              <w:t xml:space="preserve"> - contractual expectations violated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Umbrella clause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High likelihood</w:t>
            </w:r>
            <w:r>
              <w:t xml:space="preserve"> (if BIT contains umbrella clause) - contract breach = treaty breach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Compensation potential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Full compensation</w:t>
            </w:r>
            <w:r>
              <w:t xml:space="preserve"> for windfall tax amount (100% of damages)</w:t>
            </w:r>
          </w:p>
        </w:tc>
      </w:tr>
    </w:tbl>
    <w:p/>
    <w:p>
      <w:r>
        <w:rPr>
          <w:b/>
        </w:rPr>
        <w:t>Expected Outcome:</w:t>
      </w:r>
      <w:r>
        <w:t xml:space="preserve"> </w:t>
      </w:r>
      <w:r>
        <w:rPr>
          <w:b/>
        </w:rPr>
        <w:t>85-95% chance</w:t>
      </w:r>
      <w:r>
        <w:t xml:space="preserve"> of successful claim; potential </w:t>
      </w:r>
      <w:r>
        <w:rPr>
          <w:b/>
        </w:rPr>
        <w:t>full compensation</w:t>
      </w:r>
      <w:r>
        <w:t xml:space="preserve"> for windfall tax burden.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Comparative Conclusion: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Concession + BIT (Country A)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PSC + BIT (Country B)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Primary claim basis</w:t>
            </w:r>
          </w:p>
        </w:tc>
        <w:tc>
          <w:tcPr>
            <w:tcW w:type="dxa" w:w="2880"/>
          </w:tcPr>
          <w:p>
            <w:r/>
            <w:r>
              <w:t>BIT (FET, expropriation)</w:t>
            </w:r>
          </w:p>
        </w:tc>
        <w:tc>
          <w:tcPr>
            <w:tcW w:type="dxa" w:w="2880"/>
          </w:tcPr>
          <w:p>
            <w:r/>
            <w:r>
              <w:t>Contract breach + BIT (dual recourse)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Strength of claim</w:t>
            </w:r>
          </w:p>
        </w:tc>
        <w:tc>
          <w:tcPr>
            <w:tcW w:type="dxa" w:w="2880"/>
          </w:tcPr>
          <w:p>
            <w:r/>
            <w:r>
              <w:t>Moderate (relies on general FET principle)</w:t>
            </w:r>
          </w:p>
        </w:tc>
        <w:tc>
          <w:tcPr>
            <w:tcW w:type="dxa" w:w="2880"/>
          </w:tcPr>
          <w:p>
            <w:r/>
            <w:r>
              <w:t>Very Strong (contractual + treaty violations)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Success probability</w:t>
            </w:r>
          </w:p>
        </w:tc>
        <w:tc>
          <w:tcPr>
            <w:tcW w:type="dxa" w:w="2880"/>
          </w:tcPr>
          <w:p>
            <w:r/>
            <w:r>
              <w:t>60-70%</w:t>
            </w:r>
          </w:p>
        </w:tc>
        <w:tc>
          <w:tcPr>
            <w:tcW w:type="dxa" w:w="2880"/>
          </w:tcPr>
          <w:p>
            <w:r/>
            <w:r>
              <w:t>85-95%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Compensation level</w:t>
            </w:r>
          </w:p>
        </w:tc>
        <w:tc>
          <w:tcPr>
            <w:tcW w:type="dxa" w:w="2880"/>
          </w:tcPr>
          <w:p>
            <w:r/>
            <w:r>
              <w:t>Partial (30-50% of loss)</w:t>
            </w:r>
          </w:p>
        </w:tc>
        <w:tc>
          <w:tcPr>
            <w:tcW w:type="dxa" w:w="2880"/>
          </w:tcPr>
          <w:p>
            <w:r/>
            <w:r>
              <w:t>Full (100% of windfall tax)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Dispute forum</w:t>
            </w:r>
          </w:p>
        </w:tc>
        <w:tc>
          <w:tcPr>
            <w:tcW w:type="dxa" w:w="2880"/>
          </w:tcPr>
          <w:p>
            <w:r/>
            <w:r>
              <w:t>ICSID (BIT arbitration only)</w:t>
            </w:r>
          </w:p>
        </w:tc>
        <w:tc>
          <w:tcPr>
            <w:tcW w:type="dxa" w:w="2880"/>
          </w:tcPr>
          <w:p>
            <w:r/>
            <w:r>
              <w:t>ICC (contract) and/or ICSID (BIT) - investor's choice</w:t>
            </w:r>
          </w:p>
        </w:tc>
      </w:tr>
    </w:tbl>
    <w:p/>
    <w:p>
      <w:r>
        <w:rPr>
          <w:b/>
        </w:rPr>
        <w:t>Key Takeaway:</w:t>
      </w:r>
      <w:r>
        <w:t xml:space="preserve"> </w:t>
      </w:r>
      <w:r>
        <w:rPr>
          <w:b/>
        </w:rPr>
        <w:t>PSC regimes with stabilization clauses + BITs</w:t>
      </w:r>
      <w:r>
        <w:t xml:space="preserve"> provide </w:t>
      </w:r>
      <w:r>
        <w:rPr>
          <w:b/>
        </w:rPr>
        <w:t>significantly stronger investor protection</w:t>
      </w:r>
      <w:r>
        <w:t xml:space="preserve"> against fiscal changes than </w:t>
      </w:r>
      <w:r>
        <w:rPr>
          <w:b/>
        </w:rPr>
        <w:t>concession regimes with BITs alone</w:t>
      </w:r>
      <w:r>
        <w:t>. The dual protection layer (contract + treaty) yields both higher success probability and greater compensation.</w:t>
      </w:r>
    </w:p>
    <w:p>
      <w:r>
        <w:t>═══════════════════════════════════════════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6. Worked Example 2: Tax Treaty Application in Cross-Border Operations</w:t>
      </w:r>
    </w:p>
    <w:p>
      <w:r>
        <w:t>═══════════════════════════════════════════</w:t>
      </w:r>
    </w:p>
    <w:p>
      <w:r>
        <w:rPr>
          <w:b/>
        </w:rPr>
        <w:t>WORKED EXAMPLE 2: Tax Treaty Relief - Concession vs. PSC</w:t>
      </w:r>
    </w:p>
    <w:p>
      <w:r>
        <w:t>═══════════════════════════════════════════</w:t>
      </w:r>
    </w:p>
    <w:p>
      <w:r>
        <w:rPr>
          <w:b/>
        </w:rPr>
        <w:t>Facts:</w:t>
      </w:r>
    </w:p>
    <w:p>
      <w:r>
        <w:t>NorthOil BV (Netherlands) operates projects in two countries:</w:t>
      </w:r>
    </w:p>
    <w:p>
      <w:pPr>
        <w:pStyle w:val="ListBullet"/>
      </w:pPr>
      <w:r>
        <w:rPr>
          <w:b/>
        </w:rPr>
        <w:t>Country X</w:t>
      </w:r>
      <w:r>
        <w:t>: Proprietorial concession regime</w:t>
      </w:r>
    </w:p>
    <w:p>
      <w:pPr>
        <w:pStyle w:val="ListBullet"/>
      </w:pPr>
      <w:r>
        <w:rPr>
          <w:b/>
        </w:rPr>
        <w:t>Country Y</w:t>
      </w:r>
      <w:r>
        <w:t>: PSC regime (tax/royalty hybrid)</w:t>
      </w:r>
    </w:p>
    <w:p>
      <w:r>
        <w:t>Both countries have tax treaties with the Netherlands.</w:t>
      </w:r>
    </w:p>
    <w:p>
      <w:r>
        <w:rPr>
          <w:b/>
        </w:rPr>
        <w:t>Year 2025 Financial Summary: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Country X (Concession)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Country Y (PSC)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Production (barrels)</w:t>
            </w:r>
          </w:p>
        </w:tc>
        <w:tc>
          <w:tcPr>
            <w:tcW w:type="dxa" w:w="2880"/>
          </w:tcPr>
          <w:p>
            <w:r/>
            <w:r>
              <w:t>5,000,000</w:t>
            </w:r>
          </w:p>
        </w:tc>
        <w:tc>
          <w:tcPr>
            <w:tcW w:type="dxa" w:w="2880"/>
          </w:tcPr>
          <w:p>
            <w:r/>
            <w:r>
              <w:t>5,000,000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Oil price</w:t>
            </w:r>
          </w:p>
        </w:tc>
        <w:tc>
          <w:tcPr>
            <w:tcW w:type="dxa" w:w="2880"/>
          </w:tcPr>
          <w:p>
            <w:r/>
            <w:r>
              <w:t>$70</w:t>
            </w:r>
          </w:p>
        </w:tc>
        <w:tc>
          <w:tcPr>
            <w:tcW w:type="dxa" w:w="2880"/>
          </w:tcPr>
          <w:p>
            <w:r/>
            <w:r>
              <w:t>$70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Gross revenue</w:t>
            </w:r>
          </w:p>
        </w:tc>
        <w:tc>
          <w:tcPr>
            <w:tcW w:type="dxa" w:w="2880"/>
          </w:tcPr>
          <w:p>
            <w:r/>
            <w:r>
              <w:t>$350,000,000</w:t>
            </w:r>
          </w:p>
        </w:tc>
        <w:tc>
          <w:tcPr>
            <w:tcW w:type="dxa" w:w="2880"/>
          </w:tcPr>
          <w:p>
            <w:r/>
            <w:r>
              <w:t>$350,000,000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Operating costs</w:t>
            </w:r>
          </w:p>
        </w:tc>
        <w:tc>
          <w:tcPr>
            <w:tcW w:type="dxa" w:w="2880"/>
          </w:tcPr>
          <w:p>
            <w:r/>
            <w:r>
              <w:t>$100,000,000</w:t>
            </w:r>
          </w:p>
        </w:tc>
        <w:tc>
          <w:tcPr>
            <w:tcW w:type="dxa" w:w="2880"/>
          </w:tcPr>
          <w:p>
            <w:r/>
            <w:r>
              <w:t>$100,000,000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Royalty</w:t>
            </w:r>
          </w:p>
        </w:tc>
        <w:tc>
          <w:tcPr>
            <w:tcW w:type="dxa" w:w="2880"/>
          </w:tcPr>
          <w:p>
            <w:r/>
            <w:r>
              <w:t>12% ($42M)</w:t>
            </w:r>
          </w:p>
        </w:tc>
        <w:tc>
          <w:tcPr>
            <w:tcW w:type="dxa" w:w="2880"/>
          </w:tcPr>
          <w:p>
            <w:r/>
            <w:r>
              <w:t>0% (incorporated in profit split)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Government profit oil share</w:t>
            </w:r>
          </w:p>
        </w:tc>
        <w:tc>
          <w:tcPr>
            <w:tcW w:type="dxa" w:w="2880"/>
          </w:tcPr>
          <w:p>
            <w:r/>
            <w:r>
              <w:t>N/A</w:t>
            </w:r>
          </w:p>
        </w:tc>
        <w:tc>
          <w:tcPr>
            <w:tcW w:type="dxa" w:w="2880"/>
          </w:tcPr>
          <w:p>
            <w:r/>
            <w:r>
              <w:t>75% of profit oil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Contractor profit oil share</w:t>
            </w:r>
          </w:p>
        </w:tc>
        <w:tc>
          <w:tcPr>
            <w:tcW w:type="dxa" w:w="2880"/>
          </w:tcPr>
          <w:p>
            <w:r/>
            <w:r>
              <w:t>N/A</w:t>
            </w:r>
          </w:p>
        </w:tc>
        <w:tc>
          <w:tcPr>
            <w:tcW w:type="dxa" w:w="2880"/>
          </w:tcPr>
          <w:p>
            <w:r/>
            <w:r>
              <w:t>25% of profit oil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Cost recovery ceiling</w:t>
            </w:r>
          </w:p>
        </w:tc>
        <w:tc>
          <w:tcPr>
            <w:tcW w:type="dxa" w:w="2880"/>
          </w:tcPr>
          <w:p>
            <w:r/>
            <w:r>
              <w:t>N/A</w:t>
            </w:r>
          </w:p>
        </w:tc>
        <w:tc>
          <w:tcPr>
            <w:tcW w:type="dxa" w:w="2880"/>
          </w:tcPr>
          <w:p>
            <w:r/>
            <w:r>
              <w:t>70% of gross production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Corporate income tax rate</w:t>
            </w:r>
          </w:p>
        </w:tc>
        <w:tc>
          <w:tcPr>
            <w:tcW w:type="dxa" w:w="2880"/>
          </w:tcPr>
          <w:p>
            <w:r/>
            <w:r>
              <w:t>35%</w:t>
            </w:r>
          </w:p>
        </w:tc>
        <w:tc>
          <w:tcPr>
            <w:tcW w:type="dxa" w:w="2880"/>
          </w:tcPr>
          <w:p>
            <w:r/>
            <w:r>
              <w:t>30% (on contractor's profit oil)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Dividend withholding tax</w:t>
            </w:r>
          </w:p>
        </w:tc>
        <w:tc>
          <w:tcPr>
            <w:tcW w:type="dxa" w:w="2880"/>
          </w:tcPr>
          <w:p>
            <w:r/>
            <w:r>
              <w:t>25% (domestic rate)</w:t>
            </w:r>
          </w:p>
        </w:tc>
        <w:tc>
          <w:tcPr>
            <w:tcW w:type="dxa" w:w="2880"/>
          </w:tcPr>
          <w:p>
            <w:r/>
            <w:r>
              <w:t>20% (domestic rate)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Interest withholding tax</w:t>
            </w:r>
          </w:p>
        </w:tc>
        <w:tc>
          <w:tcPr>
            <w:tcW w:type="dxa" w:w="2880"/>
          </w:tcPr>
          <w:p>
            <w:r/>
            <w:r>
              <w:t>15% (domestic rate)</w:t>
            </w:r>
          </w:p>
        </w:tc>
        <w:tc>
          <w:tcPr>
            <w:tcW w:type="dxa" w:w="2880"/>
          </w:tcPr>
          <w:p>
            <w:r/>
            <w:r>
              <w:t>15% (domestic rate)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Treaty rates (Netherlands DTC)</w:t>
            </w:r>
          </w:p>
        </w:tc>
        <w:tc>
          <w:tcPr>
            <w:tcW w:type="dxa" w:w="2880"/>
          </w:tcPr>
          <w:p>
            <w:r/>
            <w:r>
              <w:t>Dividends: 5%, Interest: 0%</w:t>
            </w:r>
          </w:p>
        </w:tc>
        <w:tc>
          <w:tcPr>
            <w:tcW w:type="dxa" w:w="2880"/>
          </w:tcPr>
          <w:p>
            <w:r/>
            <w:r>
              <w:t>Dividends: 10%, Interest: 0%</w:t>
            </w:r>
          </w:p>
        </w:tc>
      </w:tr>
    </w:tbl>
    <w:p/>
    <w:p>
      <w:r>
        <w:rPr>
          <w:b/>
        </w:rPr>
        <w:t>Required:</w:t>
      </w:r>
    </w:p>
    <w:p>
      <w:r>
        <w:t>Calculate:</w:t>
      </w:r>
    </w:p>
    <w:p>
      <w:pPr>
        <w:pStyle w:val="ListNumber"/>
      </w:pPr>
      <w:r>
        <w:t>Total tax liability in each country</w:t>
      </w:r>
    </w:p>
    <w:p>
      <w:pPr>
        <w:pStyle w:val="ListNumber"/>
      </w:pPr>
      <w:r>
        <w:t>Tax treaty relief on repatriation</w:t>
      </w:r>
    </w:p>
    <w:p>
      <w:pPr>
        <w:pStyle w:val="ListNumber"/>
      </w:pPr>
      <w:r>
        <w:t>Effective government take comparison</w:t>
      </w:r>
    </w:p>
    <w:p>
      <w:r>
        <w:rPr>
          <w:b/>
        </w:rPr>
        <w:t>Analysis:</w:t>
      </w:r>
    </w:p>
    <w:p>
      <w:r>
        <w:rPr>
          <w:b/>
        </w:rPr>
        <w:t>COUNTRY X (PROPRIETORIAL CONCESSION REGIME):</w:t>
      </w:r>
    </w:p>
    <w:p>
      <w:r>
        <w:rPr>
          <w:b/>
        </w:rPr>
        <w:t>Step 1: Calculate Corporate Income Tax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revenue:                              $350,000,000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Operating costs:                     ($100,000,000)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Royalty:                              ($42,000,000)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 ────────────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Taxable income:                             $208,000,000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Corporate income tax @ 35%:                  $72,800,000</w:t>
      </w:r>
    </w:p>
    <w:p/>
    <w:p>
      <w:r>
        <w:rPr>
          <w:b/>
        </w:rPr>
        <w:t>Step 2: Total Source Country Tax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Royalty paid:                                $42,000,000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Corporate income tax:                        $72,800,000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 ────────────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source country tax:                   $114,800,000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take % = $114.8M / $350M = 32.8%</w:t>
      </w:r>
    </w:p>
    <w:p/>
    <w:p>
      <w:r>
        <w:rPr>
          <w:b/>
        </w:rPr>
        <w:t>Step 3: After-Tax Profit Available for Repatriation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Taxable income:                             $208,000,000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Corporate income tax:                 ($72,800,000)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 ────────────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profit:                                 $135,200,000</w:t>
      </w:r>
    </w:p>
    <w:p/>
    <w:p>
      <w:r>
        <w:rPr>
          <w:b/>
        </w:rPr>
        <w:t>Step 4: Dividend Withholding Tax (With Treaty Relief)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Dividend distribution:                      $135,200,000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Domestic withholding rate:                  25%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Treaty rate (Netherlands DTC):               5%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Treaty relief:                               20%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Withholding tax (domestic rate):            $33,800,000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Withholding tax (treaty rate):               $6,760,000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 ────────────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 savings from treaty:                    $27,040,000</w:t>
      </w:r>
    </w:p>
    <w:p/>
    <w:p>
      <w:r>
        <w:rPr>
          <w:b/>
        </w:rPr>
        <w:t>Step 5: Net Cash Repatriated to Netherlands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profit:                                 $135,200,000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Dividend WHT @ 5%:                     ($6,760,000)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 ────────────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cash to Netherlands:                    $128,440,000</w:t>
      </w:r>
    </w:p>
    <w:p/>
    <w:p>
      <w:r>
        <w:rPr>
          <w:b/>
        </w:rPr>
        <w:t>Step 6: Total Government Take (Including Withholding Tax)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Royalty:                                     $42,000,000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Corporate income tax:                        $72,800,000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Dividend withholding tax:                     $6,760,000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 ────────────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government revenue:                   $121,560,000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government take % = $121.56M / $350M = 34.7%</w:t>
      </w:r>
    </w:p>
    <w:p/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COUNTRY Y (PSC REGIME - TAX/ROYALTY HYBRID):</w:t>
      </w:r>
    </w:p>
    <w:p>
      <w:r>
        <w:rPr>
          <w:b/>
        </w:rPr>
        <w:t>Step 1: Calculate Cost Recovery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production value:                     $350,000,000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Royalty:                                       $0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 ────────────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Available for cost recovery and profit:     $350,000,000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Cost recovery ceiling: 70% × $350M =        $245,000,000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Eligible costs:                             $100,000,000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Actual cost recovery:                       $100,000,000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(Limited by lower of eligible costs or ceiling)</w:t>
      </w:r>
    </w:p>
    <w:p/>
    <w:p>
      <w:r>
        <w:rPr>
          <w:b/>
        </w:rPr>
        <w:t>Step 2: Calculate Profit Oil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Available production:                       $350,000,000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Cost recovery:                       ($100,000,000)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 ────────────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Profit oil:                                 $250,000,000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share (75%):                     $187,500,000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Contractor share (25%):                      $62,500,000</w:t>
      </w:r>
    </w:p>
    <w:p/>
    <w:p>
      <w:r>
        <w:rPr>
          <w:b/>
        </w:rPr>
        <w:t>Step 3: Calculate Corporate Income Tax on Contractor's Share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Contractor's total entitlement: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Cost recovery:                            $100,000,000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Profit oil share:                          $62,500,000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 ────────────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contractor revenue:                   $162,500,000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Taxable income (profit oil only):            $62,500,000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(Cost oil is not taxed as it represents cost reimbursement)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Corporate income tax @ 30%:                  $18,750,000</w:t>
      </w:r>
    </w:p>
    <w:p/>
    <w:p>
      <w:r>
        <w:rPr>
          <w:b/>
        </w:rPr>
        <w:t>Step 4: Contractor's Net Position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Cost recovery:                              $100,000,000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Profit oil share:                            $62,500,000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Corporate income tax:                 ($18,750,000)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 ────────────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cash flow:                              $143,750,000</w:t>
      </w:r>
    </w:p>
    <w:p/>
    <w:p>
      <w:r>
        <w:rPr>
          <w:b/>
        </w:rPr>
        <w:t>Step 5: Total Source Country Revenue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profit oil share:                $187,500,000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Corporate income tax:                        $18,750,000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 ────────────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government revenue (pre-WHT):         $206,250,000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take % = $206.25M / $350M = 58.9%</w:t>
      </w:r>
    </w:p>
    <w:p/>
    <w:p>
      <w:r>
        <w:rPr>
          <w:b/>
        </w:rPr>
        <w:t>Step 6: Dividend Repatriation (With Treaty Relief)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profit for dividend:                    $143,750,000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Domestic withholding rate:                  20%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Treaty rate (Netherlands DTC):              10%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Treaty relief:                              10%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Withholding tax (treaty rate):              $14,375,000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cash to Netherlands:                    $129,375,000</w:t>
      </w:r>
    </w:p>
    <w:p/>
    <w:p>
      <w:r>
        <w:rPr>
          <w:b/>
        </w:rPr>
        <w:t>Step 7: Total Government Take (Including Withholding Tax)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Government profit oil:                      $187,500,000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Corporate income tax:                        $18,750,000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Dividend withholding tax:                    $14,375,000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                                          ────────────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government revenue:                   $220,625,000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government take % = $220.625M / $350M = 63.0%</w:t>
      </w:r>
    </w:p>
    <w:p/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COMPARATIVE ANALYSIS: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Country X (Concession)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Country Y (PSC)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Source country taxes</w:t>
            </w:r>
          </w:p>
        </w:tc>
        <w:tc>
          <w:tcPr>
            <w:tcW w:type="dxa" w:w="2880"/>
          </w:tcPr>
          <w:p>
            <w:r/>
            <w:r>
              <w:t>$114.8M (royalty + CIT)</w:t>
            </w:r>
          </w:p>
        </w:tc>
        <w:tc>
          <w:tcPr>
            <w:tcW w:type="dxa" w:w="2880"/>
          </w:tcPr>
          <w:p>
            <w:r/>
            <w:r>
              <w:t>$206.25M (profit oil + CIT)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Government take (pre-WHT)</w:t>
            </w:r>
          </w:p>
        </w:tc>
        <w:tc>
          <w:tcPr>
            <w:tcW w:type="dxa" w:w="2880"/>
          </w:tcPr>
          <w:p>
            <w:r/>
            <w:r>
              <w:t>32.8%</w:t>
            </w:r>
          </w:p>
        </w:tc>
        <w:tc>
          <w:tcPr>
            <w:tcW w:type="dxa" w:w="2880"/>
          </w:tcPr>
          <w:p>
            <w:r/>
            <w:r>
              <w:t>58.9%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Dividend WHT (domestic rate)</w:t>
            </w:r>
          </w:p>
        </w:tc>
        <w:tc>
          <w:tcPr>
            <w:tcW w:type="dxa" w:w="2880"/>
          </w:tcPr>
          <w:p>
            <w:r/>
            <w:r>
              <w:t>25%</w:t>
            </w:r>
          </w:p>
        </w:tc>
        <w:tc>
          <w:tcPr>
            <w:tcW w:type="dxa" w:w="2880"/>
          </w:tcPr>
          <w:p>
            <w:r/>
            <w:r>
              <w:t>20%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Dividend WHT (treaty rate)</w:t>
            </w:r>
          </w:p>
        </w:tc>
        <w:tc>
          <w:tcPr>
            <w:tcW w:type="dxa" w:w="2880"/>
          </w:tcPr>
          <w:p>
            <w:r/>
            <w:r>
              <w:t>5%</w:t>
            </w:r>
          </w:p>
        </w:tc>
        <w:tc>
          <w:tcPr>
            <w:tcW w:type="dxa" w:w="2880"/>
          </w:tcPr>
          <w:p>
            <w:r/>
            <w:r>
              <w:t>10%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WHT tax savings from treaty</w:t>
            </w:r>
          </w:p>
        </w:tc>
        <w:tc>
          <w:tcPr>
            <w:tcW w:type="dxa" w:w="2880"/>
          </w:tcPr>
          <w:p>
            <w:r/>
            <w:r>
              <w:t>$27.04M (20% relief)</w:t>
            </w:r>
          </w:p>
        </w:tc>
        <w:tc>
          <w:tcPr>
            <w:tcW w:type="dxa" w:w="2880"/>
          </w:tcPr>
          <w:p>
            <w:r/>
            <w:r>
              <w:t>$6.875M (10% relief)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Total government take (incl. WHT)</w:t>
            </w:r>
          </w:p>
        </w:tc>
        <w:tc>
          <w:tcPr>
            <w:tcW w:type="dxa" w:w="2880"/>
          </w:tcPr>
          <w:p>
            <w:r/>
            <w:r>
              <w:t>34.7%</w:t>
            </w:r>
          </w:p>
        </w:tc>
        <w:tc>
          <w:tcPr>
            <w:tcW w:type="dxa" w:w="2880"/>
          </w:tcPr>
          <w:p>
            <w:r/>
            <w:r>
              <w:t>63.0%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Net cash to investor</w:t>
            </w:r>
          </w:p>
        </w:tc>
        <w:tc>
          <w:tcPr>
            <w:tcW w:type="dxa" w:w="2880"/>
          </w:tcPr>
          <w:p>
            <w:r/>
            <w:r>
              <w:t>$128.44M</w:t>
            </w:r>
          </w:p>
        </w:tc>
        <w:tc>
          <w:tcPr>
            <w:tcW w:type="dxa" w:w="2880"/>
          </w:tcPr>
          <w:p>
            <w:r/>
            <w:r>
              <w:t>$129.38M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Investor effective return</w:t>
            </w:r>
          </w:p>
        </w:tc>
        <w:tc>
          <w:tcPr>
            <w:tcW w:type="dxa" w:w="2880"/>
          </w:tcPr>
          <w:p>
            <w:r/>
            <w:r>
              <w:t>36.7% of revenue</w:t>
            </w:r>
          </w:p>
        </w:tc>
        <w:tc>
          <w:tcPr>
            <w:tcW w:type="dxa" w:w="2880"/>
          </w:tcPr>
          <w:p>
            <w:r/>
            <w:r>
              <w:t>37.0% of revenue</w:t>
            </w:r>
          </w:p>
        </w:tc>
      </w:tr>
    </w:tbl>
    <w:p/>
    <w:p>
      <w:r>
        <w:rPr>
          <w:b/>
        </w:rPr>
        <w:t>Key Observations:</w:t>
      </w:r>
    </w:p>
    <w:p>
      <w:pPr>
        <w:pStyle w:val="ListNumber"/>
      </w:pPr>
      <w:r>
        <w:rPr>
          <w:b/>
        </w:rPr>
        <w:t>Government Take:</w:t>
      </w:r>
      <w:r>
        <w:t xml:space="preserve"> PSC regime (63.0%) generates </w:t>
      </w:r>
      <w:r>
        <w:rPr>
          <w:b/>
        </w:rPr>
        <w:t>nearly double</w:t>
      </w:r>
      <w:r>
        <w:t xml:space="preserve"> the government revenue of the concession regime (34.7%), despite similar project economics.</w:t>
      </w:r>
    </w:p>
    <w:p>
      <w:pPr>
        <w:pStyle w:val="ListNumber"/>
      </w:pPr>
      <w:r>
        <w:rPr>
          <w:b/>
        </w:rPr>
        <w:t>Tax Treaty Impact:</w:t>
      </w:r>
    </w:p>
    <w:p>
      <w:pPr>
        <w:pStyle w:val="ListBullet"/>
        <w:ind w:left="360"/>
      </w:pPr>
      <w:r>
        <w:rPr>
          <w:b/>
        </w:rPr>
        <w:t>Concession regime:</w:t>
      </w:r>
      <w:r>
        <w:t xml:space="preserve"> Treaty relief is </w:t>
      </w:r>
      <w:r>
        <w:rPr>
          <w:b/>
        </w:rPr>
        <w:t>very significant</w:t>
      </w:r>
      <w:r>
        <w:t xml:space="preserve"> (20% reduction in WHT = $27M savings)</w:t>
      </w:r>
    </w:p>
    <w:p>
      <w:pPr>
        <w:pStyle w:val="ListBullet"/>
        <w:ind w:left="360"/>
      </w:pPr>
      <w:r>
        <w:rPr>
          <w:b/>
        </w:rPr>
        <w:t>PSC regime:</w:t>
      </w:r>
      <w:r>
        <w:t xml:space="preserve"> Treaty relief is </w:t>
      </w:r>
      <w:r>
        <w:rPr>
          <w:b/>
        </w:rPr>
        <w:t>moderate</w:t>
      </w:r>
      <w:r>
        <w:t xml:space="preserve"> (10% reduction in WHT = $6.9M savings)</w:t>
      </w:r>
    </w:p>
    <w:p>
      <w:pPr>
        <w:pStyle w:val="ListBullet"/>
        <w:ind w:left="360"/>
      </w:pPr>
      <w:r>
        <w:rPr>
          <w:b/>
        </w:rPr>
        <w:t>Reason:</w:t>
      </w:r>
      <w:r>
        <w:t xml:space="preserve"> In concessions, dividends are the </w:t>
      </w:r>
      <w:r>
        <w:rPr>
          <w:b/>
        </w:rPr>
        <w:t>primary repatriation mechanism</w:t>
      </w:r>
      <w:r>
        <w:t xml:space="preserve">; in PSCs, the </w:t>
      </w:r>
      <w:r>
        <w:rPr>
          <w:b/>
        </w:rPr>
        <w:t>profit oil share</w:t>
      </w:r>
      <w:r>
        <w:t xml:space="preserve"> (not subject to WHT) is primary, reducing treaty leverage</w:t>
      </w:r>
    </w:p>
    <w:p>
      <w:pPr>
        <w:pStyle w:val="ListNumber"/>
      </w:pPr>
      <w:r>
        <w:rPr>
          <w:b/>
        </w:rPr>
        <w:t>Investor Net Return:</w:t>
      </w:r>
      <w:r>
        <w:t xml:space="preserve"> Despite much higher government take in the PSC (63% vs. 35%), the investor's </w:t>
      </w:r>
      <w:r>
        <w:rPr>
          <w:b/>
        </w:rPr>
        <w:t>net return is similar</w:t>
      </w:r>
      <w:r>
        <w:t xml:space="preserve"> (37.0% vs. 36.7%) because:</w:t>
      </w:r>
    </w:p>
    <w:p>
      <w:pPr>
        <w:pStyle w:val="ListBullet"/>
        <w:ind w:left="360"/>
      </w:pPr>
      <w:r>
        <w:t xml:space="preserve">PSC provides </w:t>
      </w:r>
      <w:r>
        <w:rPr>
          <w:b/>
        </w:rPr>
        <w:t>full cost recovery</w:t>
      </w:r>
      <w:r>
        <w:t xml:space="preserve"> before profit split</w:t>
      </w:r>
    </w:p>
    <w:p>
      <w:pPr>
        <w:pStyle w:val="ListBullet"/>
        <w:ind w:left="360"/>
      </w:pPr>
      <w:r>
        <w:t xml:space="preserve">Concession regime has </w:t>
      </w:r>
      <w:r>
        <w:rPr>
          <w:b/>
        </w:rPr>
        <w:t>royalty on gross revenue</w:t>
      </w:r>
      <w:r>
        <w:t xml:space="preserve"> (reduces investor share regardless of profitability)</w:t>
      </w:r>
    </w:p>
    <w:p>
      <w:pPr>
        <w:pStyle w:val="ListNumber"/>
      </w:pPr>
      <w:r>
        <w:rPr>
          <w:b/>
        </w:rPr>
        <w:t>Tax Treaty Value:</w:t>
      </w:r>
    </w:p>
    <w:p>
      <w:pPr>
        <w:pStyle w:val="ListBullet"/>
        <w:ind w:left="360"/>
      </w:pPr>
      <w:r>
        <w:rPr>
          <w:b/>
        </w:rPr>
        <w:t>Concession regime:</w:t>
      </w:r>
      <w:r>
        <w:t xml:space="preserve"> Tax treaties provide </w:t>
      </w:r>
      <w:r>
        <w:rPr>
          <w:b/>
        </w:rPr>
        <w:t>substantial economic benefit</w:t>
      </w:r>
      <w:r>
        <w:t xml:space="preserve"> ($27M savings)</w:t>
      </w:r>
    </w:p>
    <w:p>
      <w:pPr>
        <w:pStyle w:val="ListBullet"/>
        <w:ind w:left="360"/>
      </w:pPr>
      <w:r>
        <w:rPr>
          <w:b/>
        </w:rPr>
        <w:t>PSC regime:</w:t>
      </w:r>
      <w:r>
        <w:t xml:space="preserve"> Tax treaties provide </w:t>
      </w:r>
      <w:r>
        <w:rPr>
          <w:b/>
        </w:rPr>
        <w:t>limited benefit</w:t>
      </w:r>
      <w:r>
        <w:t xml:space="preserve"> ($7M savings) because profit oil mechanism bypasses treaty scope</w:t>
      </w:r>
    </w:p>
    <w:p>
      <w:r>
        <w:rPr>
          <w:b/>
        </w:rPr>
        <w:t>Conclusion:</w:t>
      </w:r>
    </w:p>
    <w:p>
      <w:r>
        <w:rPr>
          <w:b/>
        </w:rPr>
        <w:t>Tax treaties are more economically significant in proprietorial (concession) regimes</w:t>
      </w:r>
      <w:r>
        <w:t xml:space="preserve"> than in PSC regimes because:</w:t>
      </w:r>
    </w:p>
    <w:p>
      <w:pPr>
        <w:pStyle w:val="ListBullet"/>
      </w:pPr>
      <w:r>
        <w:t xml:space="preserve">Concessions rely on </w:t>
      </w:r>
      <w:r>
        <w:rPr>
          <w:b/>
        </w:rPr>
        <w:t>dividends</w:t>
      </w:r>
      <w:r>
        <w:t xml:space="preserve"> for repatriation (subject to WHT and treaty relief)</w:t>
      </w:r>
    </w:p>
    <w:p>
      <w:pPr>
        <w:pStyle w:val="ListBullet"/>
      </w:pPr>
      <w:r>
        <w:t xml:space="preserve">PSCs use </w:t>
      </w:r>
      <w:r>
        <w:rPr>
          <w:b/>
        </w:rPr>
        <w:t>profit oil allocation</w:t>
      </w:r>
      <w:r>
        <w:t xml:space="preserve"> as primary revenue mechanism (not subject to WHT)</w:t>
      </w:r>
    </w:p>
    <w:p>
      <w:r>
        <w:t xml:space="preserve">However, </w:t>
      </w:r>
      <w:r>
        <w:rPr>
          <w:b/>
        </w:rPr>
        <w:t>PSC regimes generate higher government take</w:t>
      </w:r>
      <w:r>
        <w:t xml:space="preserve"> (63% vs. 35%) while maintaining similar investor returns, demonstrating the </w:t>
      </w:r>
      <w:r>
        <w:rPr>
          <w:b/>
        </w:rPr>
        <w:t>fiscal efficiency</w:t>
      </w:r>
      <w:r>
        <w:t xml:space="preserve"> of production sharing mechanisms.</w:t>
      </w:r>
    </w:p>
    <w:p>
      <w:r>
        <w:t>═══════════════════════════════════════════</w:t>
      </w:r>
    </w:p>
    <w:p>
      <w:pPr>
        <w:spacing w:before="120" w:after="120"/>
        <w:pBdr>
          <w:bottom w:val="single" w:sz="6" w:space="1" w:color="auto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