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Transfer Pricing in Energy Resources</w:t>
      </w:r>
    </w:p>
    <w:p>
      <w:pPr>
        <w:pStyle w:val="Heading2"/>
      </w:pPr>
      <w:r>
        <w:t>1. Core Framework and Legal Basis</w:t>
      </w:r>
    </w:p>
    <w:p>
      <w:pPr/>
      <w:r>
        <w:rPr>
          <w:b/>
        </w:rPr>
        <w:t>Transfer pricing</w:t>
      </w:r>
      <w:r>
        <w:t xml:space="preserve"> governs the pricing of transactions between related parties across tax jurisdictions. In the energy resources sector, transfer pricing affects commodity sales, service arrangements, financing, intellectual property licensing, and cost-sharing agreements. Improper transfer pricing results in profit shifting, double taxation, penalties, and reputational damage.</w:t>
      </w:r>
    </w:p>
    <w:p>
      <w:pPr>
        <w:pStyle w:val="Heading3"/>
      </w:pPr>
      <w:r>
        <w:t>1.1 Statutory Foundation</w:t>
      </w:r>
    </w:p>
    <w:p>
      <w:pPr/>
      <w:r>
        <w:rPr>
          <w:b/>
        </w:rPr>
        <w:t>Domestic Legislation</w:t>
      </w:r>
      <w:r>
        <w:t>: Most jurisdictions incorporate the arm's length principle in domestic law:</w:t>
      </w:r>
    </w:p>
    <w:p>
      <w:pPr>
        <w:pStyle w:val="ListBullet"/>
      </w:pPr>
      <w:r>
        <w:rPr>
          <w:b/>
        </w:rPr>
        <w:t>United States (US)</w:t>
      </w:r>
      <w:r>
        <w:t>: Internal Revenue Code Section 482</w:t>
      </w:r>
    </w:p>
    <w:p>
      <w:pPr>
        <w:pStyle w:val="ListBullet"/>
      </w:pPr>
      <w:r>
        <w:rPr>
          <w:b/>
        </w:rPr>
        <w:t>United Kingdom (UK)</w:t>
      </w:r>
      <w:r>
        <w:t>: Taxation (International and Other Provisions) Act 2010, Part 4</w:t>
      </w:r>
    </w:p>
    <w:p>
      <w:pPr>
        <w:pStyle w:val="ListBullet"/>
      </w:pPr>
      <w:r>
        <w:rPr>
          <w:b/>
        </w:rPr>
        <w:t>Organisation for Economic Co-operation and Development (OECD) Members</w:t>
      </w:r>
      <w:r>
        <w:t>: Implementation of OECD Transfer Pricing Guidelines</w:t>
      </w:r>
    </w:p>
    <w:p>
      <w:pPr>
        <w:pStyle w:val="ListBullet"/>
      </w:pPr>
      <w:r>
        <w:rPr>
          <w:b/>
        </w:rPr>
        <w:t>Developing Countries</w:t>
      </w:r>
      <w:r>
        <w:t>: Often based on United Nations (UN) Practical Manual on Transfer Pricing</w:t>
      </w:r>
    </w:p>
    <w:p>
      <w:pPr/>
      <w:r>
        <w:rPr>
          <w:b/>
        </w:rPr>
        <w:t>Treaty Basis</w:t>
      </w:r>
      <w:r>
        <w:t xml:space="preserve">: </w:t>
      </w:r>
      <w:r>
        <w:rPr>
          <w:b/>
        </w:rPr>
        <w:t>Article 9</w:t>
      </w:r>
      <w:r>
        <w:t xml:space="preserve"> of OECD Model Tax Convention provides treaty foundation:</w:t>
      </w:r>
    </w:p>
    <w:p>
      <w:pPr/>
      <w:r>
        <w:t xml:space="preserve">&gt; </w:t>
      </w:r>
      <w:r>
        <w:rPr>
          <w:i/>
        </w:rPr>
        <w:t>"Where... conditions are made or imposed between the two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w:t>
      </w:r>
    </w:p>
    <w:p>
      <w:pPr/>
      <w:r>
        <w:rPr>
          <w:b/>
        </w:rPr>
        <w:t>OECD Transfer Pricing Guidelines for Multinational Enterprises and Tax Administrations</w:t>
      </w:r>
      <w:r>
        <w:t xml:space="preserve"> (2022 edition): Authoritative international standard interpreting and applying the arm's length principle. Adopted by OECD and G20 countries. Over 50 jurisdictions explicitly reference the Guidelines in domestic legislation or administrative practice.</w:t>
      </w:r>
    </w:p>
    <w:p>
      <w:pPr>
        <w:pStyle w:val="Heading3"/>
      </w:pPr>
      <w:r>
        <w:t>1.2 The Arm's Length Principle</w:t>
      </w:r>
    </w:p>
    <w:p>
      <w:pPr/>
      <w:r>
        <w:rPr>
          <w:b/>
        </w:rPr>
        <w:t>Definition</w:t>
      </w:r>
      <w:r>
        <w:t>: Transactions between related parties should be priced as if conducted between independent enterprises dealing at arm's length under comparable circumstances.</w:t>
      </w:r>
    </w:p>
    <w:p>
      <w:pPr/>
      <w:r>
        <w:rPr>
          <w:b/>
        </w:rPr>
        <w:t>Rationale</w:t>
      </w:r>
      <w:r>
        <w:t>:</w:t>
      </w:r>
    </w:p>
    <w:p>
      <w:pPr>
        <w:pStyle w:val="ListBullet"/>
      </w:pPr>
      <w:r>
        <w:t>Ensures proper allocation of taxable profits among jurisdictions</w:t>
      </w:r>
    </w:p>
    <w:p>
      <w:pPr>
        <w:pStyle w:val="ListBullet"/>
      </w:pPr>
      <w:r>
        <w:t>Prevents artificial profit shifting to low-tax jurisdictions</w:t>
      </w:r>
    </w:p>
    <w:p>
      <w:pPr>
        <w:pStyle w:val="ListBullet"/>
      </w:pPr>
      <w:r>
        <w:t>Promotes parity between multinational enterprises (MNEs) and independent enterprises</w:t>
      </w:r>
    </w:p>
    <w:p>
      <w:pPr>
        <w:pStyle w:val="ListBullet"/>
      </w:pPr>
      <w:r>
        <w:t>Facilitates efficient tax administration</w:t>
      </w:r>
    </w:p>
    <w:p>
      <w:pPr/>
      <w:r>
        <w:rPr>
          <w:b/>
        </w:rPr>
        <w:t>Comparable Uncontrolled Transaction</w:t>
      </w:r>
      <w:r>
        <w:t>: The benchmark for arm's length pricing is pricing between independent parties in comparable transactions under comparable circumstances.</w:t>
      </w:r>
    </w:p>
    <w:p>
      <w:pPr/>
      <w:r>
        <w:rPr>
          <w:b/>
        </w:rPr>
        <w:t>Comparability Factors</w:t>
      </w:r>
      <w:r>
        <w:t xml:space="preserve"> (OECD Guidelines Chapter I):</w:t>
      </w:r>
    </w:p>
    <w:p>
      <w:pPr>
        <w:pStyle w:val="ListNumber"/>
      </w:pPr>
      <w:r>
        <w:rPr>
          <w:b/>
        </w:rPr>
        <w:t>Characteristics of property/services</w:t>
      </w:r>
      <w:r>
        <w:t>: Quality, volume, timing, terms</w:t>
      </w:r>
    </w:p>
    <w:p>
      <w:pPr>
        <w:pStyle w:val="ListNumber"/>
      </w:pPr>
      <w:r>
        <w:rPr>
          <w:b/>
        </w:rPr>
        <w:t>Functional analysis</w:t>
      </w:r>
      <w:r>
        <w:t>: Functions performed, assets used, risks assumed</w:t>
      </w:r>
    </w:p>
    <w:p>
      <w:pPr>
        <w:pStyle w:val="ListNumber"/>
      </w:pPr>
      <w:r>
        <w:rPr>
          <w:b/>
        </w:rPr>
        <w:t>Contractual terms</w:t>
      </w:r>
      <w:r>
        <w:t>: Pricing terms, delivery, warranties, risk allocation</w:t>
      </w:r>
    </w:p>
    <w:p>
      <w:pPr>
        <w:pStyle w:val="ListNumber"/>
      </w:pPr>
      <w:r>
        <w:rPr>
          <w:b/>
        </w:rPr>
        <w:t>Economic circumstances</w:t>
      </w:r>
      <w:r>
        <w:t>: Geographic markets, size, competition, government regulation</w:t>
      </w:r>
    </w:p>
    <w:p>
      <w:pPr>
        <w:pStyle w:val="ListNumber"/>
      </w:pPr>
      <w:r>
        <w:rPr>
          <w:b/>
        </w:rPr>
        <w:t>Business strategies</w:t>
      </w:r>
      <w:r>
        <w:t>: Innovation, market penetration, diversification</w:t>
      </w:r>
    </w:p>
    <w:p>
      <w:pPr>
        <w:pStyle w:val="Heading3"/>
      </w:pPr>
      <w:r>
        <w:t>1.3 Functional Analysis</w:t>
      </w:r>
    </w:p>
    <w:p>
      <w:pPr/>
      <w:r>
        <w:rPr>
          <w:b/>
        </w:rPr>
        <w:t>Critical Foundation</w:t>
      </w:r>
      <w:r>
        <w:t>: Transfer pricing analysis begins with detailed functional analysis identifying:</w:t>
      </w:r>
    </w:p>
    <w:p>
      <w:pPr/>
      <w:r>
        <w:rPr>
          <w:b/>
        </w:rPr>
        <w:t>Functions</w:t>
      </w:r>
      <w:r>
        <w:t>: Activities performed by each party:</w:t>
      </w:r>
    </w:p>
    <w:p>
      <w:pPr>
        <w:pStyle w:val="ListBullet"/>
      </w:pPr>
      <w:r>
        <w:t>Exploration and development</w:t>
      </w:r>
    </w:p>
    <w:p>
      <w:pPr>
        <w:pStyle w:val="ListBullet"/>
      </w:pPr>
      <w:r>
        <w:t>Production and extraction</w:t>
      </w:r>
    </w:p>
    <w:p>
      <w:pPr>
        <w:pStyle w:val="ListBullet"/>
      </w:pPr>
      <w:r>
        <w:t>Processing and refining</w:t>
      </w:r>
    </w:p>
    <w:p>
      <w:pPr>
        <w:pStyle w:val="ListBullet"/>
      </w:pPr>
      <w:r>
        <w:t>Marketing and distribution</w:t>
      </w:r>
    </w:p>
    <w:p>
      <w:pPr>
        <w:pStyle w:val="ListBullet"/>
      </w:pPr>
      <w:r>
        <w:t>Research and development</w:t>
      </w:r>
    </w:p>
    <w:p>
      <w:pPr>
        <w:pStyle w:val="ListBullet"/>
      </w:pPr>
      <w:r>
        <w:t>Management and administration</w:t>
      </w:r>
    </w:p>
    <w:p>
      <w:pPr/>
      <w:r>
        <w:rPr>
          <w:b/>
        </w:rPr>
        <w:t>Assets</w:t>
      </w:r>
      <w:r>
        <w:t>: Tangible and intangible assets employed:</w:t>
      </w:r>
    </w:p>
    <w:p>
      <w:pPr>
        <w:pStyle w:val="ListBullet"/>
      </w:pPr>
      <w:r>
        <w:t>Petroleum concessions and licenses</w:t>
      </w:r>
    </w:p>
    <w:p>
      <w:pPr>
        <w:pStyle w:val="ListBullet"/>
      </w:pPr>
      <w:r>
        <w:t>Production equipment and facilities</w:t>
      </w:r>
    </w:p>
    <w:p>
      <w:pPr>
        <w:pStyle w:val="ListBullet"/>
      </w:pPr>
      <w:r>
        <w:t>Intellectual property (seismic data, technology, know-how)</w:t>
      </w:r>
    </w:p>
    <w:p>
      <w:pPr>
        <w:pStyle w:val="ListBullet"/>
      </w:pPr>
      <w:r>
        <w:t>Working capital</w:t>
      </w:r>
    </w:p>
    <w:p>
      <w:pPr>
        <w:pStyle w:val="ListBullet"/>
      </w:pPr>
      <w:r>
        <w:t>Human capital (specialized expertise)</w:t>
      </w:r>
    </w:p>
    <w:p>
      <w:pPr/>
      <w:r>
        <w:rPr>
          <w:b/>
        </w:rPr>
        <w:t>Risks</w:t>
      </w:r>
      <w:r>
        <w:t>: Commercial and financial risks assumed:</w:t>
      </w:r>
    </w:p>
    <w:p>
      <w:pPr>
        <w:pStyle w:val="ListBullet"/>
      </w:pPr>
      <w:r>
        <w:t>Exploration risk (geological uncertainty)</w:t>
      </w:r>
    </w:p>
    <w:p>
      <w:pPr>
        <w:pStyle w:val="ListBullet"/>
      </w:pPr>
      <w:r>
        <w:t>Development risk (cost overruns, delays)</w:t>
      </w:r>
    </w:p>
    <w:p>
      <w:pPr>
        <w:pStyle w:val="ListBullet"/>
      </w:pPr>
      <w:r>
        <w:t>Production risk (reservoir performance, operational disruption)</w:t>
      </w:r>
    </w:p>
    <w:p>
      <w:pPr>
        <w:pStyle w:val="ListBullet"/>
      </w:pPr>
      <w:r>
        <w:t>Price risk (commodity price volatility)</w:t>
      </w:r>
    </w:p>
    <w:p>
      <w:pPr>
        <w:pStyle w:val="ListBullet"/>
      </w:pPr>
      <w:r>
        <w:t>Political and regulatory risk</w:t>
      </w:r>
    </w:p>
    <w:p>
      <w:pPr>
        <w:pStyle w:val="ListBullet"/>
      </w:pPr>
      <w:r>
        <w:t>Environmental and safety risk</w:t>
      </w:r>
    </w:p>
    <w:p>
      <w:pPr>
        <w:pStyle w:val="ListBullet"/>
      </w:pPr>
      <w:r>
        <w:t>Credit and currency risk</w:t>
      </w:r>
    </w:p>
    <w:p>
      <w:pPr/>
      <w:r>
        <w:rPr>
          <w:b/>
        </w:rPr>
        <w:t>Risk Allocation Principle</w:t>
      </w:r>
      <w:r>
        <w:t>: Party assuming economically significant risks is entitled to risk-adjusted returns. Risk allocation must be consistent with:</w:t>
      </w:r>
    </w:p>
    <w:p>
      <w:pPr>
        <w:pStyle w:val="ListBullet"/>
      </w:pPr>
      <w:r>
        <w:t>Contractual terms</w:t>
      </w:r>
    </w:p>
    <w:p>
      <w:pPr>
        <w:pStyle w:val="ListBullet"/>
      </w:pPr>
      <w:r>
        <w:t>Conduct of parties</w:t>
      </w:r>
    </w:p>
    <w:p>
      <w:pPr>
        <w:pStyle w:val="ListBullet"/>
      </w:pPr>
      <w:r>
        <w:t>Financial capacity to assume risk</w:t>
      </w:r>
    </w:p>
    <w:p>
      <w:pPr>
        <w:pStyle w:val="ListBullet"/>
      </w:pPr>
      <w:r>
        <w:t>Control over risk (OECD Base Erosion and Profit Shifting (BEPS) Actions 8-10, finalized in 2015)</w:t>
      </w:r>
    </w:p>
    <w:p>
      <w:pPr>
        <w:pStyle w:val="Heading2"/>
      </w:pPr>
      <w:r>
        <w:t>2. Transfer Pricing Methods</w:t>
      </w:r>
    </w:p>
    <w:p>
      <w:pPr>
        <w:pStyle w:val="Heading3"/>
      </w:pPr>
      <w:r>
        <w:t>2.1 Traditional Transaction Methods</w:t>
      </w:r>
    </w:p>
    <w:p>
      <w:pPr/>
      <w:r>
        <w:rPr>
          <w:b/>
        </w:rPr>
        <w:t>Comparable Uncontrolled Price (CUP) Method</w:t>
      </w:r>
      <w:r>
        <w:t>:</w:t>
      </w:r>
    </w:p>
    <w:p>
      <w:pPr>
        <w:pStyle w:val="ListBullet"/>
      </w:pPr>
      <w:r>
        <w:rPr>
          <w:b/>
        </w:rPr>
        <w:t>Most direct</w:t>
      </w:r>
      <w:r>
        <w:t xml:space="preserve"> and </w:t>
      </w:r>
      <w:r>
        <w:rPr>
          <w:b/>
        </w:rPr>
        <w:t>preferred</w:t>
      </w:r>
      <w:r>
        <w:t xml:space="preserve"> method when reliable comparables exist</w:t>
      </w:r>
    </w:p>
    <w:p>
      <w:pPr>
        <w:pStyle w:val="ListBullet"/>
      </w:pPr>
      <w:r>
        <w:t>Compares price charged in controlled transaction to price in comparable uncontrolled transaction</w:t>
      </w:r>
    </w:p>
    <w:p>
      <w:pPr>
        <w:pStyle w:val="ListBullet"/>
      </w:pPr>
      <w:r>
        <w:rPr>
          <w:b/>
        </w:rPr>
        <w:t>Internal CUP</w:t>
      </w:r>
      <w:r>
        <w:t>: Same taxpayer's transactions with independent parties</w:t>
      </w:r>
    </w:p>
    <w:p>
      <w:pPr>
        <w:pStyle w:val="ListBullet"/>
      </w:pPr>
      <w:r>
        <w:rPr>
          <w:b/>
        </w:rPr>
        <w:t>External CUP</w:t>
      </w:r>
      <w:r>
        <w:t>: Transactions between two independent parties</w:t>
      </w:r>
    </w:p>
    <w:p>
      <w:pPr>
        <w:pStyle w:val="ListBullet"/>
      </w:pPr>
      <w:r>
        <w:rPr>
          <w:b/>
        </w:rPr>
        <w:t>Adjustments</w:t>
      </w:r>
      <w:r>
        <w:t>: Required for differences affecting price (volume, terms, quality)</w:t>
      </w:r>
    </w:p>
    <w:p>
      <w:pPr/>
      <w:r>
        <w:rPr>
          <w:b/>
        </w:rPr>
        <w:t>Resale Price Method (RPM)</w:t>
      </w:r>
      <w:r>
        <w:t>:</w:t>
      </w:r>
    </w:p>
    <w:p>
      <w:pPr>
        <w:pStyle w:val="ListBullet"/>
      </w:pPr>
      <w:r>
        <w:t>Begins with price at which product resold to independent party</w:t>
      </w:r>
    </w:p>
    <w:p>
      <w:pPr>
        <w:pStyle w:val="ListBullet"/>
      </w:pPr>
      <w:r>
        <w:t>Reduces price by appropriate gross margin (</w:t>
      </w:r>
      <w:r>
        <w:rPr>
          <w:b/>
        </w:rPr>
        <w:t>resale price margin</w:t>
      </w:r>
      <w:r>
        <w:t>)</w:t>
      </w:r>
    </w:p>
    <w:p>
      <w:pPr>
        <w:pStyle w:val="ListBullet"/>
      </w:pPr>
      <w:r>
        <w:t>Remaining amount is arm's length price paid to related supplier</w:t>
      </w:r>
    </w:p>
    <w:p>
      <w:pPr>
        <w:pStyle w:val="ListBullet"/>
      </w:pPr>
      <w:r>
        <w:rPr>
          <w:b/>
        </w:rPr>
        <w:t>Best suited</w:t>
      </w:r>
      <w:r>
        <w:t>: Reseller adds limited value (marketing, distribution)</w:t>
      </w:r>
    </w:p>
    <w:p>
      <w:pPr>
        <w:pStyle w:val="ListBullet"/>
      </w:pPr>
      <w:r>
        <w:rPr>
          <w:b/>
        </w:rPr>
        <w:t>Energy sector application</w:t>
      </w:r>
      <w:r>
        <w:t>: Marketing/distribution subsidiaries</w:t>
      </w:r>
    </w:p>
    <w:p>
      <w:pPr/>
      <w:r>
        <w:rPr>
          <w:b/>
        </w:rPr>
        <w:t>Cost Plus Method (CPM)</w:t>
      </w:r>
      <w:r>
        <w:t>:</w:t>
      </w:r>
    </w:p>
    <w:p>
      <w:pPr>
        <w:pStyle w:val="ListBullet"/>
      </w:pPr>
      <w:r>
        <w:t>Begins with supplier's costs for products transferred</w:t>
      </w:r>
    </w:p>
    <w:p>
      <w:pPr>
        <w:pStyle w:val="ListBullet"/>
      </w:pPr>
      <w:r>
        <w:t>Adds appropriate cost plus markup</w:t>
      </w:r>
    </w:p>
    <w:p>
      <w:pPr>
        <w:pStyle w:val="ListBullet"/>
      </w:pPr>
      <w:r>
        <w:rPr>
          <w:b/>
        </w:rPr>
        <w:t>Best suited</w:t>
      </w:r>
      <w:r>
        <w:t>: Manufacturing, services, contract R&amp;D</w:t>
      </w:r>
    </w:p>
    <w:p>
      <w:pPr>
        <w:pStyle w:val="ListBullet"/>
      </w:pPr>
      <w:r>
        <w:rPr>
          <w:b/>
        </w:rPr>
        <w:t>Energy sector application</w:t>
      </w:r>
      <w:r>
        <w:t>: Service providers, contract operators</w:t>
      </w:r>
    </w:p>
    <w:p>
      <w:pPr>
        <w:pStyle w:val="Heading3"/>
      </w:pPr>
      <w:r>
        <w:t>2.2 Transactional Profit Methods</w:t>
      </w:r>
    </w:p>
    <w:p>
      <w:pPr/>
      <w:r>
        <w:rPr>
          <w:b/>
        </w:rPr>
        <w:t>Transactional Net Margin Method (TNMM)</w:t>
      </w:r>
      <w:r>
        <w:t>:</w:t>
      </w:r>
    </w:p>
    <w:p>
      <w:pPr>
        <w:pStyle w:val="ListBullet"/>
      </w:pPr>
      <w:r>
        <w:t>Examines net profit margin relative to appropriate base (costs, sales, assets)</w:t>
      </w:r>
    </w:p>
    <w:p>
      <w:pPr>
        <w:pStyle w:val="ListBullet"/>
      </w:pPr>
      <w:r>
        <w:t>Compares tested party's net margin to margins of comparable independent companies</w:t>
      </w:r>
    </w:p>
    <w:p>
      <w:pPr>
        <w:pStyle w:val="ListBullet"/>
      </w:pPr>
      <w:r>
        <w:rPr>
          <w:b/>
        </w:rPr>
        <w:t>Profit Level Indicators (PLIs)</w:t>
      </w:r>
      <w:r>
        <w:t>:</w:t>
      </w:r>
    </w:p>
    <w:p>
      <w:pPr/>
      <w:r>
        <w:t xml:space="preserve">  - Return on sales (operating profit / sales)</w:t>
      </w:r>
    </w:p>
    <w:p>
      <w:pPr/>
      <w:r>
        <w:t xml:space="preserve">  - Return on costs (operating profit / total costs)</w:t>
      </w:r>
    </w:p>
    <w:p>
      <w:pPr/>
      <w:r>
        <w:t xml:space="preserve">  - Return on assets (operating profit / assets)</w:t>
      </w:r>
    </w:p>
    <w:p>
      <w:pPr/>
      <w:r>
        <w:t xml:space="preserve">  - Berry ratio (gross profit / operating expenses)</w:t>
      </w:r>
    </w:p>
    <w:p>
      <w:pPr>
        <w:pStyle w:val="ListBullet"/>
      </w:pPr>
      <w:r>
        <w:rPr>
          <w:b/>
        </w:rPr>
        <w:t>Most commonly used method</w:t>
      </w:r>
      <w:r>
        <w:t xml:space="preserve"> globally due to data availability</w:t>
      </w:r>
    </w:p>
    <w:p>
      <w:pPr>
        <w:pStyle w:val="ListBullet"/>
      </w:pPr>
      <w:r>
        <w:t>Less sensitive to product differences than CUP</w:t>
      </w:r>
    </w:p>
    <w:p>
      <w:pPr/>
      <w:r>
        <w:rPr>
          <w:b/>
        </w:rPr>
        <w:t>Profit Split Method (PSM)</w:t>
      </w:r>
      <w:r>
        <w:t>:</w:t>
      </w:r>
    </w:p>
    <w:p>
      <w:pPr>
        <w:pStyle w:val="ListBullet"/>
      </w:pPr>
      <w:r>
        <w:t>Allocates combined profits (or losses) to each related party</w:t>
      </w:r>
    </w:p>
    <w:p>
      <w:pPr>
        <w:pStyle w:val="ListBullet"/>
      </w:pPr>
      <w:r>
        <w:t>Allocation based on relative value of functions performed, assets used, risks assumed</w:t>
      </w:r>
    </w:p>
    <w:p>
      <w:pPr>
        <w:pStyle w:val="ListBullet"/>
      </w:pPr>
      <w:r>
        <w:rPr>
          <w:b/>
        </w:rPr>
        <w:t>Contribution Analysis</w:t>
      </w:r>
      <w:r>
        <w:t>: Value contribution of each party</w:t>
      </w:r>
    </w:p>
    <w:p>
      <w:pPr>
        <w:pStyle w:val="ListBullet"/>
      </w:pPr>
      <w:r>
        <w:rPr>
          <w:b/>
        </w:rPr>
        <w:t>Residual Analysis</w:t>
      </w:r>
      <w:r>
        <w:t>: Routine returns allocated first; residual profits allocated based on non-routine contributions</w:t>
      </w:r>
    </w:p>
    <w:p>
      <w:pPr>
        <w:pStyle w:val="ListBullet"/>
      </w:pPr>
      <w:r>
        <w:rPr>
          <w:b/>
        </w:rPr>
        <w:t>Best suited</w:t>
      </w:r>
      <w:r>
        <w:t>: Highly integrated operations, unique intangibles, inability to identify comparables</w:t>
      </w:r>
    </w:p>
    <w:p>
      <w:pPr>
        <w:pStyle w:val="ListBullet"/>
      </w:pPr>
      <w:r>
        <w:rPr>
          <w:b/>
        </w:rPr>
        <w:t>Energy sector application</w:t>
      </w:r>
      <w:r>
        <w:t>: Joint ventures, integrated oil companies, shared development</w:t>
      </w:r>
    </w:p>
    <w:p>
      <w:pPr>
        <w:pStyle w:val="Heading3"/>
      </w:pPr>
      <w:r>
        <w:t>2.3 Commodity Pricing Methods</w:t>
      </w:r>
    </w:p>
    <w:p>
      <w:pPr/>
      <w:r>
        <w:rPr>
          <w:b/>
        </w:rPr>
        <w:t>Quoted Price Method</w:t>
      </w:r>
      <w:r>
        <w:t xml:space="preserve"> (QPM):</w:t>
      </w:r>
    </w:p>
    <w:p>
      <w:pPr>
        <w:pStyle w:val="ListBullet"/>
      </w:pPr>
      <w:r>
        <w:t>Uses publicly available commodity price quotations (e.g., Brent, WTI, Henry Hub)</w:t>
      </w:r>
    </w:p>
    <w:p>
      <w:pPr>
        <w:pStyle w:val="ListBullet"/>
      </w:pPr>
      <w:r>
        <w:t>Adjusted for quality, transportation, timing, delivery terms</w:t>
      </w:r>
    </w:p>
    <w:p>
      <w:pPr>
        <w:pStyle w:val="ListBullet"/>
      </w:pPr>
      <w:r>
        <w:rPr>
          <w:b/>
        </w:rPr>
        <w:t>Most appropriate</w:t>
      </w:r>
      <w:r>
        <w:t xml:space="preserve"> for crude oil, natural gas, refined products</w:t>
      </w:r>
    </w:p>
    <w:p>
      <w:pPr>
        <w:pStyle w:val="ListBullet"/>
      </w:pPr>
      <w:r>
        <w:rPr>
          <w:b/>
        </w:rPr>
        <w:t>Price adjustment factors</w:t>
      </w:r>
      <w:r>
        <w:t>:</w:t>
      </w:r>
    </w:p>
    <w:p>
      <w:pPr/>
      <w:r>
        <w:t xml:space="preserve">  - Quality differentials (API gravity, sulfur content)</w:t>
      </w:r>
    </w:p>
    <w:p>
      <w:pPr/>
      <w:r>
        <w:t xml:space="preserve">  - Location differentials (transportation to reference market)</w:t>
      </w:r>
    </w:p>
    <w:p>
      <w:pPr/>
      <w:r>
        <w:t xml:space="preserve">  - Timing adjustments (forward curves, price lags)</w:t>
      </w:r>
    </w:p>
    <w:p>
      <w:pPr/>
      <w:r>
        <w:t xml:space="preserve">  - Volume discounts/premiums</w:t>
      </w:r>
    </w:p>
    <w:p>
      <w:pPr/>
      <w:r>
        <w:rPr>
          <w:b/>
        </w:rPr>
        <w:t>Comparable Uncontrolled Price (CUP) - Commodity Specific</w:t>
      </w:r>
      <w:r>
        <w:t>:</w:t>
      </w:r>
    </w:p>
    <w:p>
      <w:pPr>
        <w:pStyle w:val="ListBullet"/>
      </w:pPr>
      <w:r>
        <w:t>Uses pricing from comparable third-party sales</w:t>
      </w:r>
    </w:p>
    <w:p>
      <w:pPr>
        <w:pStyle w:val="ListBullet"/>
      </w:pPr>
      <w:r>
        <w:t>Common in gas marketing, product sales</w:t>
      </w:r>
    </w:p>
    <w:p>
      <w:pPr>
        <w:pStyle w:val="ListBullet"/>
      </w:pPr>
      <w:r>
        <w:t>Requires high comparability</w:t>
      </w:r>
    </w:p>
    <w:p>
      <w:pPr/>
      <w:r>
        <w:rPr>
          <w:b/>
        </w:rPr>
        <w:t>Cost Plus / Resale Minus Methods</w:t>
      </w:r>
      <w:r>
        <w:t>:</w:t>
      </w:r>
    </w:p>
    <w:p>
      <w:pPr>
        <w:pStyle w:val="ListBullet"/>
      </w:pPr>
      <w:r>
        <w:t>Less common for crude oil (commodity pricing available)</w:t>
      </w:r>
    </w:p>
    <w:p>
      <w:pPr>
        <w:pStyle w:val="ListBullet"/>
      </w:pPr>
      <w:r>
        <w:t>May apply to specialized products, services</w:t>
      </w:r>
    </w:p>
    <w:p>
      <w:pPr>
        <w:pStyle w:val="Heading3"/>
      </w:pPr>
      <w:r>
        <w:t>2.4 Method Selection Hierarchy</w:t>
      </w:r>
    </w:p>
    <w:p>
      <w:pPr/>
      <w:r>
        <w:rPr>
          <w:b/>
        </w:rPr>
        <w:t>OECD Approach</w:t>
      </w:r>
      <w:r>
        <w:t xml:space="preserve">: No strict hierarchy; select </w:t>
      </w:r>
      <w:r>
        <w:rPr>
          <w:b/>
        </w:rPr>
        <w:t>most appropriate method</w:t>
      </w:r>
      <w:r>
        <w:t xml:space="preserve"> considering:</w:t>
      </w:r>
    </w:p>
    <w:p>
      <w:pPr>
        <w:pStyle w:val="ListBullet"/>
      </w:pPr>
      <w:r>
        <w:t>Respective strengths/weaknesses of methods</w:t>
      </w:r>
    </w:p>
    <w:p>
      <w:pPr>
        <w:pStyle w:val="ListBullet"/>
      </w:pPr>
      <w:r>
        <w:t>Nature of controlled transaction</w:t>
      </w:r>
    </w:p>
    <w:p>
      <w:pPr>
        <w:pStyle w:val="ListBullet"/>
      </w:pPr>
      <w:r>
        <w:t>Availability of reliable information</w:t>
      </w:r>
    </w:p>
    <w:p>
      <w:pPr>
        <w:pStyle w:val="ListBullet"/>
      </w:pPr>
      <w:r>
        <w:t>Degree of comparability</w:t>
      </w:r>
    </w:p>
    <w:p>
      <w:pPr>
        <w:pStyle w:val="ListBullet"/>
      </w:pPr>
      <w:r>
        <w:t>Reliability of adjustments</w:t>
      </w:r>
    </w:p>
    <w:p>
      <w:pPr/>
      <w:r>
        <w:rPr>
          <w:b/>
        </w:rPr>
        <w:t>Practical Hierarchy</w:t>
      </w:r>
      <w:r>
        <w:t xml:space="preserve"> (often applied):</w:t>
      </w:r>
    </w:p>
    <w:p>
      <w:pPr>
        <w:pStyle w:val="ListNumber"/>
      </w:pPr>
      <w:r>
        <w:t>CUP (if reliable comparables exist)</w:t>
      </w:r>
    </w:p>
    <w:p>
      <w:pPr>
        <w:pStyle w:val="ListNumber"/>
      </w:pPr>
      <w:r>
        <w:t>RPM or Cost Plus (for distributors/service providers with limited functions)</w:t>
      </w:r>
    </w:p>
    <w:p>
      <w:pPr>
        <w:pStyle w:val="ListNumber"/>
      </w:pPr>
      <w:r>
        <w:t>TNMM (when traditional methods not reliable)</w:t>
      </w:r>
    </w:p>
    <w:p>
      <w:pPr>
        <w:pStyle w:val="ListNumber"/>
      </w:pPr>
      <w:r>
        <w:t>PSM (for highly integrated operations, unique value creation)</w:t>
      </w:r>
    </w:p>
    <w:p>
      <w:pPr/>
      <w:r>
        <w:rPr>
          <w:b/>
        </w:rPr>
        <w:t>UN Practical Manual</w:t>
      </w:r>
      <w:r>
        <w:t>: Recognizes developing countries may prefer methods providing greater certainty (e.g., cost plus for services).</w:t>
      </w:r>
    </w:p>
    <w:p>
      <w:pPr>
        <w:pStyle w:val="Heading2"/>
      </w:pPr>
      <w:r>
        <w:t>3. Documentation and Compliance</w:t>
      </w:r>
    </w:p>
    <w:p>
      <w:pPr>
        <w:pStyle w:val="Heading3"/>
      </w:pPr>
      <w:r>
        <w:t>3.1 Transfer Pricing Documentation Requirements</w:t>
      </w:r>
    </w:p>
    <w:p>
      <w:pPr/>
      <w:r>
        <w:rPr>
          <w:b/>
        </w:rPr>
        <w:t>OECD Three-Tier Approach</w:t>
      </w:r>
      <w:r>
        <w:t xml:space="preserve"> (BEPS Action 13, finalized in 2015):</w:t>
      </w:r>
    </w:p>
    <w:p>
      <w:pPr/>
      <w:r>
        <w:rPr>
          <w:b/>
        </w:rPr>
        <w:t>Tier 1: Master File</w:t>
      </w:r>
    </w:p>
    <w:p>
      <w:pPr>
        <w:pStyle w:val="ListBullet"/>
      </w:pPr>
      <w:r>
        <w:t>High-level overview of MNE group</w:t>
      </w:r>
    </w:p>
    <w:p>
      <w:pPr>
        <w:pStyle w:val="ListBullet"/>
      </w:pPr>
      <w:r>
        <w:t>Global business operations</w:t>
      </w:r>
    </w:p>
    <w:p>
      <w:pPr>
        <w:pStyle w:val="ListBullet"/>
      </w:pPr>
      <w:r>
        <w:t>Overall transfer pricing policies</w:t>
      </w:r>
    </w:p>
    <w:p>
      <w:pPr>
        <w:pStyle w:val="ListBullet"/>
      </w:pPr>
      <w:r>
        <w:t>Global allocation of income and economic activity</w:t>
      </w:r>
    </w:p>
    <w:p>
      <w:pPr>
        <w:pStyle w:val="ListBullet"/>
      </w:pPr>
      <w:r>
        <w:rPr>
          <w:b/>
        </w:rPr>
        <w:t>Audience</w:t>
      </w:r>
      <w:r>
        <w:t>: All tax administrations where group operates</w:t>
      </w:r>
    </w:p>
    <w:p>
      <w:pPr/>
      <w:r>
        <w:rPr>
          <w:b/>
        </w:rPr>
        <w:t>Tier 2: Local File</w:t>
      </w:r>
    </w:p>
    <w:p>
      <w:pPr>
        <w:pStyle w:val="ListBullet"/>
      </w:pPr>
      <w:r>
        <w:t>Detailed transfer pricing analysis for local entity</w:t>
      </w:r>
    </w:p>
    <w:p>
      <w:pPr>
        <w:pStyle w:val="ListBullet"/>
      </w:pPr>
      <w:r>
        <w:t>Controlled transactions</w:t>
      </w:r>
    </w:p>
    <w:p>
      <w:pPr>
        <w:pStyle w:val="ListBullet"/>
      </w:pPr>
      <w:r>
        <w:t>Comparability analysis</w:t>
      </w:r>
    </w:p>
    <w:p>
      <w:pPr>
        <w:pStyle w:val="ListBullet"/>
      </w:pPr>
      <w:r>
        <w:t>Financial information</w:t>
      </w:r>
    </w:p>
    <w:p>
      <w:pPr>
        <w:pStyle w:val="ListBullet"/>
      </w:pPr>
      <w:r>
        <w:rPr>
          <w:b/>
        </w:rPr>
        <w:t>Audience</w:t>
      </w:r>
      <w:r>
        <w:t>: Local tax administration</w:t>
      </w:r>
    </w:p>
    <w:p>
      <w:pPr/>
      <w:r>
        <w:rPr>
          <w:b/>
        </w:rPr>
        <w:t>Tier 3: Country-by-Country Report (CbCR)</w:t>
      </w:r>
    </w:p>
    <w:p>
      <w:pPr>
        <w:pStyle w:val="ListBullet"/>
      </w:pPr>
      <w:r>
        <w:t>Aggregate data on global allocation of income, taxes, economic activity</w:t>
      </w:r>
    </w:p>
    <w:p>
      <w:pPr>
        <w:pStyle w:val="ListBullet"/>
      </w:pPr>
      <w:r>
        <w:t>Required for MNEs with consolidated revenue exceeding EUR 750 million</w:t>
      </w:r>
    </w:p>
    <w:p>
      <w:pPr>
        <w:pStyle w:val="ListBullet"/>
      </w:pPr>
      <w:r>
        <w:t>Filed in parent jurisdiction; exchanged automatically under Common Reporting Standard (CRS)</w:t>
      </w:r>
    </w:p>
    <w:p>
      <w:pPr>
        <w:pStyle w:val="ListBullet"/>
      </w:pPr>
      <w:r>
        <w:rPr>
          <w:b/>
        </w:rPr>
        <w:t>Information includes</w:t>
      </w:r>
      <w:r>
        <w:t>: Revenue, profit before tax, income tax paid and accrued, stated capital, accumulated earnings, employees, tangible assets (by jurisdiction)</w:t>
      </w:r>
    </w:p>
    <w:p>
      <w:pPr/>
      <w:r>
        <w:rPr>
          <w:b/>
        </w:rPr>
        <w:t>Contemporaneous Documentation</w:t>
      </w:r>
      <w:r>
        <w:t>: Most jurisdictions require documentation prepared contemporaneously (at time of transaction or before tax return filing). Penalties may apply for failure to maintain adequate documentation.</w:t>
      </w:r>
    </w:p>
    <w:p>
      <w:pPr>
        <w:pStyle w:val="Heading3"/>
      </w:pPr>
      <w:r>
        <w:t>3.2 Advance Pricing Agreements (APAs)</w:t>
      </w:r>
    </w:p>
    <w:p>
      <w:pPr/>
      <w:r>
        <w:rPr>
          <w:b/>
        </w:rPr>
        <w:t>Purpose</w:t>
      </w:r>
      <w:r>
        <w:t>: Prospective agreement between taxpayer and tax authority (or multiple authorities) on transfer pricing methodology for specified transactions over fixed period (typically 3-5 years).</w:t>
      </w:r>
    </w:p>
    <w:p>
      <w:pPr/>
      <w:r>
        <w:rPr>
          <w:b/>
        </w:rPr>
        <w:t>Types</w:t>
      </w:r>
      <w:r>
        <w:t>:</w:t>
      </w:r>
    </w:p>
    <w:p>
      <w:pPr>
        <w:pStyle w:val="ListBullet"/>
      </w:pPr>
      <w:r>
        <w:rPr>
          <w:b/>
        </w:rPr>
        <w:t>Unilateral Advance Pricing Agreement (APA)</w:t>
      </w:r>
      <w:r>
        <w:t>: Agreement with single tax authority</w:t>
      </w:r>
    </w:p>
    <w:p>
      <w:pPr>
        <w:pStyle w:val="ListBullet"/>
      </w:pPr>
      <w:r>
        <w:rPr>
          <w:b/>
        </w:rPr>
        <w:t>Bilateral APA</w:t>
      </w:r>
      <w:r>
        <w:t>: Agreement between taxpayer and two tax authorities (preferred for double tax certainty)</w:t>
      </w:r>
    </w:p>
    <w:p>
      <w:pPr>
        <w:pStyle w:val="ListBullet"/>
      </w:pPr>
      <w:r>
        <w:rPr>
          <w:b/>
        </w:rPr>
        <w:t>Multilateral APA</w:t>
      </w:r>
      <w:r>
        <w:t>: Agreement involving three or more tax authorities</w:t>
      </w:r>
    </w:p>
    <w:p>
      <w:pPr/>
      <w:r>
        <w:rPr>
          <w:b/>
        </w:rPr>
        <w:t>Advantages</w:t>
      </w:r>
      <w:r>
        <w:t>:</w:t>
      </w:r>
    </w:p>
    <w:p>
      <w:pPr>
        <w:pStyle w:val="ListBullet"/>
      </w:pPr>
      <w:r>
        <w:t>Certainty and predictability</w:t>
      </w:r>
    </w:p>
    <w:p>
      <w:pPr>
        <w:pStyle w:val="ListBullet"/>
      </w:pPr>
      <w:r>
        <w:t>Avoids costly audits and disputes</w:t>
      </w:r>
    </w:p>
    <w:p>
      <w:pPr>
        <w:pStyle w:val="ListBullet"/>
      </w:pPr>
      <w:r>
        <w:t>Reduces double taxation risk</w:t>
      </w:r>
    </w:p>
    <w:p>
      <w:pPr>
        <w:pStyle w:val="ListBullet"/>
      </w:pPr>
      <w:r>
        <w:t>Facilitates tax planning and forecasting</w:t>
      </w:r>
    </w:p>
    <w:p>
      <w:pPr/>
      <w:r>
        <w:rPr>
          <w:b/>
        </w:rPr>
        <w:t>Process</w:t>
      </w:r>
      <w:r>
        <w:t>:</w:t>
      </w:r>
    </w:p>
    <w:p>
      <w:pPr>
        <w:pStyle w:val="ListBullet"/>
      </w:pPr>
      <w:r>
        <w:rPr>
          <w:b/>
        </w:rPr>
        <w:t>Pre-filing</w:t>
      </w:r>
      <w:r>
        <w:t>: Informal discussions with tax authority</w:t>
      </w:r>
    </w:p>
    <w:p>
      <w:pPr>
        <w:pStyle w:val="ListBullet"/>
      </w:pPr>
      <w:r>
        <w:rPr>
          <w:b/>
        </w:rPr>
        <w:t>Formal application</w:t>
      </w:r>
      <w:r>
        <w:t>: Detailed submission with proposed methodology</w:t>
      </w:r>
    </w:p>
    <w:p>
      <w:pPr>
        <w:pStyle w:val="ListBullet"/>
      </w:pPr>
      <w:r>
        <w:rPr>
          <w:b/>
        </w:rPr>
        <w:t>Evaluation</w:t>
      </w:r>
      <w:r>
        <w:t>: Tax authority review and analysis</w:t>
      </w:r>
    </w:p>
    <w:p>
      <w:pPr>
        <w:pStyle w:val="ListBullet"/>
      </w:pPr>
      <w:r>
        <w:rPr>
          <w:b/>
        </w:rPr>
        <w:t>Negotiation</w:t>
      </w:r>
      <w:r>
        <w:t>: Discussion of methodology and terms</w:t>
      </w:r>
    </w:p>
    <w:p>
      <w:pPr>
        <w:pStyle w:val="ListBullet"/>
      </w:pPr>
      <w:r>
        <w:rPr>
          <w:b/>
        </w:rPr>
        <w:t>Execution</w:t>
      </w:r>
      <w:r>
        <w:t>: Formal agreement signed</w:t>
      </w:r>
    </w:p>
    <w:p>
      <w:pPr>
        <w:pStyle w:val="ListBullet"/>
      </w:pPr>
      <w:r>
        <w:rPr>
          <w:b/>
        </w:rPr>
        <w:t>Annual compliance</w:t>
      </w:r>
      <w:r>
        <w:t>: Report demonstrating compliance with APA terms</w:t>
      </w:r>
    </w:p>
    <w:p>
      <w:pPr/>
      <w:r>
        <w:rPr>
          <w:b/>
        </w:rPr>
        <w:t>Energy Sector APAs</w:t>
      </w:r>
      <w:r>
        <w:t>: Common for:</w:t>
      </w:r>
    </w:p>
    <w:p>
      <w:pPr>
        <w:pStyle w:val="ListBullet"/>
      </w:pPr>
      <w:r>
        <w:t>Commodity pricing (crude oil, gas sales)</w:t>
      </w:r>
    </w:p>
    <w:p>
      <w:pPr>
        <w:pStyle w:val="ListBullet"/>
      </w:pPr>
      <w:r>
        <w:t>Service arrangements (technical services, contract operations)</w:t>
      </w:r>
    </w:p>
    <w:p>
      <w:pPr>
        <w:pStyle w:val="ListBullet"/>
      </w:pPr>
      <w:r>
        <w:t>Cost-sharing agreements (exploration, development)</w:t>
      </w:r>
    </w:p>
    <w:p>
      <w:pPr>
        <w:pStyle w:val="ListBullet"/>
      </w:pPr>
      <w:r>
        <w:t>Financing arrangements (intragroup loans, guarantees)</w:t>
      </w:r>
    </w:p>
    <w:p>
      <w:pPr>
        <w:pStyle w:val="Heading3"/>
      </w:pPr>
      <w:r>
        <w:t>3.3 Penalties and Enforcement</w:t>
      </w:r>
    </w:p>
    <w:p>
      <w:pPr/>
      <w:r>
        <w:rPr>
          <w:b/>
        </w:rPr>
        <w:t>Transfer Pricing Adjustments</w:t>
      </w:r>
      <w:r>
        <w:t>: Tax authorities may adjust reported taxable income if transfer prices do not reflect arm's length principle.</w:t>
      </w:r>
    </w:p>
    <w:p>
      <w:pPr/>
      <w:r>
        <w:rPr>
          <w:b/>
        </w:rPr>
        <w:t>Penalties</w:t>
      </w:r>
      <w:r>
        <w:t>: Typical penalty regimes vary by jurisdiction but commonly include:</w:t>
      </w:r>
    </w:p>
    <w:p>
      <w:pPr>
        <w:pStyle w:val="ListBullet"/>
      </w:pPr>
      <w:r>
        <w:rPr>
          <w:b/>
        </w:rPr>
        <w:t>Documentation penalties</w:t>
      </w:r>
      <w:r>
        <w:t>: Failure to maintain/provide contemporaneous documentation (ranging from EUR 1,250 to EUR 100,000 or more per reporting period, depending on jurisdiction and severity)</w:t>
      </w:r>
    </w:p>
    <w:p>
      <w:pPr>
        <w:pStyle w:val="ListBullet"/>
      </w:pPr>
      <w:r>
        <w:rPr>
          <w:b/>
        </w:rPr>
        <w:t>Accuracy penalties</w:t>
      </w:r>
      <w:r>
        <w:t>: Understatement of tax due to transfer pricing (typically 20-40% of tax adjustment in many jurisdictions; for example, US applies 20% for substantial misstatements and 40% for gross misstatements)</w:t>
      </w:r>
    </w:p>
    <w:p>
      <w:pPr>
        <w:pStyle w:val="ListBullet"/>
      </w:pPr>
      <w:r>
        <w:rPr>
          <w:b/>
        </w:rPr>
        <w:t>Enhanced penalties</w:t>
      </w:r>
      <w:r>
        <w:t>: Gross negligence or intentional disregard (50-200% in some jurisdictions)</w:t>
      </w:r>
    </w:p>
    <w:p>
      <w:pPr/>
      <w:r>
        <w:rPr>
          <w:b/>
        </w:rPr>
        <w:t>Penalty Protection</w:t>
      </w:r>
      <w:r>
        <w:t>: Many jurisdictions provide penalty relief if taxpayer:</w:t>
      </w:r>
    </w:p>
    <w:p>
      <w:pPr>
        <w:pStyle w:val="ListBullet"/>
      </w:pPr>
      <w:r>
        <w:t>Maintained contemporaneous documentation</w:t>
      </w:r>
    </w:p>
    <w:p>
      <w:pPr>
        <w:pStyle w:val="ListBullet"/>
      </w:pPr>
      <w:r>
        <w:t>Conducted reasonable comparability analysis</w:t>
      </w:r>
    </w:p>
    <w:p>
      <w:pPr>
        <w:pStyle w:val="ListBullet"/>
      </w:pPr>
      <w:r>
        <w:t>Applied reasonable transfer pricing method</w:t>
      </w:r>
    </w:p>
    <w:p>
      <w:pPr>
        <w:pStyle w:val="ListBullet"/>
      </w:pPr>
      <w:r>
        <w:t>Made reasonable efforts to comply</w:t>
      </w:r>
    </w:p>
    <w:p>
      <w:pPr/>
      <w:r>
        <w:rPr>
          <w:b/>
        </w:rPr>
        <w:t>Correlative Adjustments</w:t>
      </w:r>
      <w:r>
        <w:t>: Article 9(2) OECD Model requires corresponding adjustment in other jurisdiction to avoid double taxation. Not all treaties include Article 9(2); absence may result in unrelieved double taxation.</w:t>
      </w:r>
    </w:p>
    <w:p>
      <w:pPr>
        <w:pStyle w:val="Heading2"/>
      </w:pPr>
      <w:r>
        <w:t>4. Energy Sector Specific Issues</w:t>
      </w:r>
    </w:p>
    <w:p>
      <w:pPr>
        <w:pStyle w:val="Heading3"/>
      </w:pPr>
      <w:r>
        <w:t>4.1 Production Sharing Contracts (PSCs)</w:t>
      </w:r>
    </w:p>
    <w:p>
      <w:pPr/>
      <w:r>
        <w:rPr>
          <w:b/>
        </w:rPr>
        <w:t>Transfer Pricing Challenges</w:t>
      </w:r>
      <w:r>
        <w:t>:</w:t>
      </w:r>
    </w:p>
    <w:p>
      <w:pPr>
        <w:pStyle w:val="ListBullet"/>
      </w:pPr>
      <w:r>
        <w:rPr>
          <w:b/>
        </w:rPr>
        <w:t>Cost recovery</w:t>
      </w:r>
      <w:r>
        <w:t>: Allocation of allowable costs among contractors</w:t>
      </w:r>
    </w:p>
    <w:p>
      <w:pPr>
        <w:pStyle w:val="ListBullet"/>
      </w:pPr>
      <w:r>
        <w:rPr>
          <w:b/>
        </w:rPr>
        <w:t>Profit oil/gas split</w:t>
      </w:r>
      <w:r>
        <w:t>: Whether Production Sharing Contract (PSC) terms constitute arm's length profit split</w:t>
      </w:r>
    </w:p>
    <w:p>
      <w:pPr>
        <w:pStyle w:val="ListBullet"/>
      </w:pPr>
      <w:r>
        <w:rPr>
          <w:b/>
        </w:rPr>
        <w:t>Contractor services</w:t>
      </w:r>
      <w:r>
        <w:t>: Pricing of services provided by contractor parties to PSC</w:t>
      </w:r>
    </w:p>
    <w:p>
      <w:pPr>
        <w:pStyle w:val="ListBullet"/>
      </w:pPr>
      <w:r>
        <w:rPr>
          <w:b/>
        </w:rPr>
        <w:t>Technical services</w:t>
      </w:r>
      <w:r>
        <w:t>: Secondment of contractor personnel to joint venture</w:t>
      </w:r>
    </w:p>
    <w:p>
      <w:pPr/>
      <w:r>
        <w:rPr>
          <w:b/>
        </w:rPr>
        <w:t>OECD Guidance</w:t>
      </w:r>
      <w:r>
        <w:t>: PSC fiscal terms do not automatically satisfy arm's length principle. Taxpayer must demonstrate PSC terms reflect what independent parties would agree.</w:t>
      </w:r>
    </w:p>
    <w:p>
      <w:pPr/>
      <w:r>
        <w:rPr>
          <w:b/>
        </w:rPr>
        <w:t>Common Approach</w:t>
      </w:r>
      <w:r>
        <w:t>: Analyze whether PSC award process was competitive and at arm's length. If yes, fiscal terms may be accepted; still requires analysis of cost recovery and associated party transactions.</w:t>
      </w:r>
    </w:p>
    <w:p>
      <w:pPr>
        <w:pStyle w:val="Heading3"/>
      </w:pPr>
      <w:r>
        <w:t>4.2 Joint Operating Agreements (JOAs)</w:t>
      </w:r>
    </w:p>
    <w:p>
      <w:pPr/>
      <w:r>
        <w:rPr>
          <w:b/>
        </w:rPr>
        <w:t>Structure</w:t>
      </w:r>
      <w:r>
        <w:t xml:space="preserve">: Equity participants jointly develop and produce petroleum resources. One party serves as </w:t>
      </w:r>
      <w:r>
        <w:rPr>
          <w:b/>
        </w:rPr>
        <w:t>operator</w:t>
      </w:r>
      <w:r>
        <w:t>.</w:t>
      </w:r>
    </w:p>
    <w:p>
      <w:pPr/>
      <w:r>
        <w:rPr>
          <w:b/>
        </w:rPr>
        <w:t>Transfer Pricing Issues</w:t>
      </w:r>
      <w:r>
        <w:t>:</w:t>
      </w:r>
    </w:p>
    <w:p>
      <w:pPr>
        <w:pStyle w:val="ListBullet"/>
      </w:pPr>
      <w:r>
        <w:rPr>
          <w:b/>
        </w:rPr>
        <w:t>Operator fees</w:t>
      </w:r>
      <w:r>
        <w:t>: Compensation for performing operations</w:t>
      </w:r>
    </w:p>
    <w:p>
      <w:pPr>
        <w:pStyle w:val="ListBullet"/>
      </w:pPr>
      <w:r>
        <w:rPr>
          <w:b/>
        </w:rPr>
        <w:t>Operator costs</w:t>
      </w:r>
      <w:r>
        <w:t>: Allocation of direct and indirect costs</w:t>
      </w:r>
    </w:p>
    <w:p>
      <w:pPr>
        <w:pStyle w:val="ListBullet"/>
      </w:pPr>
      <w:r>
        <w:rPr>
          <w:b/>
        </w:rPr>
        <w:t>Non-operator services</w:t>
      </w:r>
      <w:r>
        <w:t>: Services provided by non-operator participants</w:t>
      </w:r>
    </w:p>
    <w:p>
      <w:pPr/>
      <w:r>
        <w:rPr>
          <w:b/>
        </w:rPr>
        <w:t>Arm's Length Analysis</w:t>
      </w:r>
      <w:r>
        <w:t>: Operator typically receives:</w:t>
      </w:r>
    </w:p>
    <w:p>
      <w:pPr>
        <w:pStyle w:val="ListBullet"/>
      </w:pPr>
      <w:r>
        <w:t>Reimbursement of direct costs (at cost)</w:t>
      </w:r>
    </w:p>
    <w:p>
      <w:pPr>
        <w:pStyle w:val="ListBullet"/>
      </w:pPr>
      <w:r>
        <w:t>Markup on services provided (cost plus 5-15% depending on functions/risks)</w:t>
      </w:r>
    </w:p>
    <w:p>
      <w:pPr>
        <w:pStyle w:val="ListBullet"/>
      </w:pPr>
      <w:r>
        <w:t>May receive flat fee or percentage of production/revenue</w:t>
      </w:r>
    </w:p>
    <w:p>
      <w:pPr/>
      <w:r>
        <w:rPr>
          <w:b/>
        </w:rPr>
        <w:t>Comparable Data</w:t>
      </w:r>
      <w:r>
        <w:t>: Operator agreements in competitive licensing rounds, third-party operator fees, industry benchmarks.</w:t>
      </w:r>
    </w:p>
    <w:p>
      <w:pPr>
        <w:pStyle w:val="Heading2"/>
      </w:pPr>
      <w:r>
        <w:t>5. Worked Example 1: Crude Oil Sales Transfer Pricing</w:t>
      </w:r>
    </w:p>
    <w:p>
      <w:pPr>
        <w:pStyle w:val="Heading3"/>
      </w:pPr>
      <w:r>
        <w:t>Fact Pattern</w:t>
      </w:r>
    </w:p>
    <w:p>
      <w:pPr/>
      <w:r>
        <w:rPr>
          <w:b/>
        </w:rPr>
        <w:t>GlobalOil Inc.</w:t>
      </w:r>
      <w:r>
        <w:t xml:space="preserve"> (US parent) owns </w:t>
      </w:r>
      <w:r>
        <w:rPr>
          <w:b/>
        </w:rPr>
        <w:t>NigeriaOil Ltd.</w:t>
      </w:r>
      <w:r>
        <w:t xml:space="preserve"> (Nigerian subsidiary). NigeriaOil produces crude oil in Nigeria (500,000 barrels per month) and sells to GlobalOil's trading subsidiary </w:t>
      </w:r>
      <w:r>
        <w:rPr>
          <w:b/>
        </w:rPr>
        <w:t>OilTrade SA</w:t>
      </w:r>
      <w:r>
        <w:t xml:space="preserve"> (Singapore). OilTrade resells crude to independent refineries globally.</w:t>
      </w:r>
    </w:p>
    <w:p>
      <w:pPr/>
      <w:r>
        <w:rPr>
          <w:b/>
        </w:rPr>
        <w:t>Transaction Pricing</w:t>
      </w:r>
      <w:r>
        <w:t>:</w:t>
      </w:r>
    </w:p>
    <w:p>
      <w:pPr>
        <w:pStyle w:val="ListBullet"/>
      </w:pPr>
      <w:r>
        <w:t>NigeriaOil → OilTrade: USD 75/barrel</w:t>
      </w:r>
    </w:p>
    <w:p>
      <w:pPr>
        <w:pStyle w:val="ListBullet"/>
      </w:pPr>
      <w:r>
        <w:t>OilTrade → Independent refineries: USD 80/barrel (average)</w:t>
      </w:r>
    </w:p>
    <w:p>
      <w:pPr/>
      <w:r>
        <w:rPr>
          <w:b/>
        </w:rPr>
        <w:t>Market Data</w:t>
      </w:r>
      <w:r>
        <w:t>:</w:t>
      </w:r>
    </w:p>
    <w:p>
      <w:pPr>
        <w:pStyle w:val="ListBullet"/>
      </w:pPr>
      <w:r>
        <w:rPr>
          <w:b/>
        </w:rPr>
        <w:t>Dated Brent</w:t>
      </w:r>
      <w:r>
        <w:t>: USD 78/barrel (benchmark for Nigerian crude)</w:t>
      </w:r>
    </w:p>
    <w:p>
      <w:pPr>
        <w:pStyle w:val="ListBullet"/>
      </w:pPr>
      <w:r>
        <w:rPr>
          <w:b/>
        </w:rPr>
        <w:t>Quality differential</w:t>
      </w:r>
      <w:r>
        <w:t>: Nigerian crude trades at Dated Brent minus USD 2/barrel (lower quality)</w:t>
      </w:r>
    </w:p>
    <w:p>
      <w:pPr>
        <w:pStyle w:val="ListBullet"/>
      </w:pPr>
      <w:r>
        <w:rPr>
          <w:b/>
        </w:rPr>
        <w:t>Location differential</w:t>
      </w:r>
      <w:r>
        <w:t>: Nigerian FOB vs. Brent delivered Northwest Europe: minus USD 1/barrel</w:t>
      </w:r>
    </w:p>
    <w:p>
      <w:pPr>
        <w:pStyle w:val="ListBullet"/>
      </w:pPr>
      <w:r>
        <w:rPr>
          <w:b/>
        </w:rPr>
        <w:t>Arm's length price</w:t>
      </w:r>
      <w:r>
        <w:t xml:space="preserve">: USD 78 - USD 2 - USD 1 = </w:t>
      </w:r>
      <w:r>
        <w:rPr>
          <w:b/>
        </w:rPr>
        <w:t>USD 75/barrel</w:t>
      </w:r>
    </w:p>
    <w:p>
      <w:pPr/>
      <w:r>
        <w:rPr>
          <w:b/>
        </w:rPr>
        <w:t>Question</w:t>
      </w:r>
      <w:r>
        <w:t>: Is the USD 75/barrel transfer price between NigeriaOil and OilTrade arm's length?</w:t>
      </w:r>
    </w:p>
    <w:p>
      <w:pPr>
        <w:pStyle w:val="Heading3"/>
      </w:pPr>
      <w:r>
        <w:t>Analysis</w:t>
      </w:r>
    </w:p>
    <w:p>
      <w:pPr/>
      <w:r>
        <w:rPr>
          <w:b/>
        </w:rPr>
        <w:t>Method Selection</w:t>
      </w:r>
      <w:r>
        <w:t xml:space="preserve">: </w:t>
      </w:r>
      <w:r>
        <w:rPr>
          <w:b/>
        </w:rPr>
        <w:t>Quoted Price Method (QPM)</w:t>
      </w:r>
      <w:r>
        <w:t xml:space="preserve"> most appropriate for crude oil sales. Publicly available commodity pricing provides reliable benchmark.</w:t>
      </w:r>
    </w:p>
    <w:p>
      <w:pPr/>
      <w:r>
        <w:rPr>
          <w:b/>
        </w:rPr>
        <w:t>Benchmark Determination</w:t>
      </w:r>
      <w:r>
        <w:t>:</w:t>
      </w:r>
    </w:p>
    <w:p>
      <w:pPr>
        <w:pStyle w:val="ListNumber"/>
      </w:pPr>
      <w:r>
        <w:rPr>
          <w:b/>
        </w:rPr>
        <w:t>Reference price</w:t>
      </w:r>
      <w:r>
        <w:t>: Dated Brent (appropriate benchmark for West African crude)</w:t>
      </w:r>
    </w:p>
    <w:p>
      <w:pPr>
        <w:pStyle w:val="ListNumber"/>
      </w:pPr>
      <w:r>
        <w:rPr>
          <w:b/>
        </w:rPr>
        <w:t>Quality adjustment</w:t>
      </w:r>
      <w:r>
        <w:t>: Nigerian crude typically trades at discount to Brent due to higher sulfur, lower API gravity. Market data indicates USD 2/barrel discount.</w:t>
      </w:r>
    </w:p>
    <w:p>
      <w:pPr>
        <w:pStyle w:val="ListNumber"/>
      </w:pPr>
      <w:r>
        <w:rPr>
          <w:b/>
        </w:rPr>
        <w:t>Location adjustment</w:t>
      </w:r>
      <w:r>
        <w:t>: Nigerian FOB vs. Brent delivered Northwest Europe. Transportation differential: USD 1/barrel.</w:t>
      </w:r>
    </w:p>
    <w:p>
      <w:pPr>
        <w:pStyle w:val="ListNumber"/>
      </w:pPr>
      <w:r>
        <w:rPr>
          <w:b/>
        </w:rPr>
        <w:t>Timing adjustment</w:t>
      </w:r>
      <w:r>
        <w:t>: If pricing lags (e.g., month average), adjust for price movements.</w:t>
      </w:r>
    </w:p>
    <w:p>
      <w:pPr/>
      <w:r>
        <w:rPr>
          <w:b/>
        </w:rPr>
        <w:t>Adjusted Benchmark</w:t>
      </w:r>
      <w:r>
        <w:t xml:space="preserve">: USD 78 (Brent) - USD 2 (quality) - USD 1 (location) = </w:t>
      </w:r>
      <w:r>
        <w:rPr>
          <w:b/>
        </w:rPr>
        <w:t>USD 75/barrel</w:t>
      </w:r>
    </w:p>
    <w:p>
      <w:pPr/>
      <w:r>
        <w:rPr>
          <w:b/>
        </w:rPr>
        <w:t>Transfer Price Comparison</w:t>
      </w:r>
      <w:r>
        <w:t>:</w:t>
      </w:r>
    </w:p>
    <w:p>
      <w:pPr>
        <w:pStyle w:val="ListBullet"/>
      </w:pPr>
      <w:r>
        <w:t xml:space="preserve">Related party price: </w:t>
      </w:r>
      <w:r>
        <w:rPr>
          <w:b/>
        </w:rPr>
        <w:t>USD 75/barrel</w:t>
      </w:r>
    </w:p>
    <w:p>
      <w:pPr>
        <w:pStyle w:val="ListBullet"/>
      </w:pPr>
      <w:r>
        <w:t xml:space="preserve">Arm's length price: </w:t>
      </w:r>
      <w:r>
        <w:rPr>
          <w:b/>
        </w:rPr>
        <w:t>USD 75/barrel</w:t>
      </w:r>
    </w:p>
    <w:p>
      <w:pPr/>
      <w:r>
        <w:rPr>
          <w:b/>
        </w:rPr>
        <w:t>Conclusion</w:t>
      </w:r>
      <w:r>
        <w:t xml:space="preserve">: Transfer price of </w:t>
      </w:r>
      <w:r>
        <w:rPr>
          <w:b/>
        </w:rPr>
        <w:t>USD 75/barrel is arm's length</w:t>
      </w:r>
      <w:r>
        <w:t>. Pricing reflects appropriate adjustments to public benchmark.</w:t>
      </w:r>
    </w:p>
    <w:p>
      <w:pPr/>
      <w:r>
        <w:rPr>
          <w:b/>
        </w:rPr>
        <w:t>OilTrade Margin Analysis</w:t>
      </w:r>
      <w:r>
        <w:t>:</w:t>
      </w:r>
    </w:p>
    <w:p>
      <w:pPr>
        <w:pStyle w:val="ListBullet"/>
      </w:pPr>
      <w:r>
        <w:t>Purchase price: USD 75/barrel</w:t>
      </w:r>
    </w:p>
    <w:p>
      <w:pPr>
        <w:pStyle w:val="ListBullet"/>
      </w:pPr>
      <w:r>
        <w:t>Resale price: USD 80/barrel</w:t>
      </w:r>
    </w:p>
    <w:p>
      <w:pPr>
        <w:pStyle w:val="ListBullet"/>
      </w:pPr>
      <w:r>
        <w:t xml:space="preserve">Gross margin: </w:t>
      </w:r>
      <w:r>
        <w:rPr>
          <w:b/>
        </w:rPr>
        <w:t>USD 5/barrel (6.7% on sales)</w:t>
      </w:r>
    </w:p>
    <w:p>
      <w:pPr/>
      <w:r>
        <w:rPr>
          <w:b/>
        </w:rPr>
        <w:t>Functional Analysis</w:t>
      </w:r>
      <w:r>
        <w:t>:</w:t>
      </w:r>
    </w:p>
    <w:p>
      <w:pPr>
        <w:pStyle w:val="ListBullet"/>
      </w:pPr>
      <w:r>
        <w:t>OilTrade performs marketing, logistics coordination, credit risk management</w:t>
      </w:r>
    </w:p>
    <w:p>
      <w:pPr>
        <w:pStyle w:val="ListBullet"/>
      </w:pPr>
      <w:r>
        <w:t>Limited functions (does not take title to inventory, limited market risk)</w:t>
      </w:r>
    </w:p>
    <w:p>
      <w:pPr>
        <w:pStyle w:val="ListBullet"/>
      </w:pPr>
      <w:r>
        <w:t>Comparable trading companies earn gross margins: 4-8% on commodity trading</w:t>
      </w:r>
    </w:p>
    <w:p>
      <w:pPr/>
      <w:r>
        <w:rPr>
          <w:b/>
        </w:rPr>
        <w:t>Conclusion</w:t>
      </w:r>
      <w:r>
        <w:t xml:space="preserve">: OilTrade's </w:t>
      </w:r>
      <w:r>
        <w:rPr>
          <w:b/>
        </w:rPr>
        <w:t>6.7% margin is within arm's length range</w:t>
      </w:r>
      <w:r>
        <w:t xml:space="preserve"> for limited-function trading activities.</w:t>
      </w:r>
    </w:p>
    <w:p>
      <w:pPr/>
      <w:r>
        <w:rPr>
          <w:b/>
        </w:rPr>
        <w:t>Documentation Requirements</w:t>
      </w:r>
      <w:r>
        <w:t>:</w:t>
      </w:r>
    </w:p>
    <w:p>
      <w:pPr>
        <w:pStyle w:val="ListBullet"/>
      </w:pPr>
      <w:r>
        <w:t>QPM analysis with Dated Brent and adjustment factors</w:t>
      </w:r>
    </w:p>
    <w:p>
      <w:pPr>
        <w:pStyle w:val="ListBullet"/>
      </w:pPr>
      <w:r>
        <w:t>TNMM benchmarking study for OilTrade</w:t>
      </w:r>
    </w:p>
    <w:p>
      <w:pPr>
        <w:pStyle w:val="ListBullet"/>
      </w:pPr>
      <w:r>
        <w:t>Functional analysis of NigeriaOil and OilTrade</w:t>
      </w:r>
    </w:p>
    <w:p>
      <w:pPr>
        <w:pStyle w:val="ListBullet"/>
      </w:pPr>
      <w:r>
        <w:t>Contemporaneous documentation of pricing policy</w:t>
      </w:r>
    </w:p>
    <w:p>
      <w:pPr/>
      <w:r>
        <w:rPr>
          <w:b/>
        </w:rPr>
        <w:t>Recommendation</w:t>
      </w:r>
      <w:r>
        <w:t>: Pricing structure is defensible. Maintain:</w:t>
      </w:r>
    </w:p>
    <w:p>
      <w:pPr>
        <w:pStyle w:val="ListBullet"/>
      </w:pPr>
      <w:r>
        <w:t>Monthly tracking of benchmark vs. actual pricing</w:t>
      </w:r>
    </w:p>
    <w:p>
      <w:pPr>
        <w:pStyle w:val="ListBullet"/>
      </w:pPr>
      <w:r>
        <w:t>Documentation of quality and location differentials</w:t>
      </w:r>
    </w:p>
    <w:p>
      <w:pPr>
        <w:pStyle w:val="ListBullet"/>
      </w:pPr>
      <w:r>
        <w:t>Analysis of OilTrade's margin vs. comparables</w:t>
      </w:r>
    </w:p>
    <w:p>
      <w:pPr>
        <w:pStyle w:val="ListBullet"/>
      </w:pPr>
      <w:r>
        <w:t>Consideration of APA to provide certainty in Nigeria</w:t>
      </w:r>
    </w:p>
    <w:p/>
    <w:p>
      <w:pPr>
        <w:pStyle w:val="Heading2"/>
      </w:pPr>
      <w:r>
        <w:t>6. Worked Example 2: Technical Services Transfer Pricing</w:t>
      </w:r>
    </w:p>
    <w:p>
      <w:pPr>
        <w:pStyle w:val="Heading3"/>
      </w:pPr>
      <w:r>
        <w:t>Fact Pattern</w:t>
      </w:r>
    </w:p>
    <w:p>
      <w:pPr/>
      <w:r>
        <w:rPr>
          <w:b/>
        </w:rPr>
        <w:t>TechServices BV</w:t>
      </w:r>
      <w:r>
        <w:t xml:space="preserve"> (Netherlands), a wholly-owned subsidiary of </w:t>
      </w:r>
      <w:r>
        <w:rPr>
          <w:b/>
        </w:rPr>
        <w:t>EnergyMajor plc</w:t>
      </w:r>
      <w:r>
        <w:t xml:space="preserve"> (UK), provides specialized drilling engineering services to </w:t>
      </w:r>
      <w:r>
        <w:rPr>
          <w:b/>
        </w:rPr>
        <w:t>KazakhOil</w:t>
      </w:r>
      <w:r>
        <w:t xml:space="preserve"> (Kazakhstani production company, also owned by EnergyMajor). TechServices seconded 10 engineers to Kazakhstan for 12 months.</w:t>
      </w:r>
    </w:p>
    <w:p>
      <w:pPr/>
      <w:r>
        <w:rPr>
          <w:b/>
        </w:rPr>
        <w:t>Cost Structure</w:t>
      </w:r>
      <w:r>
        <w:t xml:space="preserve"> (annual):</w:t>
      </w:r>
    </w:p>
    <w:p>
      <w:pPr>
        <w:pStyle w:val="ListBullet"/>
      </w:pPr>
      <w:r>
        <w:t>Engineer salaries and benefits: USD 2,000,000</w:t>
      </w:r>
    </w:p>
    <w:p>
      <w:pPr>
        <w:pStyle w:val="ListBullet"/>
      </w:pPr>
      <w:r>
        <w:t>Travel and accommodation: USD 300,000</w:t>
      </w:r>
    </w:p>
    <w:p>
      <w:pPr>
        <w:pStyle w:val="ListBullet"/>
      </w:pPr>
      <w:r>
        <w:t>Overhead allocation from Netherlands HQ: USD 500,000</w:t>
      </w:r>
    </w:p>
    <w:p>
      <w:pPr>
        <w:pStyle w:val="ListBullet"/>
      </w:pPr>
      <w:r>
        <w:rPr>
          <w:b/>
        </w:rPr>
        <w:t>Total costs</w:t>
      </w:r>
      <w:r>
        <w:t>: USD 2,800,000</w:t>
      </w:r>
    </w:p>
    <w:p>
      <w:pPr/>
      <w:r>
        <w:rPr>
          <w:b/>
        </w:rPr>
        <w:t>Proposed Charge</w:t>
      </w:r>
      <w:r>
        <w:t>: TechServices invoices KazakhOil USD 4,200,000 (cost plus 50%).</w:t>
      </w:r>
    </w:p>
    <w:p>
      <w:pPr/>
      <w:r>
        <w:rPr>
          <w:b/>
        </w:rPr>
        <w:t>Kazakhstan Tax Authority Position</w:t>
      </w:r>
      <w:r>
        <w:t>: 50% markup excessive; should be cost plus 5-10%.</w:t>
      </w:r>
    </w:p>
    <w:p>
      <w:pPr/>
      <w:r>
        <w:rPr>
          <w:b/>
        </w:rPr>
        <w:t>Question</w:t>
      </w:r>
      <w:r>
        <w:t>: What is the arm's length markup for technical services?</w:t>
      </w:r>
    </w:p>
    <w:p>
      <w:pPr>
        <w:pStyle w:val="Heading3"/>
      </w:pPr>
      <w:r>
        <w:t>Analysis</w:t>
      </w:r>
    </w:p>
    <w:p>
      <w:pPr/>
      <w:r>
        <w:rPr>
          <w:b/>
        </w:rPr>
        <w:t>Method Selection</w:t>
      </w:r>
      <w:r>
        <w:t xml:space="preserve">: </w:t>
      </w:r>
      <w:r>
        <w:rPr>
          <w:b/>
        </w:rPr>
        <w:t>Cost Plus Method (CPM)</w:t>
      </w:r>
      <w:r>
        <w:t xml:space="preserve"> appropriate for services. Service provider receives reimbursement of costs plus markup for functions performed and risks assumed.</w:t>
      </w:r>
    </w:p>
    <w:p>
      <w:pPr/>
      <w:r>
        <w:rPr>
          <w:b/>
        </w:rPr>
        <w:t>Functional Analysis</w:t>
      </w:r>
      <w:r>
        <w:t>:</w:t>
      </w:r>
    </w:p>
    <w:p>
      <w:pPr/>
      <w:r>
        <w:rPr>
          <w:b/>
        </w:rPr>
        <w:t>TechServices</w:t>
      </w:r>
      <w:r>
        <w:t>:</w:t>
      </w:r>
    </w:p>
    <w:p>
      <w:pPr>
        <w:pStyle w:val="ListBullet"/>
      </w:pPr>
      <w:r>
        <w:t>Functions: Recruitment, training, performance management of engineers; provides specialized technical expertise</w:t>
      </w:r>
    </w:p>
    <w:p>
      <w:pPr>
        <w:pStyle w:val="ListBullet"/>
      </w:pPr>
      <w:r>
        <w:t>Assets: Human capital (specialized engineers), technical know-how</w:t>
      </w:r>
    </w:p>
    <w:p>
      <w:pPr>
        <w:pStyle w:val="ListBullet"/>
      </w:pPr>
      <w:r>
        <w:t>Risks: Limited - costs reimbursed; no performance risk</w:t>
      </w:r>
    </w:p>
    <w:p>
      <w:pPr/>
      <w:r>
        <w:rPr>
          <w:b/>
        </w:rPr>
        <w:t>KazakhOil</w:t>
      </w:r>
      <w:r>
        <w:t>:</w:t>
      </w:r>
    </w:p>
    <w:p>
      <w:pPr>
        <w:pStyle w:val="ListBullet"/>
      </w:pPr>
      <w:r>
        <w:t>Functions: Project management, operational decisions, application of technical advice</w:t>
      </w:r>
    </w:p>
    <w:p>
      <w:pPr>
        <w:pStyle w:val="ListBullet"/>
      </w:pPr>
      <w:r>
        <w:t>Assets: Production assets, licenses</w:t>
      </w:r>
    </w:p>
    <w:p>
      <w:pPr>
        <w:pStyle w:val="ListBullet"/>
      </w:pPr>
      <w:r>
        <w:t>Risks: Operational risk, reservoir risk, political risk, price risk</w:t>
      </w:r>
    </w:p>
    <w:p>
      <w:pPr/>
      <w:r>
        <w:rPr>
          <w:b/>
        </w:rPr>
        <w:t>Comparability Analysis</w:t>
      </w:r>
      <w:r>
        <w:t>:</w:t>
      </w:r>
    </w:p>
    <w:p>
      <w:pPr/>
      <w:r>
        <w:t>Search for comparable companies providing technical drilling services on cost plus basis.</w:t>
      </w:r>
    </w:p>
    <w:p>
      <w:pPr/>
      <w:r>
        <w:rPr>
          <w:b/>
        </w:rPr>
        <w:t>Comparable Companies</w:t>
      </w:r>
      <w:r>
        <w:t xml:space="preserve"> (illustrative):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rPr>
              <w:t>Company</w:t>
            </w:r>
          </w:p>
        </w:tc>
        <w:tc>
          <w:tcPr>
            <w:tcW w:type="dxa" w:w="2160"/>
            <w:shd w:fill="D9E2F3"/>
          </w:tcPr>
          <w:p>
            <w:r>
              <w:rPr>
                <w:b/>
              </w:rPr>
              <w:t>Geography</w:t>
            </w:r>
          </w:p>
        </w:tc>
        <w:tc>
          <w:tcPr>
            <w:tcW w:type="dxa" w:w="2160"/>
            <w:shd w:fill="D9E2F3"/>
          </w:tcPr>
          <w:p>
            <w:r>
              <w:rPr>
                <w:b/>
              </w:rPr>
              <w:t>Services</w:t>
            </w:r>
          </w:p>
        </w:tc>
        <w:tc>
          <w:tcPr>
            <w:tcW w:type="dxa" w:w="2160"/>
            <w:shd w:fill="D9E2F3"/>
          </w:tcPr>
          <w:p>
            <w:r>
              <w:rPr>
                <w:b/>
              </w:rPr>
              <w:t>Cost Plus Markup</w:t>
            </w:r>
          </w:p>
        </w:tc>
      </w:tr>
      <w:tr>
        <w:tc>
          <w:tcPr>
            <w:tcW w:type="dxa" w:w="2160"/>
          </w:tcPr>
          <w:p>
            <w:r>
              <w:t>DrillTech Services</w:t>
            </w:r>
          </w:p>
        </w:tc>
        <w:tc>
          <w:tcPr>
            <w:tcW w:type="dxa" w:w="2160"/>
          </w:tcPr>
          <w:p>
            <w:r>
              <w:t>Middle East</w:t>
            </w:r>
          </w:p>
        </w:tc>
        <w:tc>
          <w:tcPr>
            <w:tcW w:type="dxa" w:w="2160"/>
          </w:tcPr>
          <w:p>
            <w:r>
              <w:t>Drilling engineering</w:t>
            </w:r>
          </w:p>
        </w:tc>
        <w:tc>
          <w:tcPr>
            <w:tcW w:type="dxa" w:w="2160"/>
          </w:tcPr>
          <w:p>
            <w:r>
              <w:t>12-15%</w:t>
            </w:r>
          </w:p>
        </w:tc>
      </w:tr>
      <w:tr>
        <w:tc>
          <w:tcPr>
            <w:tcW w:type="dxa" w:w="2160"/>
          </w:tcPr>
          <w:p>
            <w:r>
              <w:t>PetroConsult Ltd</w:t>
            </w:r>
          </w:p>
        </w:tc>
        <w:tc>
          <w:tcPr>
            <w:tcW w:type="dxa" w:w="2160"/>
          </w:tcPr>
          <w:p>
            <w:r>
              <w:t>North Sea</w:t>
            </w:r>
          </w:p>
        </w:tc>
        <w:tc>
          <w:tcPr>
            <w:tcW w:type="dxa" w:w="2160"/>
          </w:tcPr>
          <w:p>
            <w:r>
              <w:t>Technical services</w:t>
            </w:r>
          </w:p>
        </w:tc>
        <w:tc>
          <w:tcPr>
            <w:tcW w:type="dxa" w:w="2160"/>
          </w:tcPr>
          <w:p>
            <w:r>
              <w:t>10-18%</w:t>
            </w:r>
          </w:p>
        </w:tc>
      </w:tr>
      <w:tr>
        <w:tc>
          <w:tcPr>
            <w:tcW w:type="dxa" w:w="2160"/>
          </w:tcPr>
          <w:p>
            <w:r>
              <w:t>EngServices Inc</w:t>
            </w:r>
          </w:p>
        </w:tc>
        <w:tc>
          <w:tcPr>
            <w:tcW w:type="dxa" w:w="2160"/>
          </w:tcPr>
          <w:p>
            <w:r>
              <w:t>US shale</w:t>
            </w:r>
          </w:p>
        </w:tc>
        <w:tc>
          <w:tcPr>
            <w:tcW w:type="dxa" w:w="2160"/>
          </w:tcPr>
          <w:p>
            <w:r>
              <w:t>Engineering support</w:t>
            </w:r>
          </w:p>
        </w:tc>
        <w:tc>
          <w:tcPr>
            <w:tcW w:type="dxa" w:w="2160"/>
          </w:tcPr>
          <w:p>
            <w:r>
              <w:t>8-12%</w:t>
            </w:r>
          </w:p>
        </w:tc>
      </w:tr>
      <w:tr>
        <w:tc>
          <w:tcPr>
            <w:tcW w:type="dxa" w:w="2160"/>
          </w:tcPr>
          <w:p>
            <w:r>
              <w:t>Offshore Engineering</w:t>
            </w:r>
          </w:p>
        </w:tc>
        <w:tc>
          <w:tcPr>
            <w:tcW w:type="dxa" w:w="2160"/>
          </w:tcPr>
          <w:p>
            <w:r>
              <w:t>West Africa</w:t>
            </w:r>
          </w:p>
        </w:tc>
        <w:tc>
          <w:tcPr>
            <w:tcW w:type="dxa" w:w="2160"/>
          </w:tcPr>
          <w:p>
            <w:r>
              <w:t>Specialist engineers</w:t>
            </w:r>
          </w:p>
        </w:tc>
        <w:tc>
          <w:tcPr>
            <w:tcW w:type="dxa" w:w="2160"/>
          </w:tcPr>
          <w:p>
            <w:r>
              <w:t>15-20%</w:t>
            </w:r>
          </w:p>
        </w:tc>
      </w:tr>
    </w:tbl>
    <w:p/>
    <w:p>
      <w:pPr/>
      <w:r>
        <w:rPr>
          <w:b/>
        </w:rPr>
        <w:t>Interquartile Range</w:t>
      </w:r>
      <w:r>
        <w:t xml:space="preserve">: </w:t>
      </w:r>
      <w:r>
        <w:rPr>
          <w:b/>
        </w:rPr>
        <w:t>10-18%</w:t>
      </w:r>
    </w:p>
    <w:p>
      <w:pPr/>
      <w:r>
        <w:rPr>
          <w:b/>
        </w:rPr>
        <w:t>Comparability Adjustments</w:t>
      </w:r>
      <w:r>
        <w:t>:</w:t>
      </w:r>
    </w:p>
    <w:p>
      <w:pPr>
        <w:pStyle w:val="ListBullet"/>
      </w:pPr>
      <w:r>
        <w:rPr>
          <w:b/>
        </w:rPr>
        <w:t>Risk profile</w:t>
      </w:r>
      <w:r>
        <w:t>: Comparables may assume greater performance risk (KazakhOil bears operational risk)</w:t>
      </w:r>
    </w:p>
    <w:p>
      <w:pPr>
        <w:pStyle w:val="ListBullet"/>
      </w:pPr>
      <w:r>
        <w:rPr>
          <w:b/>
        </w:rPr>
        <w:t>Geographic market</w:t>
      </w:r>
      <w:r>
        <w:t>: Kazakhstan operations may command premium due to challenging environment, specialized skills</w:t>
      </w:r>
    </w:p>
    <w:p>
      <w:pPr>
        <w:pStyle w:val="ListBullet"/>
      </w:pPr>
      <w:r>
        <w:rPr>
          <w:b/>
        </w:rPr>
        <w:t>Contract duration</w:t>
      </w:r>
      <w:r>
        <w:t>: 12-month commitment may justify higher markup vs. project-based engagements</w:t>
      </w:r>
    </w:p>
    <w:p>
      <w:pPr>
        <w:pStyle w:val="ListBullet"/>
      </w:pPr>
      <w:r>
        <w:rPr>
          <w:b/>
        </w:rPr>
        <w:t>Secondment vs. standalone services</w:t>
      </w:r>
      <w:r>
        <w:t>: Seconded personnel fully embedded may warrant higher markup for HR management</w:t>
      </w:r>
    </w:p>
    <w:p>
      <w:pPr/>
      <w:r>
        <w:rPr>
          <w:b/>
        </w:rPr>
        <w:t>Adjusted Range</w:t>
      </w:r>
      <w:r>
        <w:t xml:space="preserve">: </w:t>
      </w:r>
      <w:r>
        <w:rPr>
          <w:b/>
        </w:rPr>
        <w:t>12-20%</w:t>
      </w:r>
      <w:r>
        <w:t xml:space="preserve"> considering Kazakhstan-specific factors.</w:t>
      </w:r>
    </w:p>
    <w:p>
      <w:pPr/>
      <w:r>
        <w:rPr>
          <w:b/>
        </w:rPr>
        <w:t>TechServices Proposed Markup</w:t>
      </w:r>
      <w:r>
        <w:t xml:space="preserve">: </w:t>
      </w:r>
      <w:r>
        <w:rPr>
          <w:b/>
        </w:rPr>
        <w:t>50%</w:t>
      </w:r>
    </w:p>
    <w:p>
      <w:pPr/>
      <w:r>
        <w:rPr>
          <w:b/>
        </w:rPr>
        <w:t>Conclusion</w:t>
      </w:r>
      <w:r>
        <w:t xml:space="preserve">: </w:t>
      </w:r>
      <w:r>
        <w:rPr>
          <w:b/>
        </w:rPr>
        <w:t>50% markup significantly exceeds arm's length range (12-20%)</w:t>
      </w:r>
      <w:r>
        <w:t>. Proposed pricing likely to be challenged and adjusted by Kazakhstan tax authorities.</w:t>
      </w:r>
    </w:p>
    <w:p>
      <w:pPr/>
      <w:r>
        <w:rPr>
          <w:b/>
        </w:rPr>
        <w:t>Arm's Length Pricing</w:t>
      </w:r>
      <w:r>
        <w:t>:</w:t>
      </w:r>
    </w:p>
    <w:p>
      <w:pPr/>
      <w:r>
        <w:t xml:space="preserve">Conservative approach (midpoint of range): </w:t>
      </w:r>
      <w:r>
        <w:rPr>
          <w:b/>
        </w:rPr>
        <w:t>16% markup</w:t>
      </w:r>
    </w:p>
    <w:p>
      <w:pPr>
        <w:pStyle w:val="ListBullet"/>
      </w:pPr>
      <w:r>
        <w:t>Costs: USD 2,800,000</w:t>
      </w:r>
    </w:p>
    <w:p>
      <w:pPr>
        <w:pStyle w:val="ListBullet"/>
      </w:pPr>
      <w:r>
        <w:t>Markup (16%): USD 448,000</w:t>
      </w:r>
    </w:p>
    <w:p>
      <w:pPr>
        <w:pStyle w:val="ListBullet"/>
      </w:pPr>
      <w:r>
        <w:rPr>
          <w:b/>
        </w:rPr>
        <w:t>Arm's length price</w:t>
      </w:r>
      <w:r>
        <w:t xml:space="preserve">: </w:t>
      </w:r>
      <w:r>
        <w:rPr>
          <w:b/>
        </w:rPr>
        <w:t>USD 3,248,000</w:t>
      </w:r>
    </w:p>
    <w:p>
      <w:pPr/>
      <w:r>
        <w:rPr>
          <w:b/>
        </w:rPr>
        <w:t>Tax Impact of Adjustment</w:t>
      </w:r>
      <w:r>
        <w:t>:</w:t>
      </w:r>
    </w:p>
    <w:p>
      <w:pPr/>
      <w:r>
        <w:rPr>
          <w:b/>
        </w:rPr>
        <w:t>Kazakhstan</w:t>
      </w:r>
      <w:r>
        <w:t>:</w:t>
      </w:r>
    </w:p>
    <w:p>
      <w:pPr>
        <w:pStyle w:val="ListBullet"/>
      </w:pPr>
      <w:r>
        <w:t>Disallowed deduction: USD 4,200,000 - USD 3,248,000 = USD 952,000</w:t>
      </w:r>
    </w:p>
    <w:p>
      <w:pPr>
        <w:pStyle w:val="ListBullet"/>
      </w:pPr>
      <w:r>
        <w:t>Additional taxable income: USD 952,000</w:t>
      </w:r>
    </w:p>
    <w:p>
      <w:pPr>
        <w:pStyle w:val="ListBullet"/>
      </w:pPr>
      <w:r>
        <w:t xml:space="preserve">Corporate tax (20%): </w:t>
      </w:r>
      <w:r>
        <w:rPr>
          <w:b/>
        </w:rPr>
        <w:t>USD 190,400</w:t>
      </w:r>
    </w:p>
    <w:p>
      <w:pPr>
        <w:pStyle w:val="ListBullet"/>
      </w:pPr>
      <w:r>
        <w:t xml:space="preserve">Potential penalties (25%): </w:t>
      </w:r>
      <w:r>
        <w:rPr>
          <w:b/>
        </w:rPr>
        <w:t>USD 47,600</w:t>
      </w:r>
    </w:p>
    <w:p>
      <w:pPr/>
      <w:r>
        <w:rPr>
          <w:b/>
        </w:rPr>
        <w:t>Netherlands</w:t>
      </w:r>
      <w:r>
        <w:t>:</w:t>
      </w:r>
    </w:p>
    <w:p>
      <w:pPr>
        <w:pStyle w:val="ListBullet"/>
      </w:pPr>
      <w:r>
        <w:t>Additional revenue recognized: USD 952,000</w:t>
      </w:r>
    </w:p>
    <w:p>
      <w:pPr>
        <w:pStyle w:val="ListBullet"/>
      </w:pPr>
      <w:r>
        <w:t>Corporate tax (25.8%): USD 245,616</w:t>
      </w:r>
    </w:p>
    <w:p>
      <w:pPr>
        <w:pStyle w:val="ListBullet"/>
      </w:pPr>
      <w:r>
        <w:rPr>
          <w:b/>
        </w:rPr>
        <w:t>If correlative adjustment available (Article 9(2))</w:t>
      </w:r>
      <w:r>
        <w:t>: May claim relief, but practical implementation varies</w:t>
      </w:r>
    </w:p>
    <w:p>
      <w:pPr/>
      <w:r>
        <w:rPr>
          <w:b/>
        </w:rPr>
        <w:t>Potential Double Taxation</w:t>
      </w:r>
      <w:r>
        <w:t xml:space="preserve">: USD 190,400 (Kazakhstan) + USD 245,616 (Netherlands, if no relief) = </w:t>
      </w:r>
      <w:r>
        <w:rPr>
          <w:b/>
        </w:rPr>
        <w:t>USD 436,016</w:t>
      </w:r>
    </w:p>
    <w:p>
      <w:pPr/>
      <w:r>
        <w:rPr>
          <w:b/>
        </w:rPr>
        <w:t>Recommendations</w:t>
      </w:r>
      <w:r>
        <w:t>:</w:t>
      </w:r>
    </w:p>
    <w:p>
      <w:pPr>
        <w:pStyle w:val="ListNumber"/>
      </w:pPr>
      <w:r>
        <w:rPr>
          <w:b/>
        </w:rPr>
        <w:t>Reprice Services</w:t>
      </w:r>
      <w:r>
        <w:t>: Apply 15-18% markup to align with arm's length range</w:t>
      </w:r>
    </w:p>
    <w:p>
      <w:pPr/>
      <w:r>
        <w:t xml:space="preserve">   - New charge: USD 2,800,000 × 1.15 to 1.18 = USD 3,220,000 - USD 3,304,000</w:t>
      </w:r>
    </w:p>
    <w:p>
      <w:pPr>
        <w:pStyle w:val="ListNumber"/>
      </w:pPr>
      <w:r>
        <w:rPr>
          <w:b/>
        </w:rPr>
        <w:t>Enhanced Documentation</w:t>
      </w:r>
      <w:r>
        <w:t>:</w:t>
      </w:r>
    </w:p>
    <w:p>
      <w:pPr/>
      <w:r>
        <w:t xml:space="preserve">   - Detailed functional analysis demonstrating complexity, specialization</w:t>
      </w:r>
    </w:p>
    <w:p>
      <w:pPr/>
      <w:r>
        <w:t xml:space="preserve">   - Benchmark study with comparable technical service providers</w:t>
      </w:r>
    </w:p>
    <w:p>
      <w:pPr/>
      <w:r>
        <w:t xml:space="preserve">   - Documentation of market conditions justifying pricing</w:t>
      </w:r>
    </w:p>
    <w:p>
      <w:pPr/>
      <w:r>
        <w:t xml:space="preserve">   - Contract terms clearly allocating risks</w:t>
      </w:r>
    </w:p>
    <w:p>
      <w:pPr>
        <w:pStyle w:val="ListNumber"/>
      </w:pPr>
      <w:r>
        <w:rPr>
          <w:b/>
        </w:rPr>
        <w:t>Consider APA</w:t>
      </w:r>
      <w:r>
        <w:t>:</w:t>
      </w:r>
    </w:p>
    <w:p>
      <w:pPr/>
      <w:r>
        <w:t xml:space="preserve">   - Bilateral APA with Kazakhstan and Netherlands tax authorities</w:t>
      </w:r>
    </w:p>
    <w:p>
      <w:pPr/>
      <w:r>
        <w:t xml:space="preserve">   - Prospective certainty on acceptable markup</w:t>
      </w:r>
    </w:p>
    <w:p>
      <w:pPr/>
      <w:r>
        <w:t xml:space="preserve">   - Avoids costly disputes and double taxation</w:t>
      </w:r>
    </w:p>
    <w:p>
      <w:pPr>
        <w:pStyle w:val="ListNumber"/>
      </w:pPr>
      <w:r>
        <w:rPr>
          <w:b/>
        </w:rPr>
        <w:t>Alternative Structure</w:t>
      </w:r>
      <w:r>
        <w:t>:</w:t>
      </w:r>
    </w:p>
    <w:p>
      <w:pPr/>
      <w:r>
        <w:t xml:space="preserve">   - </w:t>
      </w:r>
      <w:r>
        <w:rPr>
          <w:b/>
        </w:rPr>
        <w:t>Secondment at cost</w:t>
      </w:r>
      <w:r>
        <w:t>: Charge costs only (no markup); KazakhOil compensates through dividend/other mechanisms</w:t>
      </w:r>
    </w:p>
    <w:p>
      <w:pPr/>
      <w:r>
        <w:t xml:space="preserve">   - </w:t>
      </w:r>
      <w:r>
        <w:rPr>
          <w:b/>
        </w:rPr>
        <w:t>Service company approach</w:t>
      </w:r>
      <w:r>
        <w:t>: Dedicated service company with substantive operations, applies markup justified by functions/risks</w:t>
      </w:r>
    </w:p>
    <w:p>
      <w:pPr/>
      <w:r>
        <w:rPr>
          <w:b/>
        </w:rPr>
        <w:t>Conclusion</w:t>
      </w:r>
      <w:r>
        <w:t xml:space="preserve">: Proposed 50% markup is </w:t>
      </w:r>
      <w:r>
        <w:rPr>
          <w:b/>
        </w:rPr>
        <w:t>not defensible</w:t>
      </w:r>
      <w:r>
        <w:t xml:space="preserve">. Reducing to </w:t>
      </w:r>
      <w:r>
        <w:rPr>
          <w:b/>
        </w:rPr>
        <w:t>15-18% range</w:t>
      </w:r>
      <w:r>
        <w:t xml:space="preserve"> necessary to comply with arm's length principle and avoid double taxation.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