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Royalties</w:t>
      </w:r>
    </w:p>
    <w:p>
      <w:pPr>
        <w:pStyle w:val="Heading2"/>
      </w:pPr>
      <w:r>
        <w:t>ADIT Energy Resources Module 3.04 - Study Note</w:t>
      </w:r>
    </w:p>
    <w:p>
      <w:r>
        <w:t>---</w:t>
      </w:r>
    </w:p>
    <w:p>
      <w:pPr>
        <w:pStyle w:val="Heading2"/>
      </w:pPr>
      <w:r>
        <w:t>1. Core Framework and Legal Principles</w:t>
      </w:r>
    </w:p>
    <w:p>
      <w:pPr>
        <w:pStyle w:val="Heading3"/>
      </w:pPr>
      <w:r>
        <w:t>1.1 Introduction to Royalties in Extractive Industries</w:t>
      </w:r>
    </w:p>
    <w:p>
      <w:r>
        <w:t>Royalties represent a fundamental fiscal instrument through which resource-owning states extract economic value from the exploitation of non-renewable natural resources (petroleum, minerals, natural gas). As a compensation for permanent resource depletion, royalties establish the state's direct claim on gross production value, independent of operator profitability.</w:t>
      </w:r>
    </w:p>
    <w:p>
      <w:r/>
      <w:r>
        <w:rPr>
          <w:b/>
        </w:rPr>
        <w:t>Policy Rationale:</w:t>
      </w:r>
      <w:r/>
    </w:p>
    <w:p>
      <w:r>
        <w:t>States impose royalties on extractive industries for several interconnected reasons: (1) to capture compensation for the permanent depletion of finite, non-renewable state-owned resources; (2) to ensure immediate revenue from production regardless of project profitability (unlike corporate income taxes which depend on positive taxable profits); (3) to secure political legitimacy by demonstrating tangible state benefit from resource exploitation; and (4) to establish fiscal simplicity through gross revenue-based calculations that avoid complex profit attribution and transfer pricing disputes inherent in profit-based taxation.</w:t>
      </w:r>
    </w:p>
    <w:p>
      <w:r>
        <w:t>The strategic importance of royalties in fiscal design stems from:</w:t>
      </w:r>
    </w:p>
    <w:p>
      <w:pPr>
        <w:pStyle w:val="ListBullet"/>
      </w:pPr>
      <w:r>
        <w:t>**Revenue certainty**: Payment obligation arises upon production, regardless of project economics</w:t>
      </w:r>
    </w:p>
    <w:p>
      <w:pPr>
        <w:pStyle w:val="ListBullet"/>
      </w:pPr>
      <w:r>
        <w:t>**Simplicity**: Generally easier to administer than profit-based taxes</w:t>
      </w:r>
    </w:p>
    <w:p>
      <w:pPr>
        <w:pStyle w:val="ListBullet"/>
      </w:pPr>
      <w:r>
        <w:t>**Political visibility**: Tangible demonstration of state resource ownership</w:t>
      </w:r>
    </w:p>
    <w:p>
      <w:pPr>
        <w:pStyle w:val="ListBullet"/>
      </w:pPr>
      <w:r>
        <w:t>**Risk allocation**: State secures revenue even during unprofitable operations</w:t>
      </w:r>
    </w:p>
    <w:p>
      <w:pPr>
        <w:pStyle w:val="ListBullet"/>
      </w:pPr>
      <w:r>
        <w:t>**Treaty interaction**: Differential treatment under tax treaties (particularly for IP vs. extraction royalties)</w:t>
      </w:r>
    </w:p>
    <w:p>
      <w:pPr>
        <w:pStyle w:val="Heading3"/>
      </w:pPr>
      <w:r>
        <w:t>1.2 Statutory Basis and Legal Framework</w:t>
      </w:r>
    </w:p>
    <w:p>
      <w:pPr>
        <w:pStyle w:val="Heading4"/>
      </w:pPr>
      <w:r>
        <w:t>1.2.1 Legislative Foundation</w:t>
      </w:r>
    </w:p>
    <w:p>
      <w:r>
        <w:t>Royalty regimes are typically established through:</w:t>
      </w:r>
    </w:p>
    <w:p>
      <w:r/>
      <w:r>
        <w:rPr>
          <w:b/>
        </w:rPr>
        <w:t>Primary Legislation:</w:t>
      </w:r>
      <w:r/>
    </w:p>
    <w:p>
      <w:pPr>
        <w:pStyle w:val="ListBullet"/>
      </w:pPr>
      <w:r>
        <w:t>**Petroleum/Mining Acts**: Define royalty rates, calculation methods, payment obligations</w:t>
      </w:r>
    </w:p>
    <w:p>
      <w:pPr>
        <w:pStyle w:val="ListBullet"/>
      </w:pPr>
      <w:r>
        <w:t>**Finance Acts**: Annual adjustments to rates and thresholds</w:t>
      </w:r>
    </w:p>
    <w:p>
      <w:pPr>
        <w:pStyle w:val="ListBullet"/>
      </w:pPr>
      <w:r>
        <w:t>**Tax Codes**: Corporate tax deductibility provisions</w:t>
      </w:r>
    </w:p>
    <w:p>
      <w:pPr>
        <w:pStyle w:val="ListBullet"/>
      </w:pPr>
      <w:r>
        <w:t>**Contract Law**: Licensing agreements and production sharing contracts (PSCs)</w:t>
      </w:r>
    </w:p>
    <w:p>
      <w:r/>
      <w:r>
        <w:rPr>
          <w:b/>
        </w:rPr>
        <w:t>Example Jurisdictions:</w:t>
      </w:r>
      <w:r/>
    </w:p>
    <w:p>
      <w:pPr>
        <w:pStyle w:val="ListBullet"/>
      </w:pPr>
      <w:r>
        <w:t>**UK**: Historically Petroleum (Production) Act 1934 (abolished 2003); now replaced by supplementary charges</w:t>
      </w:r>
    </w:p>
    <w:p>
      <w:pPr>
        <w:pStyle w:val="ListBullet"/>
      </w:pPr>
      <w:r>
        <w:t>**Norway**: No production royalties; reliance on high petroleum tax (78% combined rate)</w:t>
      </w:r>
    </w:p>
    <w:p>
      <w:pPr>
        <w:pStyle w:val="ListBullet"/>
      </w:pPr>
      <w:r>
        <w:t>**Alberta, Canada**: Mines and Minerals Act (sliding scale royalties, 5-40%)</w:t>
      </w:r>
    </w:p>
    <w:p>
      <w:pPr>
        <w:pStyle w:val="ListBullet"/>
      </w:pPr>
      <w:r>
        <w:t>**Ghana**: Petroleum (Exploration and Production) Act 2016 (5% gross revenue royalty)</w:t>
      </w:r>
    </w:p>
    <w:p>
      <w:pPr>
        <w:pStyle w:val="ListBullet"/>
      </w:pPr>
      <w:r>
        <w:t>**Australia**: Various state-based mining royalty legislation (Queensland, Western Australia)</w:t>
      </w:r>
    </w:p>
    <w:p>
      <w:pPr>
        <w:pStyle w:val="Heading4"/>
      </w:pPr>
      <w:r>
        <w:t>1.2.2 Constitutional Principles</w:t>
      </w:r>
    </w:p>
    <w:p>
      <w:r/>
      <w:r>
        <w:rPr>
          <w:b/>
        </w:rPr>
        <w:t>Permanent Sovereignty over Natural Resources:</w:t>
      </w:r>
      <w:r/>
    </w:p>
    <w:p>
      <w:pPr>
        <w:pStyle w:val="ListBullet"/>
      </w:pPr>
      <w:r>
        <w:t>UN General Assembly Resolution 1803 (1962) affirms state authority to impose royalties</w:t>
      </w:r>
    </w:p>
    <w:p>
      <w:pPr>
        <w:pStyle w:val="ListBullet"/>
      </w:pPr>
      <w:r>
        <w:t>Royalties distinguished from taxation (property right vs. sovereign power)</w:t>
      </w:r>
    </w:p>
    <w:p>
      <w:pPr>
        <w:pStyle w:val="ListBullet"/>
      </w:pPr>
      <w:r>
        <w:t>International investment treaties may provide stabilization of royalty rates</w:t>
      </w:r>
    </w:p>
    <w:p>
      <w:pPr>
        <w:pStyle w:val="ListBullet"/>
      </w:pPr>
      <w:r>
        <w:t>Arbitration precedents: *Amco Asia v. Indonesia* (International Centre for Settlement of Investment Disputes (ICSID) 1984) - royalty modification limits</w:t>
      </w:r>
    </w:p>
    <w:p>
      <w:pPr>
        <w:pStyle w:val="Heading3"/>
      </w:pPr>
      <w:r>
        <w:t>1.3 Definitions and Classification</w:t>
      </w:r>
    </w:p>
    <w:p>
      <w:pPr>
        <w:pStyle w:val="Heading4"/>
      </w:pPr>
      <w:r>
        <w:t>1.3.1 Core Definition</w:t>
      </w:r>
    </w:p>
    <w:p>
      <w:r/>
      <w:r>
        <w:rPr>
          <w:b/>
        </w:rPr>
        <w:t>Royalty (Extractive Context)</w:t>
      </w:r>
      <w:r>
        <w:t>: A payment made by a resource extractor to the resource owner (typically the state) calculated by reference to production volume, value, or profitability, representing compensation for permanent depletion of non-renewable resources.</w:t>
      </w:r>
    </w:p>
    <w:p>
      <w:r/>
      <w:r>
        <w:rPr>
          <w:b/>
        </w:rPr>
        <w:t>Legal Characterization:</w:t>
      </w:r>
      <w:r/>
    </w:p>
    <w:p>
      <w:pPr>
        <w:pStyle w:val="ListBullet"/>
      </w:pPr>
      <w:r>
        <w:t>**Property right**: Payment for use of state-owned resource (extraction royalties)</w:t>
      </w:r>
    </w:p>
    <w:p>
      <w:pPr>
        <w:pStyle w:val="ListBullet"/>
      </w:pPr>
      <w:r>
        <w:t>**Tax equivalent**: In some jurisdictions, treated as tax for treaty purposes</w:t>
      </w:r>
    </w:p>
    <w:p>
      <w:pPr>
        <w:pStyle w:val="ListBullet"/>
      </w:pPr>
      <w:r>
        <w:t>**Contractual obligation**: Enforceable under license/concession terms</w:t>
      </w:r>
    </w:p>
    <w:p>
      <w:pPr>
        <w:pStyle w:val="Heading4"/>
      </w:pPr>
      <w:r>
        <w:t>1.3.2 Intellectual Property (IP) Royalties - Distinction</w:t>
      </w:r>
    </w:p>
    <w:p>
      <w:r/>
      <w:r>
        <w:rPr>
          <w:b/>
        </w:rPr>
        <w:t>IP Royalty Definition</w:t>
      </w:r>
      <w:r>
        <w:t>: Payment for use of intellectual property rights (patents, trademarks, know-how, copyrights) in extractive operations.</w:t>
      </w:r>
    </w:p>
    <w:p>
      <w:r/>
      <w:r>
        <w:rPr>
          <w:b/>
        </w:rPr>
        <w:t>Key Distinctions from Extraction Royalties: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**Extraction Royalty**</w:t>
            </w:r>
          </w:p>
        </w:tc>
        <w:tc>
          <w:tcPr>
            <w:tcW w:type="dxa" w:w="2880"/>
          </w:tcPr>
          <w:p>
            <w:r>
              <w:rPr>
                <w:b/>
              </w:rPr>
              <w:t>**IP Royalty**</w:t>
            </w:r>
          </w:p>
        </w:tc>
      </w:tr>
      <w:tr>
        <w:tc>
          <w:tcPr>
            <w:tcW w:type="dxa" w:w="2880"/>
          </w:tcPr>
          <w:p>
            <w:r>
              <w:t>**Basis**</w:t>
            </w:r>
          </w:p>
        </w:tc>
        <w:tc>
          <w:tcPr>
            <w:tcW w:type="dxa" w:w="2880"/>
          </w:tcPr>
          <w:p>
            <w:r>
              <w:t>Resource depletion</w:t>
            </w:r>
          </w:p>
        </w:tc>
        <w:tc>
          <w:tcPr>
            <w:tcW w:type="dxa" w:w="2880"/>
          </w:tcPr>
          <w:p>
            <w:r>
              <w:t>Use of intangible property</w:t>
            </w:r>
          </w:p>
        </w:tc>
      </w:tr>
      <w:tr>
        <w:tc>
          <w:tcPr>
            <w:tcW w:type="dxa" w:w="2880"/>
          </w:tcPr>
          <w:p>
            <w:r>
              <w:t>**Payer**</w:t>
            </w:r>
          </w:p>
        </w:tc>
        <w:tc>
          <w:tcPr>
            <w:tcW w:type="dxa" w:w="2880"/>
          </w:tcPr>
          <w:p>
            <w:r>
              <w:t>Resource extractor</w:t>
            </w:r>
          </w:p>
        </w:tc>
        <w:tc>
          <w:tcPr>
            <w:tcW w:type="dxa" w:w="2880"/>
          </w:tcPr>
          <w:p>
            <w:r>
              <w:t>Technology licensee</w:t>
            </w:r>
          </w:p>
        </w:tc>
      </w:tr>
      <w:tr>
        <w:tc>
          <w:tcPr>
            <w:tcW w:type="dxa" w:w="2880"/>
          </w:tcPr>
          <w:p>
            <w:r>
              <w:t>**Calculation**</w:t>
            </w:r>
          </w:p>
        </w:tc>
        <w:tc>
          <w:tcPr>
            <w:tcW w:type="dxa" w:w="2880"/>
          </w:tcPr>
          <w:p>
            <w:r>
              <w:t>Production volume/value</w:t>
            </w:r>
          </w:p>
        </w:tc>
        <w:tc>
          <w:tcPr>
            <w:tcW w:type="dxa" w:w="2880"/>
          </w:tcPr>
          <w:p>
            <w:r>
              <w:t>Revenue, profit, or fixed fee</w:t>
            </w:r>
          </w:p>
        </w:tc>
      </w:tr>
      <w:tr>
        <w:tc>
          <w:tcPr>
            <w:tcW w:type="dxa" w:w="2880"/>
          </w:tcPr>
          <w:p>
            <w:r>
              <w:t>**Tax Treaty Treatment**</w:t>
            </w:r>
          </w:p>
        </w:tc>
        <w:tc>
          <w:tcPr>
            <w:tcW w:type="dxa" w:w="2880"/>
          </w:tcPr>
          <w:p>
            <w:r>
              <w:t>Article 6 (Immovable Property) or 21 (Other Income)</w:t>
            </w:r>
          </w:p>
        </w:tc>
        <w:tc>
          <w:tcPr>
            <w:tcW w:type="dxa" w:w="2880"/>
          </w:tcPr>
          <w:p>
            <w:r>
              <w:t>Article 12 (Royalties)</w:t>
            </w:r>
          </w:p>
        </w:tc>
      </w:tr>
      <w:tr>
        <w:tc>
          <w:tcPr>
            <w:tcW w:type="dxa" w:w="2880"/>
          </w:tcPr>
          <w:p>
            <w:r>
              <w:t>**Withholding Tax**</w:t>
            </w:r>
          </w:p>
        </w:tc>
        <w:tc>
          <w:tcPr>
            <w:tcW w:type="dxa" w:w="2880"/>
          </w:tcPr>
          <w:p>
            <w:r>
              <w:t>Generally not subject to WHT</w:t>
            </w:r>
          </w:p>
        </w:tc>
        <w:tc>
          <w:tcPr>
            <w:tcW w:type="dxa" w:w="2880"/>
          </w:tcPr>
          <w:p>
            <w:r>
              <w:t>Subject to WHT (0-30% treaty rates)</w:t>
            </w:r>
          </w:p>
        </w:tc>
      </w:tr>
      <w:tr>
        <w:tc>
          <w:tcPr>
            <w:tcW w:type="dxa" w:w="2880"/>
          </w:tcPr>
          <w:p>
            <w:r>
              <w:t>**Deductibility**</w:t>
            </w:r>
          </w:p>
        </w:tc>
        <w:tc>
          <w:tcPr>
            <w:tcW w:type="dxa" w:w="2880"/>
          </w:tcPr>
          <w:p>
            <w:r>
              <w:t>Usually deductible for CIT</w:t>
            </w:r>
          </w:p>
        </w:tc>
        <w:tc>
          <w:tcPr>
            <w:tcW w:type="dxa" w:w="2880"/>
          </w:tcPr>
          <w:p>
            <w:r>
              <w:t>Deductible (subject to TP rules)</w:t>
            </w:r>
          </w:p>
        </w:tc>
      </w:tr>
      <w:tr>
        <w:tc>
          <w:tcPr>
            <w:tcW w:type="dxa" w:w="2880"/>
          </w:tcPr>
          <w:p>
            <w:r>
              <w:t>**Transfer Pricing**</w:t>
            </w:r>
          </w:p>
        </w:tc>
        <w:tc>
          <w:tcPr>
            <w:tcW w:type="dxa" w:w="2880"/>
          </w:tcPr>
          <w:p>
            <w:r>
              <w:t>Limited applicability</w:t>
            </w:r>
          </w:p>
        </w:tc>
        <w:tc>
          <w:tcPr>
            <w:tcW w:type="dxa" w:w="2880"/>
          </w:tcPr>
          <w:p>
            <w:r>
              <w:t>Full OECD Guidelines apply</w:t>
            </w:r>
          </w:p>
        </w:tc>
      </w:tr>
    </w:tbl>
    <w:p/>
    <w:p>
      <w:r/>
      <w:r>
        <w:rPr>
          <w:b/>
        </w:rPr>
        <w:t>Common IP Royalties in Extractive Industries:</w:t>
      </w:r>
      <w:r/>
    </w:p>
    <w:p>
      <w:pPr>
        <w:pStyle w:val="ListBullet"/>
      </w:pPr>
      <w:r>
        <w:t>Seismic data licensing fees</w:t>
      </w:r>
    </w:p>
    <w:p>
      <w:pPr>
        <w:pStyle w:val="ListBullet"/>
      </w:pPr>
      <w:r>
        <w:t>Drilling technology royalties (e.g., horizontal drilling patents)</w:t>
      </w:r>
    </w:p>
    <w:p>
      <w:pPr>
        <w:pStyle w:val="ListBullet"/>
      </w:pPr>
      <w:r>
        <w:t>Enhanced recovery process royalties</w:t>
      </w:r>
    </w:p>
    <w:p>
      <w:pPr>
        <w:pStyle w:val="ListBullet"/>
      </w:pPr>
      <w:r>
        <w:t>Software licensing (reservoir modeling, production optimization)</w:t>
      </w:r>
    </w:p>
    <w:p>
      <w:pPr>
        <w:pStyle w:val="ListBullet"/>
      </w:pPr>
      <w:r>
        <w:t>Environmental technology royalties (carbon capture)</w:t>
      </w:r>
    </w:p>
    <w:p>
      <w:pPr>
        <w:pStyle w:val="Heading3"/>
      </w:pPr>
      <w:r>
        <w:t>1.4 Types of Extraction Royalties</w:t>
      </w:r>
    </w:p>
    <w:p>
      <w:pPr>
        <w:pStyle w:val="Heading4"/>
      </w:pPr>
      <w:r>
        <w:t>1.4.1 Ad Valorem Royalties</w:t>
      </w:r>
    </w:p>
    <w:p>
      <w:r/>
      <w:r>
        <w:rPr>
          <w:b/>
        </w:rPr>
        <w:t>Definition</w:t>
      </w:r>
      <w:r>
        <w:t xml:space="preserve">: Royalty calculated as a </w:t>
      </w:r>
      <w:r>
        <w:rPr>
          <w:b/>
        </w:rPr>
        <w:t>percentage of gross revenue</w:t>
      </w:r>
      <w:r>
        <w:t xml:space="preserve"> from production.</w:t>
      </w:r>
    </w:p>
    <w:p>
      <w:r/>
      <w:r>
        <w:rPr>
          <w:b/>
        </w:rPr>
        <w:t>Formula:</w:t>
      </w:r>
      <w:r/>
    </w:p>
    <w:p>
      <w:pPr/>
      <w:r>
        <w:t>Ad Valorem Royalty = Gross Revenue × Royalty Rate (%)</w:t>
      </w:r>
    </w:p>
    <w:p>
      <w:pPr/>
    </w:p>
    <w:p>
      <w:pPr/>
      <w:r>
        <w:t>Where: Gross Revenue = Production Volume × Realized Price (or Reference Price)</w:t>
      </w:r>
    </w:p>
    <w:p>
      <w:r/>
      <w:r>
        <w:rPr>
          <w:b/>
        </w:rPr>
        <w:t>Characteristics:</w:t>
      </w:r>
      <w:r/>
    </w:p>
    <w:p>
      <w:pPr>
        <w:pStyle w:val="ListBullet"/>
      </w:pPr>
      <w:r>
        <w:t>**Revenue-elastic**: Increases with commodity prices</w:t>
      </w:r>
    </w:p>
    <w:p>
      <w:pPr>
        <w:pStyle w:val="ListBullet"/>
      </w:pPr>
      <w:r>
        <w:t>**Progressive with prices**: Higher prices = higher government take</w:t>
      </w:r>
    </w:p>
    <w:p>
      <w:pPr>
        <w:pStyle w:val="ListBullet"/>
      </w:pPr>
      <w:r>
        <w:t>**Regressive with costs**: Same rate regardless of cost structure</w:t>
      </w:r>
    </w:p>
    <w:p>
      <w:pPr>
        <w:pStyle w:val="ListBullet"/>
      </w:pPr>
      <w:r>
        <w:t>**Common rates**: 5-20% globally</w:t>
      </w:r>
    </w:p>
    <w:p>
      <w:r/>
      <w:r>
        <w:rPr>
          <w:b/>
        </w:rPr>
        <w:t>Advantages:</w:t>
      </w:r>
      <w:r/>
    </w:p>
    <w:p>
      <w:pPr>
        <w:pStyle w:val="ListBullet"/>
      </w:pPr>
      <w:r>
        <w:t>Simple to administer</w:t>
      </w:r>
    </w:p>
    <w:p>
      <w:pPr>
        <w:pStyle w:val="ListBullet"/>
      </w:pPr>
      <w:r>
        <w:t>Adjusts automatically with market conditions</w:t>
      </w:r>
    </w:p>
    <w:p>
      <w:pPr>
        <w:pStyle w:val="ListBullet"/>
      </w:pPr>
      <w:r>
        <w:t>Provides state with price upside</w:t>
      </w:r>
    </w:p>
    <w:p>
      <w:r/>
      <w:r>
        <w:rPr>
          <w:b/>
        </w:rPr>
        <w:t>Disadvantages:</w:t>
      </w:r>
      <w:r/>
    </w:p>
    <w:p>
      <w:pPr>
        <w:pStyle w:val="ListBullet"/>
      </w:pPr>
      <w:r>
        <w:t>Can render marginal projects uneconomic (applied to gross revenue, not profit)</w:t>
      </w:r>
    </w:p>
    <w:p>
      <w:pPr>
        <w:pStyle w:val="ListBullet"/>
      </w:pPr>
      <w:r>
        <w:t>Discourages production during low-price periods</w:t>
      </w:r>
    </w:p>
    <w:p>
      <w:pPr>
        <w:pStyle w:val="ListBullet"/>
      </w:pPr>
      <w:r>
        <w:t>No consideration of cost variations</w:t>
      </w:r>
    </w:p>
    <w:p>
      <w:r/>
      <w:r>
        <w:rPr>
          <w:b/>
        </w:rPr>
        <w:t>Example Jurisdictions:</w:t>
      </w:r>
      <w:r/>
    </w:p>
    <w:p>
      <w:pPr>
        <w:pStyle w:val="ListBullet"/>
      </w:pPr>
      <w:r>
        <w:t>Ghana: 5% of gross petroleum revenue</w:t>
      </w:r>
    </w:p>
    <w:p>
      <w:pPr>
        <w:pStyle w:val="ListBullet"/>
      </w:pPr>
      <w:r>
        <w:t>Indonesia (PSC): 10% in-kind royalty on gross production</w:t>
      </w:r>
    </w:p>
    <w:p>
      <w:pPr>
        <w:pStyle w:val="ListBullet"/>
      </w:pPr>
      <w:r>
        <w:t>Kazakhstan: 0-18% (varies by resource type and project phase)</w:t>
      </w:r>
    </w:p>
    <w:p>
      <w:pPr>
        <w:pStyle w:val="Heading4"/>
      </w:pPr>
      <w:r>
        <w:t>1.4.2 Specific (Unit-Based) Royalties</w:t>
      </w:r>
    </w:p>
    <w:p>
      <w:r/>
      <w:r>
        <w:rPr>
          <w:b/>
        </w:rPr>
        <w:t>Definition</w:t>
      </w:r>
      <w:r>
        <w:t xml:space="preserve">: Royalty calculated as a </w:t>
      </w:r>
      <w:r>
        <w:rPr>
          <w:b/>
        </w:rPr>
        <w:t>fixed monetary amount per unit</w:t>
      </w:r>
      <w:r>
        <w:t xml:space="preserve"> of production.</w:t>
      </w:r>
    </w:p>
    <w:p>
      <w:r/>
      <w:r>
        <w:rPr>
          <w:b/>
        </w:rPr>
        <w:t>Formula:</w:t>
      </w:r>
      <w:r/>
    </w:p>
    <w:p>
      <w:pPr/>
      <w:r>
        <w:t>Specific Royalty = Production Volume (units) × Rate per Unit ($/barrel, $/tonne)</w:t>
      </w:r>
    </w:p>
    <w:p>
      <w:r/>
      <w:r>
        <w:rPr>
          <w:b/>
        </w:rPr>
        <w:t>Characteristics:</w:t>
      </w:r>
      <w:r/>
    </w:p>
    <w:p>
      <w:pPr>
        <w:pStyle w:val="ListBullet"/>
      </w:pPr>
      <w:r>
        <w:t>**Revenue-inelastic**: Fixed per-unit charge regardless of price</w:t>
      </w:r>
    </w:p>
    <w:p>
      <w:pPr>
        <w:pStyle w:val="ListBullet"/>
      </w:pPr>
      <w:r>
        <w:t>**Regressive**: Higher burden as percentage of revenue when prices fall</w:t>
      </w:r>
    </w:p>
    <w:p>
      <w:pPr>
        <w:pStyle w:val="ListBullet"/>
      </w:pPr>
      <w:r>
        <w:t>**Predictable**: Easy revenue forecasting</w:t>
      </w:r>
    </w:p>
    <w:p>
      <w:pPr>
        <w:pStyle w:val="ListBullet"/>
      </w:pPr>
      <w:r>
        <w:t>**Rare in modern regimes**: Largely replaced by ad valorem or hybrid systems</w:t>
      </w:r>
    </w:p>
    <w:p>
      <w:r/>
      <w:r>
        <w:rPr>
          <w:b/>
        </w:rPr>
        <w:t>Advantages:</w:t>
      </w:r>
      <w:r/>
    </w:p>
    <w:p>
      <w:pPr>
        <w:pStyle w:val="ListBullet"/>
      </w:pPr>
      <w:r>
        <w:t>Administrative simplicity (no valuation disputes)</w:t>
      </w:r>
    </w:p>
    <w:p>
      <w:pPr>
        <w:pStyle w:val="ListBullet"/>
      </w:pPr>
      <w:r>
        <w:t>Revenue certainty for government</w:t>
      </w:r>
    </w:p>
    <w:p>
      <w:pPr>
        <w:pStyle w:val="ListBullet"/>
      </w:pPr>
      <w:r>
        <w:t>Encourages efficiency (fixed cost per unit)</w:t>
      </w:r>
    </w:p>
    <w:p>
      <w:r/>
      <w:r>
        <w:rPr>
          <w:b/>
        </w:rPr>
        <w:t>Disadvantages:</w:t>
      </w:r>
      <w:r/>
    </w:p>
    <w:p>
      <w:pPr>
        <w:pStyle w:val="ListBullet"/>
      </w:pPr>
      <w:r>
        <w:t>Does not capture price upside</w:t>
      </w:r>
    </w:p>
    <w:p>
      <w:pPr>
        <w:pStyle w:val="ListBullet"/>
      </w:pPr>
      <w:r>
        <w:t>Can be punitive during price downturns</w:t>
      </w:r>
    </w:p>
    <w:p>
      <w:pPr>
        <w:pStyle w:val="ListBullet"/>
      </w:pPr>
      <w:r>
        <w:t>Requires frequent legislative updates to maintain real value</w:t>
      </w:r>
    </w:p>
    <w:p>
      <w:r/>
      <w:r>
        <w:rPr>
          <w:b/>
        </w:rPr>
        <w:t>Example Applications:</w:t>
      </w:r>
      <w:r/>
    </w:p>
    <w:p>
      <w:pPr>
        <w:pStyle w:val="ListBullet"/>
      </w:pPr>
      <w:r>
        <w:t>Historic UK coal mining royalties (pre-nationalization)</w:t>
      </w:r>
    </w:p>
    <w:p>
      <w:pPr>
        <w:pStyle w:val="ListBullet"/>
      </w:pPr>
      <w:r>
        <w:t>Some US state severance taxes (fixed $/MCF for natural gas)</w:t>
      </w:r>
    </w:p>
    <w:p>
      <w:pPr>
        <w:pStyle w:val="ListBullet"/>
      </w:pPr>
      <w:r>
        <w:t>Limited use in developing petroleum jurisdictions</w:t>
      </w:r>
    </w:p>
    <w:p>
      <w:pPr>
        <w:pStyle w:val="Heading4"/>
      </w:pPr>
      <w:r>
        <w:t>1.4.3 Profit-Based Royalties (Resource Rent Royalties)</w:t>
      </w:r>
    </w:p>
    <w:p>
      <w:r/>
      <w:r>
        <w:rPr>
          <w:b/>
        </w:rPr>
        <w:t>Definition</w:t>
      </w:r>
      <w:r>
        <w:t xml:space="preserve">: Royalty calculated as a percentage of </w:t>
      </w:r>
      <w:r>
        <w:rPr>
          <w:b/>
        </w:rPr>
        <w:t>project profits</w:t>
      </w:r>
      <w:r>
        <w:t xml:space="preserve"> or </w:t>
      </w:r>
      <w:r>
        <w:rPr>
          <w:b/>
        </w:rPr>
        <w:t>economic rent</w:t>
      </w:r>
      <w:r>
        <w:t>, typically after cost recovery.</w:t>
      </w:r>
    </w:p>
    <w:p>
      <w:r/>
      <w:r>
        <w:rPr>
          <w:b/>
        </w:rPr>
        <w:t>Formula:</w:t>
      </w:r>
      <w:r/>
    </w:p>
    <w:p>
      <w:pPr/>
      <w:r>
        <w:t>Profit-Based Royalty = (Gross Revenue - Deductible Costs) × Royalty Rate (%)</w:t>
      </w:r>
    </w:p>
    <w:p>
      <w:pPr/>
    </w:p>
    <w:p>
      <w:pPr/>
      <w:r>
        <w:t>Where: Deductible Costs may include opex, capex (depreciated), exploration</w:t>
      </w:r>
    </w:p>
    <w:p>
      <w:r/>
      <w:r>
        <w:rPr>
          <w:b/>
        </w:rPr>
        <w:t>Characteristics:</w:t>
      </w:r>
      <w:r/>
    </w:p>
    <w:p>
      <w:pPr>
        <w:pStyle w:val="ListBullet"/>
      </w:pPr>
      <w:r>
        <w:t>**Progressive with profitability**: Aligns government take with project returns</w:t>
      </w:r>
    </w:p>
    <w:p>
      <w:pPr>
        <w:pStyle w:val="ListBullet"/>
      </w:pPr>
      <w:r>
        <w:t>**Less distortionary**: Does not burden uneconomic production</w:t>
      </w:r>
    </w:p>
    <w:p>
      <w:pPr>
        <w:pStyle w:val="ListBullet"/>
      </w:pPr>
      <w:r>
        <w:t>**Complex administration**: Requires cost verification and audit</w:t>
      </w:r>
    </w:p>
    <w:p>
      <w:pPr>
        <w:pStyle w:val="ListBullet"/>
      </w:pPr>
      <w:r>
        <w:t>**Hybrid nature**: Overlaps with corporate income tax</w:t>
      </w:r>
    </w:p>
    <w:p>
      <w:r/>
      <w:r>
        <w:rPr>
          <w:b/>
        </w:rPr>
        <w:t>Advantages:</w:t>
      </w:r>
      <w:r/>
    </w:p>
    <w:p>
      <w:pPr>
        <w:pStyle w:val="ListBullet"/>
      </w:pPr>
      <w:r>
        <w:t>Economically efficient (targets rent, not gross revenue)</w:t>
      </w:r>
    </w:p>
    <w:p>
      <w:pPr>
        <w:pStyle w:val="ListBullet"/>
      </w:pPr>
      <w:r>
        <w:t>Protects marginal projects during downturns</w:t>
      </w:r>
    </w:p>
    <w:p>
      <w:pPr>
        <w:pStyle w:val="ListBullet"/>
      </w:pPr>
      <w:r>
        <w:t>Aligns state and investor interests</w:t>
      </w:r>
    </w:p>
    <w:p>
      <w:r/>
      <w:r>
        <w:rPr>
          <w:b/>
        </w:rPr>
        <w:t>Disadvantages:</w:t>
      </w:r>
      <w:r/>
    </w:p>
    <w:p>
      <w:pPr>
        <w:pStyle w:val="ListBullet"/>
      </w:pPr>
      <w:r>
        <w:t>Administrative complexity (cost audits, transfer pricing)</w:t>
      </w:r>
    </w:p>
    <w:p>
      <w:pPr>
        <w:pStyle w:val="ListBullet"/>
      </w:pPr>
      <w:r>
        <w:t>Delayed revenue (no payment until profitability)</w:t>
      </w:r>
    </w:p>
    <w:p>
      <w:pPr>
        <w:pStyle w:val="ListBullet"/>
      </w:pPr>
      <w:r>
        <w:t>Potential for cost inflation to reduce royalty base</w:t>
      </w:r>
    </w:p>
    <w:p>
      <w:r/>
      <w:r>
        <w:rPr>
          <w:b/>
        </w:rPr>
        <w:t>Example Structures:</w:t>
      </w:r>
      <w:r/>
    </w:p>
    <w:p>
      <w:pPr>
        <w:pStyle w:val="ListBullet"/>
      </w:pPr>
      <w:r>
        <w:t>**Australia PRRT (Petroleum Resource Rent Tax)**: 40% on project-level excess profits</w:t>
      </w:r>
    </w:p>
    <w:p>
      <w:pPr>
        <w:pStyle w:val="ListBullet"/>
      </w:pPr>
      <w:r>
        <w:t>**Resource rent sliding scales**: Royalty rate varies with R-Factor or IRR</w:t>
      </w:r>
    </w:p>
    <w:p>
      <w:pPr>
        <w:pStyle w:val="ListBullet"/>
      </w:pPr>
      <w:r>
        <w:t>**Hybrid PSC mechanisms**: Government profit share in excess of threshold returns</w:t>
      </w:r>
    </w:p>
    <w:p>
      <w:pPr>
        <w:pStyle w:val="Heading4"/>
      </w:pPr>
      <w:r>
        <w:t>1.4.4 Sliding Scale Royalties</w:t>
      </w:r>
    </w:p>
    <w:p>
      <w:r/>
      <w:r>
        <w:rPr>
          <w:b/>
        </w:rPr>
        <w:t>Definition</w:t>
      </w:r>
      <w:r>
        <w:t xml:space="preserve">: Royalty rate that </w:t>
      </w:r>
      <w:r>
        <w:rPr>
          <w:b/>
        </w:rPr>
        <w:t>varies based on specified triggers</w:t>
      </w:r>
      <w:r>
        <w:t xml:space="preserve"> such as production volume, commodity price, profitability ratio, or field maturity.</w:t>
      </w:r>
    </w:p>
    <w:p>
      <w:r/>
      <w:r>
        <w:rPr>
          <w:b/>
        </w:rPr>
        <w:t>Policy Rationale:</w:t>
      </w:r>
      <w:r/>
    </w:p>
    <w:p>
      <w:r>
        <w:t>Sliding scale royalties address the key weakness of fixed-rate royalties: their inability to capture windfall profits during favorable market conditions while potentially burdening marginal projects during downturns. By adjusting rates based on prices, production volumes, or profitability metrics, sliding scales create a progressive fiscal system that automatically increases government take during periods of high profitability (capturing economic rent) while providing relief during challenging market conditions (protecting investment viability). This mechanism aligns state and investor interests by sharing both upside and downside risks.</w:t>
      </w:r>
    </w:p>
    <w:p>
      <w:r/>
      <w:r>
        <w:rPr>
          <w:b/>
        </w:rPr>
        <w:t>Common Sliding Scale Mechanisms:</w:t>
      </w:r>
      <w:r/>
    </w:p>
    <w:p>
      <w:r/>
      <w:r>
        <w:rPr>
          <w:b/>
        </w:rPr>
        <w:t>A. Price-Based Sliding Scales</w:t>
      </w:r>
      <w:r/>
    </w:p>
    <w:p>
      <w:r>
        <w:t>Rate adjusts with commodity price benchmarks:</w:t>
      </w:r>
    </w:p>
    <w:tbl>
      <w:tblPr>
        <w:tblStyle w:val="LightGrid-Accent1"/>
        <w:tblW w:type="auto" w:w="0"/>
        <w:tblLook w:firstColumn="1" w:firstRow="1" w:lastColumn="0" w:lastRow="0" w:noHBand="0" w:noVBand="1" w:val="04A0"/>
      </w:tblPr>
      <w:tblGrid>
        <w:gridCol w:w="4320"/>
        <w:gridCol w:w="4320"/>
      </w:tblGrid>
      <w:tr>
        <w:tc>
          <w:tcPr>
            <w:tcW w:type="dxa" w:w="4320"/>
          </w:tcPr>
          <w:p>
            <w:r>
              <w:rPr>
                <w:b/>
              </w:rPr>
              <w:t>**Oil Price ($/barrel)**</w:t>
            </w:r>
          </w:p>
        </w:tc>
        <w:tc>
          <w:tcPr>
            <w:tcW w:type="dxa" w:w="4320"/>
          </w:tcPr>
          <w:p>
            <w:r>
              <w:rPr>
                <w:b/>
              </w:rPr>
              <w:t>**Royalty Rate**</w:t>
            </w:r>
          </w:p>
        </w:tc>
      </w:tr>
      <w:tr>
        <w:tc>
          <w:tcPr>
            <w:tcW w:type="dxa" w:w="4320"/>
          </w:tcPr>
          <w:p>
            <w:r>
              <w:t>&lt; $50</w:t>
            </w:r>
          </w:p>
        </w:tc>
        <w:tc>
          <w:tcPr>
            <w:tcW w:type="dxa" w:w="4320"/>
          </w:tcPr>
          <w:p>
            <w:r>
              <w:t>5%</w:t>
            </w:r>
          </w:p>
        </w:tc>
      </w:tr>
      <w:tr>
        <w:tc>
          <w:tcPr>
            <w:tcW w:type="dxa" w:w="4320"/>
          </w:tcPr>
          <w:p>
            <w:r>
              <w:t>$50 - $70</w:t>
            </w:r>
          </w:p>
        </w:tc>
        <w:tc>
          <w:tcPr>
            <w:tcW w:type="dxa" w:w="4320"/>
          </w:tcPr>
          <w:p>
            <w:r>
              <w:t>10%</w:t>
            </w:r>
          </w:p>
        </w:tc>
      </w:tr>
      <w:tr>
        <w:tc>
          <w:tcPr>
            <w:tcW w:type="dxa" w:w="4320"/>
          </w:tcPr>
          <w:p>
            <w:r>
              <w:t>$70 - $90</w:t>
            </w:r>
          </w:p>
        </w:tc>
        <w:tc>
          <w:tcPr>
            <w:tcW w:type="dxa" w:w="4320"/>
          </w:tcPr>
          <w:p>
            <w:r>
              <w:t>15%</w:t>
            </w:r>
          </w:p>
        </w:tc>
      </w:tr>
      <w:tr>
        <w:tc>
          <w:tcPr>
            <w:tcW w:type="dxa" w:w="4320"/>
          </w:tcPr>
          <w:p>
            <w:r>
              <w:t>&gt; $90</w:t>
            </w:r>
          </w:p>
        </w:tc>
        <w:tc>
          <w:tcPr>
            <w:tcW w:type="dxa" w:w="4320"/>
          </w:tcPr>
          <w:p>
            <w:r>
              <w:t>20%</w:t>
            </w:r>
          </w:p>
        </w:tc>
      </w:tr>
    </w:tbl>
    <w:p/>
    <w:p>
      <w:r/>
      <w:r>
        <w:rPr>
          <w:b/>
        </w:rPr>
        <w:t>B. Production Volume Sliding Scales</w:t>
      </w:r>
      <w:r/>
    </w:p>
    <w:p>
      <w:r>
        <w:t>Rate increases with daily or cumulative production: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**Daily Production (bbl/d)**</w:t>
            </w:r>
          </w:p>
        </w:tc>
        <w:tc>
          <w:tcPr>
            <w:tcW w:type="dxa" w:w="4320"/>
          </w:tcPr>
          <w:p>
            <w:r>
              <w:rPr>
                <w:b/>
              </w:rPr>
              <w:t>**Royalty Rate**</w:t>
            </w:r>
          </w:p>
        </w:tc>
      </w:tr>
      <w:tr>
        <w:tc>
          <w:tcPr>
            <w:tcW w:type="dxa" w:w="4320"/>
          </w:tcPr>
          <w:p>
            <w:r>
              <w:t>&lt; 10,000</w:t>
            </w:r>
          </w:p>
        </w:tc>
        <w:tc>
          <w:tcPr>
            <w:tcW w:type="dxa" w:w="4320"/>
          </w:tcPr>
          <w:p>
            <w:r>
              <w:t>5%</w:t>
            </w:r>
          </w:p>
        </w:tc>
      </w:tr>
      <w:tr>
        <w:tc>
          <w:tcPr>
            <w:tcW w:type="dxa" w:w="4320"/>
          </w:tcPr>
          <w:p>
            <w:r>
              <w:t>10,000 - 50,000</w:t>
            </w:r>
          </w:p>
        </w:tc>
        <w:tc>
          <w:tcPr>
            <w:tcW w:type="dxa" w:w="4320"/>
          </w:tcPr>
          <w:p>
            <w:r>
              <w:t>10%</w:t>
            </w:r>
          </w:p>
        </w:tc>
      </w:tr>
      <w:tr>
        <w:tc>
          <w:tcPr>
            <w:tcW w:type="dxa" w:w="4320"/>
          </w:tcPr>
          <w:p>
            <w:r>
              <w:t>50,000 - 100,000</w:t>
            </w:r>
          </w:p>
        </w:tc>
        <w:tc>
          <w:tcPr>
            <w:tcW w:type="dxa" w:w="4320"/>
          </w:tcPr>
          <w:p>
            <w:r>
              <w:t>15%</w:t>
            </w:r>
          </w:p>
        </w:tc>
      </w:tr>
      <w:tr>
        <w:tc>
          <w:tcPr>
            <w:tcW w:type="dxa" w:w="4320"/>
          </w:tcPr>
          <w:p>
            <w:r>
              <w:t>&gt; 100,000</w:t>
            </w:r>
          </w:p>
        </w:tc>
        <w:tc>
          <w:tcPr>
            <w:tcW w:type="dxa" w:w="4320"/>
          </w:tcPr>
          <w:p>
            <w:r>
              <w:t>20%</w:t>
            </w:r>
          </w:p>
        </w:tc>
      </w:tr>
    </w:tbl>
    <w:p/>
    <w:p>
      <w:r/>
      <w:r>
        <w:rPr>
          <w:b/>
        </w:rPr>
        <w:t>C. R-Factor Sliding Scales (Profitability-Based)</w:t>
      </w:r>
      <w:r/>
    </w:p>
    <w:p>
      <w:r>
        <w:t>Rate adjusts based on cumulative revenue-to-cost ratio:</w:t>
      </w:r>
    </w:p>
    <w:p>
      <w:pPr/>
      <w:r>
        <w:t>R-Factor = Cumulative Revenue ÷ Cumulative Costs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**R-Factor**</w:t>
            </w:r>
          </w:p>
        </w:tc>
        <w:tc>
          <w:tcPr>
            <w:tcW w:type="dxa" w:w="4320"/>
          </w:tcPr>
          <w:p>
            <w:r>
              <w:rPr>
                <w:b/>
              </w:rPr>
              <w:t>**Royalty Rate**</w:t>
            </w:r>
          </w:p>
        </w:tc>
      </w:tr>
      <w:tr>
        <w:tc>
          <w:tcPr>
            <w:tcW w:type="dxa" w:w="4320"/>
          </w:tcPr>
          <w:p>
            <w:r>
              <w:t>&lt; 1.0 (cost recovery phase)</w:t>
            </w:r>
          </w:p>
        </w:tc>
        <w:tc>
          <w:tcPr>
            <w:tcW w:type="dxa" w:w="4320"/>
          </w:tcPr>
          <w:p>
            <w:r>
              <w:t>5%</w:t>
            </w:r>
          </w:p>
        </w:tc>
      </w:tr>
      <w:tr>
        <w:tc>
          <w:tcPr>
            <w:tcW w:type="dxa" w:w="4320"/>
          </w:tcPr>
          <w:p>
            <w:r>
              <w:t>1.0 - 1.5</w:t>
            </w:r>
          </w:p>
        </w:tc>
        <w:tc>
          <w:tcPr>
            <w:tcW w:type="dxa" w:w="4320"/>
          </w:tcPr>
          <w:p>
            <w:r>
              <w:t>10%</w:t>
            </w:r>
          </w:p>
        </w:tc>
      </w:tr>
      <w:tr>
        <w:tc>
          <w:tcPr>
            <w:tcW w:type="dxa" w:w="4320"/>
          </w:tcPr>
          <w:p>
            <w:r>
              <w:t>1.5 - 2.5</w:t>
            </w:r>
          </w:p>
        </w:tc>
        <w:tc>
          <w:tcPr>
            <w:tcW w:type="dxa" w:w="4320"/>
          </w:tcPr>
          <w:p>
            <w:r>
              <w:t>15%</w:t>
            </w:r>
          </w:p>
        </w:tc>
      </w:tr>
      <w:tr>
        <w:tc>
          <w:tcPr>
            <w:tcW w:type="dxa" w:w="4320"/>
          </w:tcPr>
          <w:p>
            <w:r>
              <w:t>&gt; 2.5 (highly profitable)</w:t>
            </w:r>
          </w:p>
        </w:tc>
        <w:tc>
          <w:tcPr>
            <w:tcW w:type="dxa" w:w="4320"/>
          </w:tcPr>
          <w:p>
            <w:r>
              <w:t>20%</w:t>
            </w:r>
          </w:p>
        </w:tc>
      </w:tr>
    </w:tbl>
    <w:p/>
    <w:p>
      <w:r/>
      <w:r>
        <w:rPr>
          <w:b/>
        </w:rPr>
        <w:t>D. Field Maturity Sliding Scales</w:t>
      </w:r>
      <w:r/>
    </w:p>
    <w:p>
      <w:r>
        <w:t>Rate varies by production phase:</w:t>
      </w:r>
    </w:p>
    <w:p>
      <w:pPr>
        <w:pStyle w:val="ListBullet"/>
      </w:pPr>
      <w:r>
        <w:t>**Exploration/development phase**: 0% (incentivize investment)</w:t>
      </w:r>
    </w:p>
    <w:p>
      <w:pPr>
        <w:pStyle w:val="ListBullet"/>
      </w:pPr>
      <w:r>
        <w:t>**Plateau production**: 12-15%</w:t>
      </w:r>
    </w:p>
    <w:p>
      <w:pPr>
        <w:pStyle w:val="ListBullet"/>
      </w:pPr>
      <w:r>
        <w:t>**Decline phase**: 8-10% (encourage continued production)</w:t>
      </w:r>
    </w:p>
    <w:p>
      <w:r/>
      <w:r>
        <w:rPr>
          <w:b/>
        </w:rPr>
        <w:t>Advantages:</w:t>
      </w:r>
      <w:r/>
    </w:p>
    <w:p>
      <w:pPr>
        <w:pStyle w:val="ListBullet"/>
      </w:pPr>
      <w:r>
        <w:t>**Progressive**: Higher government take from profitable or high-price scenarios</w:t>
      </w:r>
    </w:p>
    <w:p>
      <w:pPr>
        <w:pStyle w:val="ListBullet"/>
      </w:pPr>
      <w:r>
        <w:t>**Investment-friendly**: Lower rates during marginal economics</w:t>
      </w:r>
    </w:p>
    <w:p>
      <w:pPr>
        <w:pStyle w:val="ListBullet"/>
      </w:pPr>
      <w:r>
        <w:t>**Automatic stabilization**: Built-in fiscal adjustment</w:t>
      </w:r>
    </w:p>
    <w:p>
      <w:r/>
      <w:r>
        <w:rPr>
          <w:b/>
        </w:rPr>
        <w:t>Disadvantages:</w:t>
      </w:r>
      <w:r/>
    </w:p>
    <w:p>
      <w:pPr>
        <w:pStyle w:val="ListBullet"/>
      </w:pPr>
      <w:r>
        <w:t>Complex administration</w:t>
      </w:r>
    </w:p>
    <w:p>
      <w:pPr>
        <w:pStyle w:val="ListBullet"/>
      </w:pPr>
      <w:r>
        <w:t>Rate volatility can complicate financial planning</w:t>
      </w:r>
    </w:p>
    <w:p>
      <w:pPr>
        <w:pStyle w:val="ListBullet"/>
      </w:pPr>
      <w:r>
        <w:t>Threshold manipulation risks</w:t>
      </w:r>
    </w:p>
    <w:p>
      <w:r/>
      <w:r>
        <w:rPr>
          <w:b/>
        </w:rPr>
        <w:t>Example Jurisdictions:</w:t>
      </w:r>
      <w:r/>
    </w:p>
    <w:p>
      <w:pPr>
        <w:pStyle w:val="ListBullet"/>
      </w:pPr>
      <w:r>
        <w:t>**Alberta, Canada**: Crown royalty rates 5-40% (price and production-based)</w:t>
      </w:r>
    </w:p>
    <w:p>
      <w:pPr>
        <w:pStyle w:val="ListBullet"/>
      </w:pPr>
      <w:r>
        <w:t>**UK (historical)**: Royalty rates varied by field and license vintage</w:t>
      </w:r>
    </w:p>
    <w:p>
      <w:pPr>
        <w:pStyle w:val="ListBullet"/>
      </w:pPr>
      <w:r>
        <w:t>**Angola**: Production volume-based sliding scales in some PSCs</w:t>
      </w:r>
    </w:p>
    <w:p>
      <w:pPr>
        <w:pStyle w:val="ListBullet"/>
      </w:pPr>
      <w:r>
        <w:t>**Brazil**: Sliding scale 10-15% based on location, depth, production volume</w:t>
      </w:r>
    </w:p>
    <w:p>
      <w:r>
        <w:t>---</w:t>
      </w:r>
    </w:p>
    <w:p>
      <w:pPr>
        <w:pStyle w:val="Heading2"/>
      </w:pPr>
      <w:r>
        <w:t>2. Technical Rules and Tax Treatment</w:t>
      </w:r>
    </w:p>
    <w:p>
      <w:pPr>
        <w:pStyle w:val="Heading3"/>
      </w:pPr>
      <w:r>
        <w:t>2.1 Calculation Methods and Valuation Points</w:t>
      </w:r>
    </w:p>
    <w:p>
      <w:pPr>
        <w:pStyle w:val="Heading4"/>
      </w:pPr>
      <w:r>
        <w:t>2.1.1 Gross Revenue Determination</w:t>
      </w:r>
    </w:p>
    <w:p>
      <w:r>
        <w:t xml:space="preserve">The </w:t>
      </w:r>
      <w:r>
        <w:rPr>
          <w:b/>
        </w:rPr>
        <w:t>gross revenue</w:t>
      </w:r>
      <w:r>
        <w:t xml:space="preserve"> base for ad valorem royalties requires precise valuation:</w:t>
      </w:r>
    </w:p>
    <w:p>
      <w:r/>
      <w:r>
        <w:rPr>
          <w:b/>
        </w:rPr>
        <w:t>Valuation Points:</w:t>
      </w:r>
      <w:r/>
    </w:p>
    <w:p>
      <w:pPr>
        <w:pStyle w:val="ListNumber"/>
      </w:pPr>
      <w:r>
        <w:t>**Wellhead/Pithead Value (Raw Production)**</w:t>
      </w:r>
    </w:p>
    <w:p>
      <w:r>
        <w:t xml:space="preserve">   - Requires adjustment for quality, transport, processing costs</w:t>
      </w:r>
    </w:p>
    <w:p>
      <w:r>
        <w:t xml:space="preserve">   - Common in upstream petroleum royalties</w:t>
      </w:r>
    </w:p>
    <w:p>
      <w:pPr>
        <w:pStyle w:val="ListNumber"/>
      </w:pPr>
      <w:r>
        <w:t>**Sales Point Value (Realized Price)**</w:t>
      </w:r>
    </w:p>
    <w:p>
      <w:r>
        <w:t xml:space="preserve">   - Reflects market conditions</w:t>
      </w:r>
    </w:p>
    <w:p>
      <w:r>
        <w:t xml:space="preserve">   - May include netback adjustments for transport</w:t>
      </w:r>
    </w:p>
    <w:p>
      <w:pPr>
        <w:pStyle w:val="ListNumber"/>
      </w:pPr>
      <w:r>
        <w:t>**Reference Price (Posted/Benchmark)**</w:t>
      </w:r>
    </w:p>
    <w:p>
      <w:r>
        <w:t xml:space="preserve">   - Adjusted for quality differentials</w:t>
      </w:r>
    </w:p>
    <w:p>
      <w:r>
        <w:t xml:space="preserve">   - Reduces valuation disputes</w:t>
      </w:r>
    </w:p>
    <w:p>
      <w:r/>
      <w:r>
        <w:rPr>
          <w:b/>
        </w:rPr>
        <w:t>Transfer Pricing Considerations:</w:t>
      </w:r>
      <w:r/>
    </w:p>
    <w:p>
      <w:pPr>
        <w:pStyle w:val="ListBullet"/>
      </w:pPr>
      <w:r>
        <w:t>Related-party sales: Must be at **arm's length value**</w:t>
      </w:r>
    </w:p>
    <w:p>
      <w:pPr>
        <w:pStyle w:val="ListBullet"/>
      </w:pPr>
      <w:r>
        <w:t>**Comparable Uncontrolled Price (CUP)** method preferred</w:t>
      </w:r>
    </w:p>
    <w:p>
      <w:pPr>
        <w:pStyle w:val="ListBullet"/>
      </w:pPr>
      <w:r>
        <w:t>Quality adjustments: American Petroleum Institute (API) gravity, sulfur content (petroleum); grade, impurities (minerals)</w:t>
      </w:r>
    </w:p>
    <w:p>
      <w:r/>
      <w:r>
        <w:rPr>
          <w:b/>
        </w:rPr>
        <w:t>Formula (Netback Method):</w:t>
      </w:r>
      <w:r/>
    </w:p>
    <w:p>
      <w:pPr/>
      <w:r>
        <w:t>Wellhead Value = Sales Price - Transport Costs - Processing Costs - Marketing Costs</w:t>
      </w:r>
    </w:p>
    <w:p>
      <w:pPr/>
    </w:p>
    <w:p>
      <w:pPr/>
      <w:r>
        <w:t>Royalty = (Wellhead Value × Production Volume) × Royalty Rate %</w:t>
      </w:r>
    </w:p>
    <w:p>
      <w:pPr>
        <w:pStyle w:val="Heading4"/>
      </w:pPr>
      <w:r>
        <w:t>2.1.2 Timing of Royalty Liability</w:t>
      </w:r>
    </w:p>
    <w:p>
      <w:r/>
      <w:r>
        <w:rPr>
          <w:b/>
        </w:rPr>
        <w:t>Accrual vs. Cash Basis:</w:t>
      </w:r>
      <w:r/>
    </w:p>
    <w:p>
      <w:pPr>
        <w:pStyle w:val="ListBullet"/>
      </w:pPr>
      <w:r>
        <w:t>**Production-based**: Liability arises when hydrocarbons/minerals extracted</w:t>
      </w:r>
    </w:p>
    <w:p>
      <w:pPr>
        <w:pStyle w:val="ListBullet"/>
      </w:pPr>
      <w:r>
        <w:t>**Sales-based**: Liability arises upon sale or lifting</w:t>
      </w:r>
    </w:p>
    <w:p>
      <w:pPr>
        <w:pStyle w:val="ListBullet"/>
      </w:pPr>
      <w:r>
        <w:t>**Hybrid**: Deemed lifting rules (inventory valuation)</w:t>
      </w:r>
    </w:p>
    <w:p>
      <w:r/>
      <w:r>
        <w:rPr>
          <w:b/>
        </w:rPr>
        <w:t>Payment Frequency:</w:t>
      </w:r>
      <w:r/>
    </w:p>
    <w:p>
      <w:pPr>
        <w:pStyle w:val="ListBullet"/>
      </w:pPr>
      <w:r>
        <w:t>Monthly: Most common (petroleum)</w:t>
      </w:r>
    </w:p>
    <w:p>
      <w:pPr>
        <w:pStyle w:val="ListBullet"/>
      </w:pPr>
      <w:r>
        <w:t>Quarterly: Typical for minerals</w:t>
      </w:r>
    </w:p>
    <w:p>
      <w:pPr>
        <w:pStyle w:val="ListBullet"/>
      </w:pPr>
      <w:r>
        <w:t>Annual: Rare (except low-production fields)</w:t>
      </w:r>
    </w:p>
    <w:p>
      <w:r/>
      <w:r>
        <w:rPr>
          <w:b/>
        </w:rPr>
        <w:t>Example (UK Historical System - Pre-2003):</w:t>
      </w:r>
      <w:r/>
    </w:p>
    <w:p>
      <w:pPr>
        <w:pStyle w:val="ListBullet"/>
      </w:pPr>
      <w:r>
        <w:t>Royalty liability: 12.5% of wellhead value</w:t>
      </w:r>
    </w:p>
    <w:p>
      <w:pPr>
        <w:pStyle w:val="ListBullet"/>
      </w:pPr>
      <w:r>
        <w:t>Calculated monthly</w:t>
      </w:r>
    </w:p>
    <w:p>
      <w:pPr>
        <w:pStyle w:val="ListBullet"/>
      </w:pPr>
      <w:r>
        <w:t>Paid within one month following production month</w:t>
      </w:r>
    </w:p>
    <w:p>
      <w:pPr>
        <w:pStyle w:val="ListBullet"/>
      </w:pPr>
      <w:r>
        <w:t>Abolished January 2003 (replaced by supplementary charge)</w:t>
      </w:r>
    </w:p>
    <w:p>
      <w:pPr>
        <w:pStyle w:val="Heading4"/>
      </w:pPr>
      <w:r>
        <w:t>2.1.3 In-Kind vs. Cash Royalties</w:t>
      </w:r>
    </w:p>
    <w:p>
      <w:r/>
      <w:r>
        <w:rPr>
          <w:b/>
        </w:rPr>
        <w:t>In-Kind Royalties:</w:t>
      </w:r>
      <w:r/>
    </w:p>
    <w:p>
      <w:pPr>
        <w:pStyle w:val="ListBullet"/>
      </w:pPr>
      <w:r>
        <w:t>Government receives **physical share of production** (barrels, tonnes)</w:t>
      </w:r>
    </w:p>
    <w:p>
      <w:pPr>
        <w:pStyle w:val="ListBullet"/>
      </w:pPr>
      <w:r>
        <w:t>Common in PSC regimes (Indonesia, Malaysia, Angola)</w:t>
      </w:r>
    </w:p>
    <w:p>
      <w:pPr>
        <w:pStyle w:val="ListBullet"/>
      </w:pPr>
      <w:r>
        <w:t>Government responsibility: Marketing, transport, sale</w:t>
      </w:r>
    </w:p>
    <w:p>
      <w:pPr>
        <w:pStyle w:val="ListBullet"/>
      </w:pPr>
      <w:r>
        <w:t>Valuation for accounting: At reference price or actual sale price</w:t>
      </w:r>
    </w:p>
    <w:p>
      <w:r/>
      <w:r>
        <w:rPr>
          <w:b/>
        </w:rPr>
        <w:t>Cash Royalties:</w:t>
      </w:r>
      <w:r/>
    </w:p>
    <w:p>
      <w:pPr>
        <w:pStyle w:val="ListBullet"/>
      </w:pPr>
      <w:r>
        <w:t>Monetary payment equivalent to royalty percentage</w:t>
      </w:r>
    </w:p>
    <w:p>
      <w:pPr>
        <w:pStyle w:val="ListBullet"/>
      </w:pPr>
      <w:r>
        <w:t>Operator responsibility: Marketing and sale</w:t>
      </w:r>
    </w:p>
    <w:p>
      <w:pPr>
        <w:pStyle w:val="ListBullet"/>
      </w:pPr>
      <w:r>
        <w:t>Valuation: Based on operator's realized sales price (or reference)</w:t>
      </w:r>
    </w:p>
    <w:p>
      <w:r/>
      <w:r>
        <w:rPr>
          <w:b/>
        </w:rPr>
        <w:t>Conversion Mechanism (PSC Example):</w:t>
      </w:r>
      <w:r/>
    </w:p>
    <w:p>
      <w:pPr/>
      <w:r>
        <w:t>In-kind royalty: 10% of gross production (500,000 barrels)</w:t>
      </w:r>
    </w:p>
    <w:p>
      <w:pPr/>
      <w:r>
        <w:t>= Government receives 50,000 barrels physically</w:t>
      </w:r>
    </w:p>
    <w:p>
      <w:pPr/>
    </w:p>
    <w:p>
      <w:pPr/>
      <w:r>
        <w:t>Cash equivalent: 500,000 barrels × $80/bbl × 10% = $4,000,000</w:t>
      </w:r>
    </w:p>
    <w:p>
      <w:pPr>
        <w:pStyle w:val="Heading3"/>
      </w:pPr>
      <w:r>
        <w:t>2.2 Deductibility for Corporate Income Tax</w:t>
      </w:r>
    </w:p>
    <w:p>
      <w:pPr>
        <w:pStyle w:val="Heading4"/>
      </w:pPr>
      <w:r>
        <w:t>2.2.1 General Principles</w:t>
      </w:r>
    </w:p>
    <w:p>
      <w:r>
        <w:t xml:space="preserve">Extraction royalties are typically </w:t>
      </w:r>
      <w:r>
        <w:rPr>
          <w:b/>
        </w:rPr>
        <w:t>deductible expenses</w:t>
      </w:r>
      <w:r>
        <w:t xml:space="preserve"> for corporate income tax purposes:</w:t>
      </w:r>
    </w:p>
    <w:p>
      <w:r/>
      <w:r>
        <w:rPr>
          <w:b/>
        </w:rPr>
        <w:t>Rationale:</w:t>
      </w:r>
      <w:r/>
    </w:p>
    <w:p>
      <w:pPr>
        <w:pStyle w:val="ListBullet"/>
      </w:pPr>
      <w:r>
        <w:t>Royalty is payment for resource acquisition (cost of sales)</w:t>
      </w:r>
    </w:p>
    <w:p>
      <w:pPr>
        <w:pStyle w:val="ListBullet"/>
      </w:pPr>
      <w:r>
        <w:t>Similar to rent for property use</w:t>
      </w:r>
    </w:p>
    <w:p>
      <w:pPr>
        <w:pStyle w:val="ListBullet"/>
      </w:pPr>
      <w:r>
        <w:t>Not a tax (though economically equivalent)</w:t>
      </w:r>
    </w:p>
    <w:p>
      <w:r/>
      <w:r>
        <w:rPr>
          <w:b/>
        </w:rPr>
        <w:t>Formula:</w:t>
      </w:r>
      <w:r/>
    </w:p>
    <w:p>
      <w:pPr/>
      <w:r>
        <w:t>Taxable Profit = Gross Revenue - Royalty - Operating Costs - Capital Allowances</w:t>
      </w:r>
    </w:p>
    <w:p>
      <w:pPr/>
    </w:p>
    <w:p>
      <w:pPr/>
      <w:r>
        <w:t>Corporate Tax = Taxable Profit × CIT Rate</w:t>
      </w:r>
    </w:p>
    <w:p>
      <w:pPr>
        <w:pStyle w:val="Heading4"/>
      </w:pPr>
      <w:r>
        <w:t>2.2.2 Jurisdictional Variations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**Jurisdiction**</w:t>
            </w:r>
          </w:p>
        </w:tc>
        <w:tc>
          <w:tcPr>
            <w:tcW w:type="dxa" w:w="2880"/>
          </w:tcPr>
          <w:p>
            <w:r>
              <w:rPr>
                <w:b/>
              </w:rPr>
              <w:t>**Royalty Deductibility**</w:t>
            </w:r>
          </w:p>
        </w:tc>
        <w:tc>
          <w:tcPr>
            <w:tcW w:type="dxa" w:w="2880"/>
          </w:tcPr>
          <w:p>
            <w:r>
              <w:rPr>
                <w:b/>
              </w:rPr>
              <w:t>**Impact on Effective Tax Rate**</w:t>
            </w:r>
          </w:p>
        </w:tc>
      </w:tr>
      <w:tr>
        <w:tc>
          <w:tcPr>
            <w:tcW w:type="dxa" w:w="2880"/>
          </w:tcPr>
          <w:p>
            <w:r>
              <w:t>**UK (pre-2003)**</w:t>
            </w:r>
          </w:p>
        </w:tc>
        <w:tc>
          <w:tcPr>
            <w:tcW w:type="dxa" w:w="2880"/>
          </w:tcPr>
          <w:p>
            <w:r>
              <w:t>Deductible for PRT and Corporation Tax</w:t>
            </w:r>
          </w:p>
        </w:tc>
        <w:tc>
          <w:tcPr>
            <w:tcW w:type="dxa" w:w="2880"/>
          </w:tcPr>
          <w:p>
            <w:r>
              <w:t>Effective relief: 12.5% × (1 - tax rate)</w:t>
            </w:r>
          </w:p>
        </w:tc>
      </w:tr>
      <w:tr>
        <w:tc>
          <w:tcPr>
            <w:tcW w:type="dxa" w:w="2880"/>
          </w:tcPr>
          <w:p>
            <w:r>
              <w:t>**Norway**</w:t>
            </w:r>
          </w:p>
        </w:tc>
        <w:tc>
          <w:tcPr>
            <w:tcW w:type="dxa" w:w="2880"/>
          </w:tcPr>
          <w:p>
            <w:r>
              <w:t>No royalties (replaced by high CIT + SPT)</w:t>
            </w:r>
          </w:p>
        </w:tc>
        <w:tc>
          <w:tcPr>
            <w:tcW w:type="dxa" w:w="2880"/>
          </w:tcPr>
          <w:p>
            <w:r>
              <w:t>N/A</w:t>
            </w:r>
          </w:p>
        </w:tc>
      </w:tr>
      <w:tr>
        <w:tc>
          <w:tcPr>
            <w:tcW w:type="dxa" w:w="2880"/>
          </w:tcPr>
          <w:p>
            <w:r>
              <w:t>**Ghana**</w:t>
            </w:r>
          </w:p>
        </w:tc>
        <w:tc>
          <w:tcPr>
            <w:tcW w:type="dxa" w:w="2880"/>
          </w:tcPr>
          <w:p>
            <w:r>
              <w:t>5% royalty deductible for CIT (35%)</w:t>
            </w:r>
          </w:p>
        </w:tc>
        <w:tc>
          <w:tcPr>
            <w:tcW w:type="dxa" w:w="2880"/>
          </w:tcPr>
          <w:p>
            <w:r>
              <w:t>Net cost: 5% × (1 - 0.35) = 3.25%</w:t>
            </w:r>
          </w:p>
        </w:tc>
      </w:tr>
      <w:tr>
        <w:tc>
          <w:tcPr>
            <w:tcW w:type="dxa" w:w="2880"/>
          </w:tcPr>
          <w:p>
            <w:r>
              <w:t>**Australia**</w:t>
            </w:r>
          </w:p>
        </w:tc>
        <w:tc>
          <w:tcPr>
            <w:tcW w:type="dxa" w:w="2880"/>
          </w:tcPr>
          <w:p>
            <w:r>
              <w:t>State royalties deductible for federal CIT</w:t>
            </w:r>
          </w:p>
        </w:tc>
        <w:tc>
          <w:tcPr>
            <w:tcW w:type="dxa" w:w="2880"/>
          </w:tcPr>
          <w:p>
            <w:r>
              <w:t>Net cost varies by state</w:t>
            </w:r>
          </w:p>
        </w:tc>
      </w:tr>
      <w:tr>
        <w:tc>
          <w:tcPr>
            <w:tcW w:type="dxa" w:w="2880"/>
          </w:tcPr>
          <w:p>
            <w:r>
              <w:t>**USA**</w:t>
            </w:r>
          </w:p>
        </w:tc>
        <w:tc>
          <w:tcPr>
            <w:tcW w:type="dxa" w:w="2880"/>
          </w:tcPr>
          <w:p>
            <w:r>
              <w:t>Generally deductible (subject to state rules)</w:t>
            </w:r>
          </w:p>
        </w:tc>
        <w:tc>
          <w:tcPr>
            <w:tcW w:type="dxa" w:w="2880"/>
          </w:tcPr>
          <w:p>
            <w:r>
              <w:t>Varies by state and federal interaction</w:t>
            </w:r>
          </w:p>
        </w:tc>
      </w:tr>
      <w:tr>
        <w:tc>
          <w:tcPr>
            <w:tcW w:type="dxa" w:w="2880"/>
          </w:tcPr>
          <w:p>
            <w:r>
              <w:t>**Indonesia (PSC)**</w:t>
            </w:r>
          </w:p>
        </w:tc>
        <w:tc>
          <w:tcPr>
            <w:tcW w:type="dxa" w:w="2880"/>
          </w:tcPr>
          <w:p>
            <w:r>
              <w:t>In-lieu arrangement (no separate CIT)</w:t>
            </w:r>
          </w:p>
        </w:tc>
        <w:tc>
          <w:tcPr>
            <w:tcW w:type="dxa" w:w="2880"/>
          </w:tcPr>
          <w:p>
            <w:r>
              <w:t>Royalty part of government take</w:t>
            </w:r>
          </w:p>
        </w:tc>
      </w:tr>
    </w:tbl>
    <w:p/>
    <w:p>
      <w:pPr>
        <w:pStyle w:val="Heading4"/>
      </w:pPr>
      <w:r>
        <w:t>2.2.3 Effective Government Take Calculation</w:t>
      </w:r>
    </w:p>
    <w:p>
      <w:r/>
      <w:r>
        <w:rPr>
          <w:b/>
        </w:rPr>
        <w:t>Combined Impact of Royalty and CIT:</w:t>
      </w:r>
      <w:r/>
    </w:p>
    <w:p>
      <w:pPr/>
      <w:r>
        <w:t>Effective Government Take = Royalty + (Income Tax on Post-Royalty Profit)</w:t>
      </w:r>
    </w:p>
    <w:p>
      <w:pPr/>
    </w:p>
    <w:p>
      <w:pPr/>
      <w:r>
        <w:t>= R + [(Revenue - R - Costs) × T]</w:t>
      </w:r>
    </w:p>
    <w:p>
      <w:pPr/>
    </w:p>
    <w:p>
      <w:pPr/>
      <w:r>
        <w:t>Where:</w:t>
      </w:r>
    </w:p>
    <w:p>
      <w:pPr/>
      <w:r>
        <w:t>R = Royalty (% of revenue)</w:t>
      </w:r>
    </w:p>
    <w:p>
      <w:pPr/>
      <w:r>
        <w:t>T = Corporate tax rate</w:t>
      </w:r>
    </w:p>
    <w:p>
      <w:r/>
      <w:r>
        <w:rPr>
          <w:b/>
        </w:rPr>
        <w:t>Example:</w:t>
      </w:r>
      <w:r/>
    </w:p>
    <w:p>
      <w:pPr/>
      <w:r>
        <w:t>Revenue: $100m</w:t>
      </w:r>
    </w:p>
    <w:p>
      <w:pPr/>
      <w:r>
        <w:t>Royalty: 10% ($10m)</w:t>
      </w:r>
    </w:p>
    <w:p>
      <w:pPr/>
      <w:r>
        <w:t>Costs: $50m</w:t>
      </w:r>
    </w:p>
    <w:p>
      <w:pPr/>
      <w:r>
        <w:t>CIT rate: 30%</w:t>
      </w:r>
    </w:p>
    <w:p>
      <w:pPr/>
    </w:p>
    <w:p>
      <w:pPr/>
      <w:r>
        <w:t>Taxable profit = $100m - $10m - $50m = $40m</w:t>
      </w:r>
    </w:p>
    <w:p>
      <w:pPr/>
      <w:r>
        <w:t>CIT = $40m × 30% = $12m</w:t>
      </w:r>
    </w:p>
    <w:p>
      <w:pPr/>
    </w:p>
    <w:p>
      <w:pPr/>
      <w:r>
        <w:t>Total government take = $10m (royalty) + $12m (CIT) = $22m (22% of revenue)</w:t>
      </w:r>
    </w:p>
    <w:p>
      <w:pPr/>
    </w:p>
    <w:p>
      <w:pPr/>
      <w:r>
        <w:t>Net contractor profit = $100m - $10m - $50m - $12m = $28m</w:t>
      </w:r>
    </w:p>
    <w:p>
      <w:r/>
      <w:r>
        <w:rPr>
          <w:b/>
        </w:rPr>
        <w:t>Note:</w:t>
      </w:r>
      <w:r>
        <w:t xml:space="preserve"> Royalty deductibility reduces the effective government take from royalties by the CIT rate:</w:t>
      </w:r>
    </w:p>
    <w:p>
      <w:pPr/>
      <w:r>
        <w:t>Net royalty cost to contractor = 10% × (1 - 0.30) = 7% of revenue (in tax terms)</w:t>
      </w:r>
    </w:p>
    <w:p>
      <w:pPr>
        <w:pStyle w:val="Heading3"/>
      </w:pPr>
      <w:r>
        <w:t>2.3 Withholding Tax Treatment</w:t>
      </w:r>
    </w:p>
    <w:p>
      <w:pPr>
        <w:pStyle w:val="Heading4"/>
      </w:pPr>
      <w:r>
        <w:t>2.3.1 Extraction Royalties - WHT Treatment</w:t>
      </w:r>
    </w:p>
    <w:p>
      <w:r/>
      <w:r>
        <w:rPr>
          <w:b/>
        </w:rPr>
        <w:t>General Position:</w:t>
      </w:r>
      <w:r/>
    </w:p>
    <w:p>
      <w:pPr>
        <w:pStyle w:val="ListBullet"/>
      </w:pPr>
      <w:r>
        <w:t>Extraction royalties **generally NOT subject to withholding tax**</w:t>
      </w:r>
    </w:p>
    <w:p>
      <w:pPr>
        <w:pStyle w:val="ListBullet"/>
      </w:pPr>
      <w:r>
        <w:t>Characterized as payment for property/resource, not passive income</w:t>
      </w:r>
    </w:p>
    <w:p>
      <w:pPr>
        <w:pStyle w:val="ListBullet"/>
      </w:pPr>
      <w:r>
        <w:t>Treaty treatment under Article 6 (Immovable Property) or Article 21 (Other Income)</w:t>
      </w:r>
    </w:p>
    <w:p>
      <w:pPr>
        <w:pStyle w:val="ListBullet"/>
      </w:pPr>
      <w:r>
        <w:t>No withholding obligation in most jurisdictions</w:t>
      </w:r>
    </w:p>
    <w:p>
      <w:r/>
      <w:r>
        <w:rPr>
          <w:b/>
        </w:rPr>
        <w:t>Exceptions:</w:t>
      </w:r>
      <w:r/>
    </w:p>
    <w:p>
      <w:pPr>
        <w:pStyle w:val="ListBullet"/>
      </w:pPr>
      <w:r>
        <w:t>Some jurisdictions may impose WHT on state-owned resource payments</w:t>
      </w:r>
    </w:p>
    <w:p>
      <w:pPr>
        <w:pStyle w:val="ListBullet"/>
      </w:pPr>
      <w:r>
        <w:t>Private land royalties (non-state) may be subject to WHT as property income</w:t>
      </w:r>
    </w:p>
    <w:p>
      <w:pPr>
        <w:pStyle w:val="Heading4"/>
      </w:pPr>
      <w:r>
        <w:t>2.3.2 IP Royalties - WHT Treatment</w:t>
      </w:r>
    </w:p>
    <w:p>
      <w:r/>
      <w:r>
        <w:rPr>
          <w:b/>
        </w:rPr>
        <w:t>General Position:</w:t>
      </w:r>
      <w:r/>
    </w:p>
    <w:p>
      <w:pPr>
        <w:pStyle w:val="ListBullet"/>
      </w:pPr>
      <w:r>
        <w:t>IP royalties **subject to withholding tax** under domestic law</w:t>
      </w:r>
    </w:p>
    <w:p>
      <w:pPr>
        <w:pStyle w:val="ListBullet"/>
      </w:pPr>
      <w:r>
        <w:t>Classified as "royalties" under OECD Model Article 12</w:t>
      </w:r>
    </w:p>
    <w:p>
      <w:pPr>
        <w:pStyle w:val="ListBullet"/>
      </w:pPr>
      <w:r>
        <w:t>Domestic WHT rates: Typically 10-30%</w:t>
      </w:r>
    </w:p>
    <w:p>
      <w:pPr>
        <w:pStyle w:val="ListBullet"/>
      </w:pPr>
      <w:r>
        <w:t>Treaty relief available (often 0-15%)</w:t>
      </w:r>
    </w:p>
    <w:p>
      <w:r/>
      <w:r>
        <w:rPr>
          <w:b/>
        </w:rPr>
        <w:t>OECD Model Tax Convention - Article 12:</w:t>
      </w:r>
      <w:r/>
    </w:p>
    <w:p>
      <w:r/>
      <w:r>
        <w:rPr>
          <w:b/>
        </w:rPr>
        <w:t>Definition (Article 12(2)):</w:t>
      </w:r>
      <w:r/>
    </w:p>
    <w:p>
      <w:r>
        <w:t>&gt; "The term 'royalties' means payments of any kind received as consideration for the use of, or the right to use, any patent, trademark, design or model, plan, secret formula or process, or for information concerning industrial, commercial or scientific experience."</w:t>
      </w:r>
    </w:p>
    <w:p>
      <w:r/>
      <w:r>
        <w:rPr>
          <w:b/>
        </w:rPr>
        <w:t>Taxation Rights:</w:t>
      </w:r>
      <w:r/>
    </w:p>
    <w:p>
      <w:pPr>
        <w:pStyle w:val="ListBullet"/>
      </w:pPr>
      <w:r>
        <w:t>**Residence state**: Primary taxation right (Article 12(1))</w:t>
      </w:r>
    </w:p>
    <w:p>
      <w:pPr>
        <w:pStyle w:val="ListBullet"/>
      </w:pPr>
      <w:r>
        <w:t>**Source state**: May impose WHT at treaty-limited rate (typically 0-10%)</w:t>
      </w:r>
    </w:p>
    <w:p>
      <w:pPr>
        <w:pStyle w:val="ListBullet"/>
      </w:pPr>
      <w:r>
        <w:t>**Credit method**: Residence state provides foreign tax credit</w:t>
      </w:r>
    </w:p>
    <w:p>
      <w:r/>
      <w:r>
        <w:rPr>
          <w:b/>
        </w:rPr>
        <w:t>Example WHT Rates (IP Royalties):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**Treaty Pairing**</w:t>
            </w:r>
          </w:p>
        </w:tc>
        <w:tc>
          <w:tcPr>
            <w:tcW w:type="dxa" w:w="2160"/>
          </w:tcPr>
          <w:p>
            <w:r>
              <w:rPr>
                <w:b/>
              </w:rPr>
              <w:t>**Domestic WHT**</w:t>
            </w:r>
          </w:p>
        </w:tc>
        <w:tc>
          <w:tcPr>
            <w:tcW w:type="dxa" w:w="2160"/>
          </w:tcPr>
          <w:p>
            <w:r>
              <w:rPr>
                <w:b/>
              </w:rPr>
              <w:t>**Treaty WHT**</w:t>
            </w:r>
          </w:p>
        </w:tc>
        <w:tc>
          <w:tcPr>
            <w:tcW w:type="dxa" w:w="2160"/>
          </w:tcPr>
          <w:p>
            <w:r>
              <w:rPr>
                <w:b/>
              </w:rPr>
              <w:t>**Reduction**</w:t>
            </w:r>
          </w:p>
        </w:tc>
      </w:tr>
      <w:tr>
        <w:tc>
          <w:tcPr>
            <w:tcW w:type="dxa" w:w="2160"/>
          </w:tcPr>
          <w:p>
            <w:r>
              <w:t>**UK-Netherlands**</w:t>
            </w:r>
          </w:p>
        </w:tc>
        <w:tc>
          <w:tcPr>
            <w:tcW w:type="dxa" w:w="2160"/>
          </w:tcPr>
          <w:p>
            <w:r>
              <w:t>20% (UK)</w:t>
            </w:r>
          </w:p>
        </w:tc>
        <w:tc>
          <w:tcPr>
            <w:tcW w:type="dxa" w:w="2160"/>
          </w:tcPr>
          <w:p>
            <w:r>
              <w:t>0%</w:t>
            </w:r>
          </w:p>
        </w:tc>
        <w:tc>
          <w:tcPr>
            <w:tcW w:type="dxa" w:w="2160"/>
          </w:tcPr>
          <w:p>
            <w:r>
              <w:t>Full exemption</w:t>
            </w:r>
          </w:p>
        </w:tc>
      </w:tr>
      <w:tr>
        <w:tc>
          <w:tcPr>
            <w:tcW w:type="dxa" w:w="2160"/>
          </w:tcPr>
          <w:p>
            <w:r>
              <w:t>**USA-UK**</w:t>
            </w:r>
          </w:p>
        </w:tc>
        <w:tc>
          <w:tcPr>
            <w:tcW w:type="dxa" w:w="2160"/>
          </w:tcPr>
          <w:p>
            <w:r>
              <w:t>30% (USA)</w:t>
            </w:r>
          </w:p>
        </w:tc>
        <w:tc>
          <w:tcPr>
            <w:tcW w:type="dxa" w:w="2160"/>
          </w:tcPr>
          <w:p>
            <w:r>
              <w:t>0%</w:t>
            </w:r>
          </w:p>
        </w:tc>
        <w:tc>
          <w:tcPr>
            <w:tcW w:type="dxa" w:w="2160"/>
          </w:tcPr>
          <w:p>
            <w:r>
              <w:t>Full exemption</w:t>
            </w:r>
          </w:p>
        </w:tc>
      </w:tr>
      <w:tr>
        <w:tc>
          <w:tcPr>
            <w:tcW w:type="dxa" w:w="2160"/>
          </w:tcPr>
          <w:p>
            <w:r>
              <w:t>**Ghana-UK**</w:t>
            </w:r>
          </w:p>
        </w:tc>
        <w:tc>
          <w:tcPr>
            <w:tcW w:type="dxa" w:w="2160"/>
          </w:tcPr>
          <w:p>
            <w:r>
              <w:t>15% (Ghana)</w:t>
            </w:r>
          </w:p>
        </w:tc>
        <w:tc>
          <w:tcPr>
            <w:tcW w:type="dxa" w:w="2160"/>
          </w:tcPr>
          <w:p>
            <w:r>
              <w:t>10%</w:t>
            </w:r>
          </w:p>
        </w:tc>
        <w:tc>
          <w:tcPr>
            <w:tcW w:type="dxa" w:w="2160"/>
          </w:tcPr>
          <w:p>
            <w:r>
              <w:t>5% reduction</w:t>
            </w:r>
          </w:p>
        </w:tc>
      </w:tr>
      <w:tr>
        <w:tc>
          <w:tcPr>
            <w:tcW w:type="dxa" w:w="2160"/>
          </w:tcPr>
          <w:p>
            <w:r>
              <w:t>**Indonesia-Singapore**</w:t>
            </w:r>
          </w:p>
        </w:tc>
        <w:tc>
          <w:tcPr>
            <w:tcW w:type="dxa" w:w="2160"/>
          </w:tcPr>
          <w:p>
            <w:r>
              <w:t>20% (Indonesia)</w:t>
            </w:r>
          </w:p>
        </w:tc>
        <w:tc>
          <w:tcPr>
            <w:tcW w:type="dxa" w:w="2160"/>
          </w:tcPr>
          <w:p>
            <w:r>
              <w:t>15%</w:t>
            </w:r>
          </w:p>
        </w:tc>
        <w:tc>
          <w:tcPr>
            <w:tcW w:type="dxa" w:w="2160"/>
          </w:tcPr>
          <w:p>
            <w:r>
              <w:t>5% reduction</w:t>
            </w:r>
          </w:p>
        </w:tc>
      </w:tr>
      <w:tr>
        <w:tc>
          <w:tcPr>
            <w:tcW w:type="dxa" w:w="2160"/>
          </w:tcPr>
          <w:p>
            <w:r>
              <w:t>**Australia-Malaysia**</w:t>
            </w:r>
          </w:p>
        </w:tc>
        <w:tc>
          <w:tcPr>
            <w:tcW w:type="dxa" w:w="2160"/>
          </w:tcPr>
          <w:p>
            <w:r>
              <w:t>30% (Australia)</w:t>
            </w:r>
          </w:p>
        </w:tc>
        <w:tc>
          <w:tcPr>
            <w:tcW w:type="dxa" w:w="2160"/>
          </w:tcPr>
          <w:p>
            <w:r>
              <w:t>15%</w:t>
            </w:r>
          </w:p>
        </w:tc>
        <w:tc>
          <w:tcPr>
            <w:tcW w:type="dxa" w:w="2160"/>
          </w:tcPr>
          <w:p>
            <w:r>
              <w:t>15% reduction</w:t>
            </w:r>
          </w:p>
        </w:tc>
      </w:tr>
    </w:tbl>
    <w:p/>
    <w:p>
      <w:pPr>
        <w:pStyle w:val="Heading4"/>
      </w:pPr>
      <w:r>
        <w:t>2.3.3 Characterization Issues - Extraction vs. IP</w:t>
      </w:r>
    </w:p>
    <w:p>
      <w:r/>
      <w:r>
        <w:rPr>
          <w:b/>
        </w:rPr>
        <w:t>Hybrid Payments:</w:t>
      </w:r>
      <w:r/>
    </w:p>
    <w:p>
      <w:r>
        <w:t>Some arrangements blur the line between extraction and IP royalties:</w:t>
      </w:r>
    </w:p>
    <w:p>
      <w:r/>
      <w:r>
        <w:rPr>
          <w:b/>
        </w:rPr>
        <w:t>Example 1: Technology-Enhanced Extraction</w:t>
      </w:r>
      <w:r/>
    </w:p>
    <w:p>
      <w:pPr>
        <w:pStyle w:val="ListBullet"/>
      </w:pPr>
      <w:r>
        <w:t>Payment structure: Base royalty (5% extraction) + technology fee (3% of incremental production)</w:t>
      </w:r>
    </w:p>
    <w:p>
      <w:pPr>
        <w:pStyle w:val="ListBullet"/>
      </w:pPr>
      <w:r>
        <w:t>Characterization: 5% as extraction royalty (no WHT), 3% as IP royalty (WHT applicable)</w:t>
      </w:r>
    </w:p>
    <w:p>
      <w:r/>
      <w:r>
        <w:rPr>
          <w:b/>
        </w:rPr>
        <w:t>Example 2: Production Sharing with Technology Transfer</w:t>
      </w:r>
      <w:r/>
    </w:p>
    <w:p>
      <w:pPr>
        <w:pStyle w:val="ListBullet"/>
      </w:pPr>
      <w:r>
        <w:t>Contractor provides enhanced recovery technology</w:t>
      </w:r>
    </w:p>
    <w:p>
      <w:pPr>
        <w:pStyle w:val="ListBullet"/>
      </w:pPr>
      <w:r>
        <w:t>Government share includes "technology premium" component</w:t>
      </w:r>
    </w:p>
    <w:p>
      <w:pPr>
        <w:pStyle w:val="ListBullet"/>
      </w:pPr>
      <w:r>
        <w:t>Dispute: Is premium subject to Article 12 (royalties) or Article 7 (business profits)?</w:t>
      </w:r>
    </w:p>
    <w:p>
      <w:r/>
      <w:r>
        <w:rPr>
          <w:b/>
        </w:rPr>
        <w:t>OECD Guidance:</w:t>
      </w:r>
      <w:r/>
    </w:p>
    <w:p>
      <w:pPr>
        <w:pStyle w:val="ListBullet"/>
      </w:pPr>
      <w:r>
        <w:t>Substance over form: Analyze true nature of payment</w:t>
      </w:r>
    </w:p>
    <w:p>
      <w:pPr>
        <w:pStyle w:val="ListBullet"/>
      </w:pPr>
      <w:r>
        <w:t>Bundled arrangements: Allocate between extraction and IP components</w:t>
      </w:r>
    </w:p>
    <w:p>
      <w:pPr>
        <w:pStyle w:val="ListBullet"/>
      </w:pPr>
      <w:r>
        <w:t>Arm's length principle: Would independent parties structure similarly?</w:t>
      </w:r>
    </w:p>
    <w:p>
      <w:r/>
      <w:r>
        <w:rPr>
          <w:b/>
        </w:rPr>
        <w:t>Case Law:</w:t>
      </w:r>
      <w:r/>
    </w:p>
    <w:p>
      <w:pPr>
        <w:pStyle w:val="ListBullet"/>
      </w:pPr>
      <w:r>
        <w:t>*Indofood International Finance Ltd v. JP Morgan Chase Bank* (UK 2006): Beneficial ownership for treaty purposes</w:t>
      </w:r>
    </w:p>
    <w:p>
      <w:pPr>
        <w:pStyle w:val="ListBullet"/>
      </w:pPr>
      <w:r>
        <w:t>*Prévost Car Inc. v. The Queen* (Canada 2009): Characterization of know-how payments</w:t>
      </w:r>
    </w:p>
    <w:p>
      <w:pPr>
        <w:pStyle w:val="Heading3"/>
      </w:pPr>
      <w:r>
        <w:t>2.4 Gross vs. Net Royalties</w:t>
      </w:r>
    </w:p>
    <w:p>
      <w:pPr>
        <w:pStyle w:val="Heading4"/>
      </w:pPr>
      <w:r>
        <w:t>2.4.1 Gross Royalty Systems</w:t>
      </w:r>
    </w:p>
    <w:p>
      <w:r/>
      <w:r>
        <w:rPr>
          <w:b/>
        </w:rPr>
        <w:t>Definition</w:t>
      </w:r>
      <w:r>
        <w:t xml:space="preserve">: Royalty calculated on </w:t>
      </w:r>
      <w:r>
        <w:rPr>
          <w:b/>
        </w:rPr>
        <w:t>gross revenue without deduction</w:t>
      </w:r>
      <w:r>
        <w:t xml:space="preserve"> for any costs.</w:t>
      </w:r>
    </w:p>
    <w:p>
      <w:r/>
      <w:r>
        <w:rPr>
          <w:b/>
        </w:rPr>
        <w:t>Characteristics:</w:t>
      </w:r>
      <w:r/>
    </w:p>
    <w:p>
      <w:pPr>
        <w:pStyle w:val="ListBullet"/>
      </w:pPr>
      <w:r>
        <w:t>Pure revenue-based calculation</w:t>
      </w:r>
    </w:p>
    <w:p>
      <w:pPr>
        <w:pStyle w:val="ListBullet"/>
      </w:pPr>
      <w:r>
        <w:t>No cost recovery before royalty calculation</w:t>
      </w:r>
    </w:p>
    <w:p>
      <w:pPr>
        <w:pStyle w:val="ListBullet"/>
      </w:pPr>
      <w:r>
        <w:t>Government secures minimum take regardless of economics</w:t>
      </w:r>
    </w:p>
    <w:p>
      <w:pPr>
        <w:pStyle w:val="ListBullet"/>
      </w:pPr>
      <w:r>
        <w:t>Common in traditional concession regimes</w:t>
      </w:r>
    </w:p>
    <w:p>
      <w:r/>
      <w:r>
        <w:rPr>
          <w:b/>
        </w:rPr>
        <w:t>Formula:</w:t>
      </w:r>
      <w:r/>
    </w:p>
    <w:p>
      <w:pPr/>
      <w:r>
        <w:t>Gross Royalty = Gross Revenue × Royalty Rate</w:t>
      </w:r>
    </w:p>
    <w:p>
      <w:pPr/>
    </w:p>
    <w:p>
      <w:pPr/>
      <w:r>
        <w:t>No deductions permitted</w:t>
      </w:r>
    </w:p>
    <w:p>
      <w:r/>
      <w:r>
        <w:rPr>
          <w:b/>
        </w:rPr>
        <w:t>Impact:</w:t>
      </w:r>
      <w:r/>
    </w:p>
    <w:p>
      <w:pPr>
        <w:pStyle w:val="ListBullet"/>
      </w:pPr>
      <w:r>
        <w:t>**Regressive**: Higher burden on high-cost operations</w:t>
      </w:r>
    </w:p>
    <w:p>
      <w:pPr>
        <w:pStyle w:val="ListBullet"/>
      </w:pPr>
      <w:r>
        <w:t>**Investment deterrent**: Can render marginal projects uneconomic</w:t>
      </w:r>
    </w:p>
    <w:p>
      <w:pPr>
        <w:pStyle w:val="ListBullet"/>
      </w:pPr>
      <w:r>
        <w:t>**Simple administration**: No cost verification required</w:t>
      </w:r>
    </w:p>
    <w:p>
      <w:pPr>
        <w:pStyle w:val="Heading4"/>
      </w:pPr>
      <w:r>
        <w:t>2.4.2 Net Royalty Systems (Net Profit Interest - NPI)</w:t>
      </w:r>
    </w:p>
    <w:p>
      <w:r/>
      <w:r>
        <w:rPr>
          <w:b/>
        </w:rPr>
        <w:t>Definition</w:t>
      </w:r>
      <w:r>
        <w:t xml:space="preserve">: Royalty calculated on </w:t>
      </w:r>
      <w:r>
        <w:rPr>
          <w:b/>
        </w:rPr>
        <w:t>net revenue</w:t>
      </w:r>
      <w:r>
        <w:t xml:space="preserve"> after deduction of specified costs.</w:t>
      </w:r>
    </w:p>
    <w:p>
      <w:r/>
      <w:r>
        <w:rPr>
          <w:b/>
        </w:rPr>
        <w:t>Characteristics:</w:t>
      </w:r>
      <w:r/>
    </w:p>
    <w:p>
      <w:pPr>
        <w:pStyle w:val="ListBullet"/>
      </w:pPr>
      <w:r>
        <w:t>Allowable deductions: Operating costs, capital costs (depreciated), transport</w:t>
      </w:r>
    </w:p>
    <w:p>
      <w:pPr>
        <w:pStyle w:val="ListBullet"/>
      </w:pPr>
      <w:r>
        <w:t>Hybrid between royalty and profit tax</w:t>
      </w:r>
    </w:p>
    <w:p>
      <w:pPr>
        <w:pStyle w:val="ListBullet"/>
      </w:pPr>
      <w:r>
        <w:t>More economically efficient (targets economic rent)</w:t>
      </w:r>
    </w:p>
    <w:p>
      <w:pPr>
        <w:pStyle w:val="ListBullet"/>
      </w:pPr>
      <w:r>
        <w:t>Requires cost audit and verification</w:t>
      </w:r>
    </w:p>
    <w:p>
      <w:r/>
      <w:r>
        <w:rPr>
          <w:b/>
        </w:rPr>
        <w:t>Formula:</w:t>
      </w:r>
      <w:r/>
    </w:p>
    <w:p>
      <w:pPr/>
      <w:r>
        <w:t>Net Royalty = (Gross Revenue - Allowable Costs) × Royalty Rate</w:t>
      </w:r>
    </w:p>
    <w:p>
      <w:r/>
      <w:r>
        <w:rPr>
          <w:b/>
        </w:rPr>
        <w:t>Example (Net Profits Interest):</w:t>
      </w:r>
      <w:r/>
    </w:p>
    <w:p>
      <w:pPr/>
      <w:r>
        <w:t>Gross Revenue:                    $100,000,000</w:t>
      </w:r>
    </w:p>
    <w:p>
      <w:pPr/>
      <w:r>
        <w:t>Less: Operating costs:             $40,000,000</w:t>
      </w:r>
    </w:p>
    <w:p>
      <w:pPr/>
      <w:r>
        <w:t>Less: Depreciation:                $20,000,000</w:t>
      </w:r>
    </w:p>
    <w:p>
      <w:pPr/>
      <w:r>
        <w:t xml:space="preserve">                                   _____________</w:t>
      </w:r>
    </w:p>
    <w:p>
      <w:pPr/>
      <w:r>
        <w:t>Net Revenue:                       $40,000,000</w:t>
      </w:r>
    </w:p>
    <w:p>
      <w:pPr/>
    </w:p>
    <w:p>
      <w:pPr/>
      <w:r>
        <w:t>Net Royalty (15%):                 $6,000,000</w:t>
      </w:r>
    </w:p>
    <w:p>
      <w:r/>
      <w:r>
        <w:rPr>
          <w:b/>
        </w:rPr>
        <w:t>Comparison:</w:t>
      </w:r>
      <w:r/>
    </w:p>
    <w:p>
      <w:pPr/>
      <w:r>
        <w:t>If gross royalty (10%): $10,000,000</w:t>
      </w:r>
    </w:p>
    <w:p>
      <w:pPr/>
      <w:r>
        <w:t>If net royalty (15%):   $6,000,000</w:t>
      </w:r>
    </w:p>
    <w:p>
      <w:pPr/>
    </w:p>
    <w:p>
      <w:pPr/>
      <w:r>
        <w:t>Net royalty provides $4m relief for cost-intensive operation</w:t>
      </w:r>
    </w:p>
    <w:p>
      <w:pPr>
        <w:pStyle w:val="Heading4"/>
      </w:pPr>
      <w:r>
        <w:t>2.4.3 Jurisdictional Examples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**Jurisdiction**</w:t>
            </w:r>
          </w:p>
        </w:tc>
        <w:tc>
          <w:tcPr>
            <w:tcW w:type="dxa" w:w="2160"/>
          </w:tcPr>
          <w:p>
            <w:r>
              <w:rPr>
                <w:b/>
              </w:rPr>
              <w:t>**Type**</w:t>
            </w:r>
          </w:p>
        </w:tc>
        <w:tc>
          <w:tcPr>
            <w:tcW w:type="dxa" w:w="2160"/>
          </w:tcPr>
          <w:p>
            <w:r>
              <w:rPr>
                <w:b/>
              </w:rPr>
              <w:t>**Rate**</w:t>
            </w:r>
          </w:p>
        </w:tc>
        <w:tc>
          <w:tcPr>
            <w:tcW w:type="dxa" w:w="2160"/>
          </w:tcPr>
          <w:p>
            <w:r>
              <w:rPr>
                <w:b/>
              </w:rPr>
              <w:t>**Base**</w:t>
            </w:r>
          </w:p>
        </w:tc>
      </w:tr>
      <w:tr>
        <w:tc>
          <w:tcPr>
            <w:tcW w:type="dxa" w:w="2160"/>
          </w:tcPr>
          <w:p>
            <w:r>
              <w:t>**Ghana**</w:t>
            </w:r>
          </w:p>
        </w:tc>
        <w:tc>
          <w:tcPr>
            <w:tcW w:type="dxa" w:w="2160"/>
          </w:tcPr>
          <w:p>
            <w:r>
              <w:t>Gross</w:t>
            </w:r>
          </w:p>
        </w:tc>
        <w:tc>
          <w:tcPr>
            <w:tcW w:type="dxa" w:w="2160"/>
          </w:tcPr>
          <w:p>
            <w:r>
              <w:t>5%</w:t>
            </w:r>
          </w:p>
        </w:tc>
        <w:tc>
          <w:tcPr>
            <w:tcW w:type="dxa" w:w="2160"/>
          </w:tcPr>
          <w:p>
            <w:r>
              <w:t>Gross petroleum revenue</w:t>
            </w:r>
          </w:p>
        </w:tc>
      </w:tr>
      <w:tr>
        <w:tc>
          <w:tcPr>
            <w:tcW w:type="dxa" w:w="2160"/>
          </w:tcPr>
          <w:p>
            <w:r>
              <w:t>**Alberta**</w:t>
            </w:r>
          </w:p>
        </w:tc>
        <w:tc>
          <w:tcPr>
            <w:tcW w:type="dxa" w:w="2160"/>
          </w:tcPr>
          <w:p>
            <w:r>
              <w:t>Gross (sliding)</w:t>
            </w:r>
          </w:p>
        </w:tc>
        <w:tc>
          <w:tcPr>
            <w:tcW w:type="dxa" w:w="2160"/>
          </w:tcPr>
          <w:p>
            <w:r>
              <w:t>5-40%</w:t>
            </w:r>
          </w:p>
        </w:tc>
        <w:tc>
          <w:tcPr>
            <w:tcW w:type="dxa" w:w="2160"/>
          </w:tcPr>
          <w:p>
            <w:r>
              <w:t>Gross revenue (price/volume adjusted)</w:t>
            </w:r>
          </w:p>
        </w:tc>
      </w:tr>
      <w:tr>
        <w:tc>
          <w:tcPr>
            <w:tcW w:type="dxa" w:w="2160"/>
          </w:tcPr>
          <w:p>
            <w:r>
              <w:t>**USA (Texas)**</w:t>
            </w:r>
          </w:p>
        </w:tc>
        <w:tc>
          <w:tcPr>
            <w:tcW w:type="dxa" w:w="2160"/>
          </w:tcPr>
          <w:p>
            <w:r>
              <w:t>Gross</w:t>
            </w:r>
          </w:p>
        </w:tc>
        <w:tc>
          <w:tcPr>
            <w:tcW w:type="dxa" w:w="2160"/>
          </w:tcPr>
          <w:p>
            <w:r>
              <w:t>12.5-25%</w:t>
            </w:r>
          </w:p>
        </w:tc>
        <w:tc>
          <w:tcPr>
            <w:tcW w:type="dxa" w:w="2160"/>
          </w:tcPr>
          <w:p>
            <w:r>
              <w:t>Gross revenue (private lands)</w:t>
            </w:r>
          </w:p>
        </w:tc>
      </w:tr>
      <w:tr>
        <w:tc>
          <w:tcPr>
            <w:tcW w:type="dxa" w:w="2160"/>
          </w:tcPr>
          <w:p>
            <w:r>
              <w:t>**USA (Alaska)**</w:t>
            </w:r>
          </w:p>
        </w:tc>
        <w:tc>
          <w:tcPr>
            <w:tcW w:type="dxa" w:w="2160"/>
          </w:tcPr>
          <w:p>
            <w:r>
              <w:t>Net (hybrid)</w:t>
            </w:r>
          </w:p>
        </w:tc>
        <w:tc>
          <w:tcPr>
            <w:tcW w:type="dxa" w:w="2160"/>
          </w:tcPr>
          <w:p>
            <w:r>
              <w:t>0-35%</w:t>
            </w:r>
          </w:p>
        </w:tc>
        <w:tc>
          <w:tcPr>
            <w:tcW w:type="dxa" w:w="2160"/>
          </w:tcPr>
          <w:p>
            <w:r>
              <w:t>Net value after costs and allowances</w:t>
            </w:r>
          </w:p>
        </w:tc>
      </w:tr>
      <w:tr>
        <w:tc>
          <w:tcPr>
            <w:tcW w:type="dxa" w:w="2160"/>
          </w:tcPr>
          <w:p>
            <w:r>
              <w:t>**Norway**</w:t>
            </w:r>
          </w:p>
        </w:tc>
        <w:tc>
          <w:tcPr>
            <w:tcW w:type="dxa" w:w="2160"/>
          </w:tcPr>
          <w:p>
            <w:r>
              <w:t>None</w:t>
            </w:r>
          </w:p>
        </w:tc>
        <w:tc>
          <w:tcPr>
            <w:tcW w:type="dxa" w:w="2160"/>
          </w:tcPr>
          <w:p>
            <w:r>
              <w:t>-</w:t>
            </w:r>
          </w:p>
        </w:tc>
        <w:tc>
          <w:tcPr>
            <w:tcW w:type="dxa" w:w="2160"/>
          </w:tcPr>
          <w:p>
            <w:r>
              <w:t>Replaced by 78% combined CIT + SPT</w:t>
            </w:r>
          </w:p>
        </w:tc>
      </w:tr>
      <w:tr>
        <w:tc>
          <w:tcPr>
            <w:tcW w:type="dxa" w:w="2160"/>
          </w:tcPr>
          <w:p>
            <w:r>
              <w:t>**Australia PRRT**</w:t>
            </w:r>
          </w:p>
        </w:tc>
        <w:tc>
          <w:tcPr>
            <w:tcW w:type="dxa" w:w="2160"/>
          </w:tcPr>
          <w:p>
            <w:r>
              <w:t>Net (rent tax)</w:t>
            </w:r>
          </w:p>
        </w:tc>
        <w:tc>
          <w:tcPr>
            <w:tcW w:type="dxa" w:w="2160"/>
          </w:tcPr>
          <w:p>
            <w:r>
              <w:t>40%</w:t>
            </w:r>
          </w:p>
        </w:tc>
        <w:tc>
          <w:tcPr>
            <w:tcW w:type="dxa" w:w="2160"/>
          </w:tcPr>
          <w:p>
            <w:r>
              <w:t>Net profits with uplift</w:t>
            </w:r>
          </w:p>
        </w:tc>
      </w:tr>
    </w:tbl>
    <w:p/>
    <w:p>
      <w:r>
        <w:t>---</w:t>
      </w:r>
    </w:p>
    <w:p>
      <w:pPr>
        <w:pStyle w:val="Heading2"/>
      </w:pPr>
      <w:r>
        <w:t>3. Analytical Depth and Cross-Border Issues</w:t>
      </w:r>
    </w:p>
    <w:p>
      <w:pPr>
        <w:pStyle w:val="Heading3"/>
      </w:pPr>
      <w:r>
        <w:t>3.1 Transfer Pricing for Royalty Payments</w:t>
      </w:r>
    </w:p>
    <w:p>
      <w:pPr>
        <w:pStyle w:val="Heading4"/>
      </w:pPr>
      <w:r>
        <w:t>3.1.1 Arm's Length Principle Application</w:t>
      </w:r>
    </w:p>
    <w:p>
      <w:r/>
      <w:r>
        <w:rPr>
          <w:b/>
        </w:rPr>
        <w:t>OECD Transfer Pricing Guidelines:</w:t>
      </w:r>
      <w:r/>
    </w:p>
    <w:p>
      <w:pPr>
        <w:pStyle w:val="ListBullet"/>
      </w:pPr>
      <w:r>
        <w:t>Related-party royalty payments must satisfy **arm's length principle**</w:t>
      </w:r>
    </w:p>
    <w:p>
      <w:pPr>
        <w:pStyle w:val="ListBullet"/>
      </w:pPr>
      <w:r>
        <w:t>Applies to both extraction and IP royalties</w:t>
      </w:r>
    </w:p>
    <w:p>
      <w:pPr>
        <w:pStyle w:val="ListBullet"/>
      </w:pPr>
      <w:r>
        <w:t>Documentation requirements: Master File, Local File, CbCR</w:t>
      </w:r>
    </w:p>
    <w:p>
      <w:r/>
      <w:r>
        <w:rPr>
          <w:b/>
        </w:rPr>
        <w:t>Extraction Royalties - TP Considerations:</w:t>
      </w:r>
      <w:r/>
    </w:p>
    <w:p>
      <w:r/>
      <w:r>
        <w:rPr>
          <w:b/>
        </w:rPr>
        <w:t>1. Sales Price Verification:</w:t>
      </w:r>
      <w:r/>
    </w:p>
    <w:p>
      <w:pPr>
        <w:pStyle w:val="ListBullet"/>
      </w:pPr>
      <w:r>
        <w:t>Related-party crude oil sales: Must reflect CUP (Comparable Uncontrolled Price)</w:t>
      </w:r>
    </w:p>
    <w:p>
      <w:pPr>
        <w:pStyle w:val="ListBullet"/>
      </w:pPr>
      <w:r>
        <w:t>Benchmark pricing: Brent, WTI, Dubai (with quality adjustments)</w:t>
      </w:r>
    </w:p>
    <w:p>
      <w:pPr>
        <w:pStyle w:val="ListBullet"/>
      </w:pPr>
      <w:r>
        <w:t>Timing adjustments: Quotational period averaging</w:t>
      </w:r>
    </w:p>
    <w:p>
      <w:r/>
      <w:r>
        <w:rPr>
          <w:b/>
        </w:rPr>
        <w:t>2. Valuation Disputes:</w:t>
      </w:r>
      <w:r/>
    </w:p>
    <w:p>
      <w:pPr>
        <w:pStyle w:val="ListBullet"/>
      </w:pPr>
      <w:r>
        <w:t>Government challenge: Undervaluation to reduce royalty base</w:t>
      </w:r>
    </w:p>
    <w:p>
      <w:pPr>
        <w:pStyle w:val="ListBullet"/>
      </w:pPr>
      <w:r>
        <w:t>Taxpayer position: Realized price reflects quality, location, market access</w:t>
      </w:r>
    </w:p>
    <w:p>
      <w:pPr>
        <w:pStyle w:val="ListBullet"/>
      </w:pPr>
      <w:r>
        <w:t>Resolution: Independent pricing mechanisms, reference price formulae</w:t>
      </w:r>
    </w:p>
    <w:p>
      <w:r/>
      <w:r>
        <w:rPr>
          <w:b/>
        </w:rPr>
        <w:t>IP Royalties - TP Considerations:</w:t>
      </w:r>
      <w:r/>
    </w:p>
    <w:p>
      <w:r/>
      <w:r>
        <w:rPr>
          <w:b/>
        </w:rPr>
        <w:t>Common Scenarios:</w:t>
      </w:r>
      <w:r/>
    </w:p>
    <w:p>
      <w:pPr>
        <w:pStyle w:val="ListNumber"/>
      </w:pPr>
      <w:r>
        <w:t>**Drilling technology royalties**: Foreign parent licenses horizontal drilling IP to subsidiary</w:t>
      </w:r>
    </w:p>
    <w:p>
      <w:pPr>
        <w:pStyle w:val="ListNumber"/>
      </w:pPr>
      <w:r>
        <w:t>**Management fees**: Allocated costs for technical services (may include IP element)</w:t>
      </w:r>
    </w:p>
    <w:p>
      <w:pPr>
        <w:pStyle w:val="ListNumber"/>
      </w:pPr>
      <w:r>
        <w:t>**Software licensing**: Reservoir modeling, production optimization software</w:t>
      </w:r>
    </w:p>
    <w:p>
      <w:r/>
      <w:r>
        <w:rPr>
          <w:b/>
        </w:rPr>
        <w:t>Transfer Pricing Methods: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**Application**</w:t>
            </w:r>
          </w:p>
        </w:tc>
        <w:tc>
          <w:tcPr>
            <w:tcW w:type="dxa" w:w="2880"/>
          </w:tcPr>
          <w:p>
            <w:r>
              <w:rPr>
                <w:b/>
              </w:rPr>
              <w:t>**Reliability**</w:t>
            </w:r>
          </w:p>
        </w:tc>
      </w:tr>
      <w:tr>
        <w:tc>
          <w:tcPr>
            <w:tcW w:type="dxa" w:w="2880"/>
          </w:tcPr>
          <w:p>
            <w:r>
              <w:t>**CUP (Comparable Uncontrolled Price)**</w:t>
            </w:r>
          </w:p>
        </w:tc>
        <w:tc>
          <w:tcPr>
            <w:tcW w:type="dxa" w:w="2880"/>
          </w:tcPr>
          <w:p>
            <w:r>
              <w:t>Third-party IP licensing agreements</w:t>
            </w:r>
          </w:p>
        </w:tc>
        <w:tc>
          <w:tcPr>
            <w:tcW w:type="dxa" w:w="2880"/>
          </w:tcPr>
          <w:p>
            <w:r>
              <w:t>High (if comparable)</w:t>
            </w:r>
          </w:p>
        </w:tc>
      </w:tr>
      <w:tr>
        <w:tc>
          <w:tcPr>
            <w:tcW w:type="dxa" w:w="2880"/>
          </w:tcPr>
          <w:p>
            <w:r>
              <w:t>**TNMM (Transactional Net Margin Method)**</w:t>
            </w:r>
          </w:p>
        </w:tc>
        <w:tc>
          <w:tcPr>
            <w:tcW w:type="dxa" w:w="2880"/>
          </w:tcPr>
          <w:p>
            <w:r>
              <w:t>Routine services with IP element</w:t>
            </w:r>
          </w:p>
        </w:tc>
        <w:tc>
          <w:tcPr>
            <w:tcW w:type="dxa" w:w="2880"/>
          </w:tcPr>
          <w:p>
            <w:r>
              <w:t>Medium</w:t>
            </w:r>
          </w:p>
        </w:tc>
      </w:tr>
      <w:tr>
        <w:tc>
          <w:tcPr>
            <w:tcW w:type="dxa" w:w="2880"/>
          </w:tcPr>
          <w:p>
            <w:r>
              <w:t>**Profit Split**</w:t>
            </w:r>
          </w:p>
        </w:tc>
        <w:tc>
          <w:tcPr>
            <w:tcW w:type="dxa" w:w="2880"/>
          </w:tcPr>
          <w:p>
            <w:r>
              <w:t>Unique, integrated IP contributions</w:t>
            </w:r>
          </w:p>
        </w:tc>
        <w:tc>
          <w:tcPr>
            <w:tcW w:type="dxa" w:w="2880"/>
          </w:tcPr>
          <w:p>
            <w:r>
              <w:t>High (complex)</w:t>
            </w:r>
          </w:p>
        </w:tc>
      </w:tr>
      <w:tr>
        <w:tc>
          <w:tcPr>
            <w:tcW w:type="dxa" w:w="2880"/>
          </w:tcPr>
          <w:p>
            <w:r>
              <w:t>**Cost Plus**</w:t>
            </w:r>
          </w:p>
        </w:tc>
        <w:tc>
          <w:tcPr>
            <w:tcW w:type="dxa" w:w="2880"/>
          </w:tcPr>
          <w:p>
            <w:r>
              <w:t>Low-value IP, routine applications</w:t>
            </w:r>
          </w:p>
        </w:tc>
        <w:tc>
          <w:tcPr>
            <w:tcW w:type="dxa" w:w="2880"/>
          </w:tcPr>
          <w:p>
            <w:r>
              <w:t>Medium</w:t>
            </w:r>
          </w:p>
        </w:tc>
      </w:tr>
    </w:tbl>
    <w:p/>
    <w:p>
      <w:r/>
      <w:r>
        <w:rPr>
          <w:b/>
        </w:rPr>
        <w:t>Benchmarking Challenges:</w:t>
      </w:r>
      <w:r/>
    </w:p>
    <w:p>
      <w:pPr>
        <w:pStyle w:val="ListBullet"/>
      </w:pPr>
      <w:r>
        <w:t>Limited comparables (proprietary extractive technologies)</w:t>
      </w:r>
    </w:p>
    <w:p>
      <w:pPr>
        <w:pStyle w:val="ListBullet"/>
      </w:pPr>
      <w:r>
        <w:t>Bundled arrangements (IP + services)</w:t>
      </w:r>
    </w:p>
    <w:p>
      <w:pPr>
        <w:pStyle w:val="ListBullet"/>
      </w:pPr>
      <w:r>
        <w:t>Cost contribution arrangements (joint development)</w:t>
      </w:r>
    </w:p>
    <w:p>
      <w:pPr>
        <w:pStyle w:val="Heading4"/>
      </w:pPr>
      <w:r>
        <w:t>3.1.2 Anti-Avoidance and Royalty Payments</w:t>
      </w:r>
    </w:p>
    <w:p>
      <w:r/>
      <w:r>
        <w:rPr>
          <w:b/>
        </w:rPr>
        <w:t>Base Erosion Risks:</w:t>
      </w:r>
      <w:r/>
    </w:p>
    <w:p>
      <w:pPr>
        <w:pStyle w:val="ListBullet"/>
      </w:pPr>
      <w:r>
        <w:t>Excessive IP royalty payments to low-tax affiliates</w:t>
      </w:r>
    </w:p>
    <w:p>
      <w:pPr>
        <w:pStyle w:val="ListBullet"/>
      </w:pPr>
      <w:r>
        <w:t>Artificial IP ownership structures (Netherlands, Ireland holding companies)</w:t>
      </w:r>
    </w:p>
    <w:p>
      <w:pPr>
        <w:pStyle w:val="ListBullet"/>
      </w:pPr>
      <w:r>
        <w:t>Deductible royalty payments without corresponding taxation</w:t>
      </w:r>
    </w:p>
    <w:p>
      <w:r/>
      <w:r>
        <w:rPr>
          <w:b/>
        </w:rPr>
        <w:t>OECD Base Erosion and Profit Shifting (BEPS) Actions Relevant to Royalties:</w:t>
      </w:r>
      <w:r/>
    </w:p>
    <w:p>
      <w:r/>
      <w:r>
        <w:rPr>
          <w:b/>
        </w:rPr>
        <w:t>Action 5 (Harmful Tax Practices):</w:t>
      </w:r>
      <w:r/>
    </w:p>
    <w:p>
      <w:pPr>
        <w:pStyle w:val="ListBullet"/>
      </w:pPr>
      <w:r>
        <w:t>Preferential IP regimes (patent boxes) under scrutiny</w:t>
      </w:r>
    </w:p>
    <w:p>
      <w:pPr>
        <w:pStyle w:val="ListBullet"/>
      </w:pPr>
      <w:r>
        <w:t>Nexus approach: IP income benefits require substantial R&amp;D activity</w:t>
      </w:r>
    </w:p>
    <w:p>
      <w:pPr>
        <w:pStyle w:val="ListBullet"/>
      </w:pPr>
      <w:r>
        <w:t>Impact: Limits artificial IP migration to low-tax jurisdictions</w:t>
      </w:r>
    </w:p>
    <w:p>
      <w:r/>
      <w:r>
        <w:rPr>
          <w:b/>
        </w:rPr>
        <w:t>Action 6 (Treaty Abuse):</w:t>
      </w:r>
      <w:r/>
    </w:p>
    <w:p>
      <w:pPr>
        <w:pStyle w:val="ListBullet"/>
      </w:pPr>
      <w:r>
        <w:t>Principal Purpose Test (PPT): Prevents treaty shopping for WHT relief</w:t>
      </w:r>
    </w:p>
    <w:p>
      <w:pPr>
        <w:pStyle w:val="ListBullet"/>
      </w:pPr>
      <w:r>
        <w:t>Limitation on Benefits (LOB): Ensures genuine economic presence</w:t>
      </w:r>
    </w:p>
    <w:p>
      <w:pPr>
        <w:pStyle w:val="ListBullet"/>
      </w:pPr>
      <w:r>
        <w:t>Application: IP royalty payments routed through conduit entities</w:t>
      </w:r>
    </w:p>
    <w:p>
      <w:r/>
      <w:r>
        <w:rPr>
          <w:b/>
        </w:rPr>
        <w:t>Action 8-10 (Transfer Pricing - Intangibles):</w:t>
      </w:r>
      <w:r/>
    </w:p>
    <w:p>
      <w:pPr>
        <w:pStyle w:val="ListBullet"/>
      </w:pPr>
      <w:r>
        <w:t>Hard-to-Value Intangibles (HTVI): Enhanced scrutiny of IP royalties</w:t>
      </w:r>
    </w:p>
    <w:p>
      <w:pPr>
        <w:pStyle w:val="ListBullet"/>
      </w:pPr>
      <w:r>
        <w:t>Value creation alignment: Royalty payments must reflect actual value contribution</w:t>
      </w:r>
    </w:p>
    <w:p>
      <w:pPr>
        <w:pStyle w:val="ListBullet"/>
      </w:pPr>
      <w:r>
        <w:t>Documentation: Detailed functional analysis, valuation support</w:t>
      </w:r>
    </w:p>
    <w:p>
      <w:r/>
      <w:r>
        <w:rPr>
          <w:b/>
        </w:rPr>
        <w:t>Domestic Anti-Avoidance Rules:</w:t>
      </w:r>
      <w:r/>
    </w:p>
    <w:p>
      <w:r/>
      <w:r>
        <w:rPr>
          <w:b/>
        </w:rPr>
        <w:t>1. Earnings Stripping (Interest Limitation - BEPS Action 4):</w:t>
      </w:r>
      <w:r/>
    </w:p>
    <w:p>
      <w:pPr>
        <w:pStyle w:val="ListBullet"/>
      </w:pPr>
      <w:r>
        <w:t>Although focused on interest, some jurisdictions extend to royalties</w:t>
      </w:r>
    </w:p>
    <w:p>
      <w:pPr>
        <w:pStyle w:val="ListBullet"/>
      </w:pPr>
      <w:r>
        <w:t>EBITDA-based deduction limits (e.g., 30% EBITDA cap)</w:t>
      </w:r>
    </w:p>
    <w:p>
      <w:pPr>
        <w:pStyle w:val="ListBullet"/>
      </w:pPr>
      <w:r>
        <w:t>Impact: Limits deductibility of excessive royalty payments</w:t>
      </w:r>
    </w:p>
    <w:p>
      <w:r/>
      <w:r>
        <w:rPr>
          <w:b/>
        </w:rPr>
        <w:t>2. Specific Anti-Avoidance Rules (SAAR) for Royalties:</w:t>
      </w:r>
      <w:r/>
    </w:p>
    <w:p>
      <w:pPr/>
      <w:r>
        <w:t>Example Rule:</w:t>
      </w:r>
    </w:p>
    <w:p>
      <w:pPr/>
      <w:r>
        <w:t>"Where a royalty payment to a related party exceeds arm's length rate,</w:t>
      </w:r>
    </w:p>
    <w:p>
      <w:pPr/>
      <w:r>
        <w:t>and the recipient is taxed at less than 15%,</w:t>
      </w:r>
    </w:p>
    <w:p>
      <w:pPr/>
      <w:r>
        <w:t>the excess is non-deductible."</w:t>
      </w:r>
    </w:p>
    <w:p>
      <w:r/>
      <w:r>
        <w:rPr>
          <w:b/>
        </w:rPr>
        <w:t>3. Controlled Foreign Company (CFC) Rules:</w:t>
      </w:r>
      <w:r/>
    </w:p>
    <w:p>
      <w:pPr>
        <w:pStyle w:val="ListBullet"/>
      </w:pPr>
      <w:r>
        <w:t>IP royalty income received by CFCs may be attributed to parent</w:t>
      </w:r>
    </w:p>
    <w:p>
      <w:pPr>
        <w:pStyle w:val="ListBullet"/>
      </w:pPr>
      <w:r>
        <w:t>Exemptions: Substantial economic activity, active business</w:t>
      </w:r>
    </w:p>
    <w:p>
      <w:pPr>
        <w:pStyle w:val="ListBullet"/>
      </w:pPr>
      <w:r>
        <w:t>Impact: Neutralizes tax deferral from IP structures</w:t>
      </w:r>
    </w:p>
    <w:p>
      <w:r/>
      <w:r>
        <w:rPr>
          <w:b/>
        </w:rPr>
        <w:t>Case Study: IP Royalty Structure</w:t>
      </w:r>
      <w:r/>
    </w:p>
    <w:p>
      <w:r/>
      <w:r>
        <w:rPr>
          <w:b/>
        </w:rPr>
        <w:t>Before BEPS:</w:t>
      </w:r>
      <w:r/>
    </w:p>
    <w:p>
      <w:pPr/>
      <w:r>
        <w:t>ExtractCo (Ghana) → Pays 8% IP royalty → HoldCo (Netherlands) → 2% to Parent (USA)</w:t>
      </w:r>
    </w:p>
    <w:p>
      <w:pPr/>
    </w:p>
    <w:p>
      <w:pPr/>
      <w:r>
        <w:t>Ghana WHT: 15% treaty rate on $80m = $12m</w:t>
      </w:r>
    </w:p>
    <w:p>
      <w:pPr/>
      <w:r>
        <w:t>Netherlands: 0% taxation (participation exemption)</w:t>
      </w:r>
    </w:p>
    <w:p>
      <w:pPr/>
      <w:r>
        <w:t>USA: Deferral until dividend repatriation</w:t>
      </w:r>
    </w:p>
    <w:p>
      <w:pPr/>
    </w:p>
    <w:p>
      <w:pPr/>
      <w:r>
        <w:t>Effective tax: 15% WHT only</w:t>
      </w:r>
    </w:p>
    <w:p>
      <w:r/>
      <w:r>
        <w:rPr>
          <w:b/>
        </w:rPr>
        <w:t>After BEPS + MLI:</w:t>
      </w:r>
      <w:r/>
    </w:p>
    <w:p>
      <w:pPr/>
      <w:r>
        <w:t>ExtractCo (Ghana) → Pays 8% IP royalty → HoldCo (Netherlands) → 2% to Parent (USA)</w:t>
      </w:r>
    </w:p>
    <w:p>
      <w:pPr/>
    </w:p>
    <w:p>
      <w:pPr/>
      <w:r>
        <w:t>PPT applied: Treaty benefit denied (conduit structure)</w:t>
      </w:r>
    </w:p>
    <w:p>
      <w:pPr/>
      <w:r>
        <w:t>Ghana WHT: 20% (domestic rate) on $80m = $16m</w:t>
      </w:r>
    </w:p>
    <w:p>
      <w:pPr/>
      <w:r>
        <w:t>Netherlands: Subject to CFC rules in USA</w:t>
      </w:r>
    </w:p>
    <w:p>
      <w:pPr/>
      <w:r>
        <w:t>USA: Current inclusion of CFC income</w:t>
      </w:r>
    </w:p>
    <w:p>
      <w:pPr/>
    </w:p>
    <w:p>
      <w:pPr/>
      <w:r>
        <w:t>Effective tax: 20% WHT + USA taxation of Netherlands income</w:t>
      </w:r>
    </w:p>
    <w:p>
      <w:pPr>
        <w:pStyle w:val="Heading3"/>
      </w:pPr>
      <w:r>
        <w:t>3.2 Treaty Treatment - OECD Model Article 12</w:t>
      </w:r>
    </w:p>
    <w:p>
      <w:pPr>
        <w:pStyle w:val="Heading4"/>
      </w:pPr>
      <w:r>
        <w:t>3.2.1 Scope of Article 12 - Royalties</w:t>
      </w:r>
    </w:p>
    <w:p>
      <w:r/>
      <w:r>
        <w:rPr>
          <w:b/>
        </w:rPr>
        <w:t>OECD Model Article 12(1):</w:t>
      </w:r>
      <w:r/>
    </w:p>
    <w:p>
      <w:r>
        <w:t>&gt; "Royalties arising in a Contracting State and paid to a resident of the other Contracting State may be taxed in that other State [residence taxation]."</w:t>
      </w:r>
    </w:p>
    <w:p>
      <w:r/>
      <w:r>
        <w:rPr>
          <w:b/>
        </w:rPr>
        <w:t>Article 12(2):</w:t>
      </w:r>
      <w:r/>
    </w:p>
    <w:p>
      <w:r>
        <w:t>&gt; "However, such royalties may also be taxed in the Contracting State in which they arise [source taxation] and according to the laws of that State, but if the beneficial owner of the royalties is a resident of the other Contracting State, the tax so charged shall not exceed [X]% of the gross amount of the royalties."</w:t>
      </w:r>
    </w:p>
    <w:p>
      <w:r/>
      <w:r>
        <w:rPr>
          <w:b/>
        </w:rPr>
        <w:t>Key Elements:</w:t>
      </w:r>
      <w:r/>
    </w:p>
    <w:p>
      <w:pPr>
        <w:pStyle w:val="ListNumber"/>
      </w:pPr>
      <w:r>
        <w:t>**Beneficial Ownership Requirement:**</w:t>
      </w:r>
    </w:p>
    <w:p>
      <w:r>
        <w:t xml:space="preserve">   - Substance over form: Economic ownership, risk bearing</w:t>
      </w:r>
    </w:p>
    <w:p>
      <w:r>
        <w:t xml:space="preserve">   - Impact of </w:t>
      </w:r>
      <w:r>
        <w:rPr>
          <w:i/>
        </w:rPr>
        <w:t>Indofood</w:t>
      </w:r>
      <w:r>
        <w:t xml:space="preserve"> (2006): Stringent beneficial ownership tests</w:t>
      </w:r>
    </w:p>
    <w:p>
      <w:pPr>
        <w:pStyle w:val="ListNumber"/>
      </w:pPr>
      <w:r>
        <w:t>**Gross Amount Limitation:**</w:t>
      </w:r>
    </w:p>
    <w:p>
      <w:r>
        <w:t xml:space="preserve">   - Treaty rate caps: 0%, 5%, 10%, 15% (varies by treaty)</w:t>
      </w:r>
    </w:p>
    <w:p>
      <w:r>
        <w:t xml:space="preserve">   - No net basis withholding permitted</w:t>
      </w:r>
    </w:p>
    <w:p>
      <w:pPr>
        <w:pStyle w:val="ListNumber"/>
      </w:pPr>
      <w:r>
        <w:t>**Source State:**</w:t>
      </w:r>
    </w:p>
    <w:p>
      <w:r>
        <w:t xml:space="preserve">   - Relevant for extraction: Jurisdiction where resource extracted</w:t>
      </w:r>
    </w:p>
    <w:p>
      <w:r>
        <w:t xml:space="preserve">   - Relevant for services: Where services performed (may trigger Article 7 instead)</w:t>
      </w:r>
    </w:p>
    <w:p>
      <w:pPr>
        <w:pStyle w:val="Heading4"/>
      </w:pPr>
      <w:r>
        <w:t>3.2.2 Extraction Royalties - Treaty Classification</w:t>
      </w:r>
    </w:p>
    <w:p>
      <w:r/>
      <w:r>
        <w:rPr>
          <w:b/>
        </w:rPr>
        <w:t>Debate: Article 6 (Immovable Property) vs. Article 12 (Royalties)?</w:t>
      </w:r>
      <w:r/>
    </w:p>
    <w:p>
      <w:r/>
      <w:r>
        <w:rPr>
          <w:b/>
        </w:rPr>
        <w:t>Article 6 Position (Prevalent View):</w:t>
      </w:r>
      <w:r/>
    </w:p>
    <w:p>
      <w:pPr>
        <w:pStyle w:val="ListBullet"/>
      </w:pPr>
      <w:r>
        <w:t>Extraction rights are rights over **immovable property** (natural resources in situ)</w:t>
      </w:r>
    </w:p>
    <w:p>
      <w:pPr>
        <w:pStyle w:val="ListBullet"/>
      </w:pPr>
      <w:r>
        <w:t>Article 6(2): "Income from immovable property... may be taxed in the Contracting State in which such property is situated"</w:t>
      </w:r>
    </w:p>
    <w:p>
      <w:pPr>
        <w:pStyle w:val="ListBullet"/>
      </w:pPr>
      <w:r>
        <w:t>Result: **Source state has exclusive taxation right** (no WHT limitation)</w:t>
      </w:r>
    </w:p>
    <w:p>
      <w:r/>
      <w:r>
        <w:rPr>
          <w:b/>
        </w:rPr>
        <w:t>Article 12 Position (Minority View):</w:t>
      </w:r>
      <w:r/>
    </w:p>
    <w:p>
      <w:pPr>
        <w:pStyle w:val="ListBullet"/>
      </w:pPr>
      <w:r>
        <w:t>Royalties for resource extraction are "consideration for use of property"</w:t>
      </w:r>
    </w:p>
    <w:p>
      <w:pPr>
        <w:pStyle w:val="ListBullet"/>
      </w:pPr>
      <w:r>
        <w:t>Should fall within Article 12 definition</w:t>
      </w:r>
    </w:p>
    <w:p>
      <w:pPr>
        <w:pStyle w:val="ListBullet"/>
      </w:pPr>
      <w:r>
        <w:t>Result: WHT limitation applies</w:t>
      </w:r>
    </w:p>
    <w:p>
      <w:r/>
      <w:r>
        <w:rPr>
          <w:b/>
        </w:rPr>
        <w:t>OECD Commentary:</w:t>
      </w:r>
      <w:r/>
    </w:p>
    <w:p>
      <w:pPr>
        <w:pStyle w:val="ListBullet"/>
      </w:pPr>
      <w:r>
        <w:t>OECD Model Article 6(2): "The term 'immovable property'... shall include... rights to variable or fixed payments as consideration for... the right to explore for or exploit mineral deposits, sources and other natural resources"</w:t>
      </w:r>
    </w:p>
    <w:p>
      <w:pPr>
        <w:pStyle w:val="ListBullet"/>
      </w:pPr>
      <w:r>
        <w:t>**Conclusion**: Extraction royalties are **Article 6 (Immovable Property)**, not Article 12</w:t>
      </w:r>
    </w:p>
    <w:p>
      <w:r/>
      <w:r>
        <w:rPr>
          <w:b/>
        </w:rPr>
        <w:t>Practical Impact:</w:t>
      </w:r>
      <w:r/>
    </w:p>
    <w:p>
      <w:pPr>
        <w:pStyle w:val="ListBullet"/>
      </w:pPr>
      <w:r>
        <w:t>Source state (resource-owning state) can tax extraction royalties **without treaty limitation**</w:t>
      </w:r>
    </w:p>
    <w:p>
      <w:pPr>
        <w:pStyle w:val="ListBullet"/>
      </w:pPr>
      <w:r>
        <w:t>No WHT relief available under Article 12</w:t>
      </w:r>
    </w:p>
    <w:p>
      <w:pPr>
        <w:pStyle w:val="ListBullet"/>
      </w:pPr>
      <w:r>
        <w:t>Double taxation relief: Residence state provides credit (Article 23)</w:t>
      </w:r>
    </w:p>
    <w:p>
      <w:pPr>
        <w:pStyle w:val="Heading4"/>
      </w:pPr>
      <w:r>
        <w:t>3.2.3 Services vs. Royalties - Delimitation</w:t>
      </w:r>
    </w:p>
    <w:p>
      <w:r/>
      <w:r>
        <w:rPr>
          <w:b/>
        </w:rPr>
        <w:t>Critical Distinction:</w:t>
      </w:r>
      <w:r/>
    </w:p>
    <w:p>
      <w:pPr>
        <w:pStyle w:val="ListBullet"/>
      </w:pPr>
      <w:r>
        <w:t>**Royalties (Article 12)**: Payment for **use of IP** (passive income, WHT applicable)</w:t>
      </w:r>
    </w:p>
    <w:p>
      <w:pPr>
        <w:pStyle w:val="ListBullet"/>
      </w:pPr>
      <w:r>
        <w:t>**Business Profits (Article 7)**: Payment for **services** (active income, PE threshold)</w:t>
      </w:r>
    </w:p>
    <w:p>
      <w:r/>
      <w:r>
        <w:rPr>
          <w:b/>
        </w:rPr>
        <w:t>Technical Services in Extractive Industries:</w:t>
      </w:r>
      <w:r/>
    </w:p>
    <w:p>
      <w:r/>
      <w:r>
        <w:rPr>
          <w:b/>
        </w:rPr>
        <w:t>Scenario 1: Pure Services</w:t>
      </w:r>
      <w:r/>
    </w:p>
    <w:p>
      <w:pPr>
        <w:pStyle w:val="ListBullet"/>
      </w:pPr>
      <w:r>
        <w:t>Seismic survey contract: TechCo performs seismic survey for $10m</w:t>
      </w:r>
    </w:p>
    <w:p>
      <w:pPr>
        <w:pStyle w:val="ListBullet"/>
      </w:pPr>
      <w:r>
        <w:t>Characterization: **Article 7 (Business Profits)**</w:t>
      </w:r>
    </w:p>
    <w:p>
      <w:pPr>
        <w:pStyle w:val="ListBullet"/>
      </w:pPr>
      <w:r>
        <w:t>Taxation: Source state can tax only if PE exists (typically &gt;6 months)</w:t>
      </w:r>
    </w:p>
    <w:p>
      <w:pPr>
        <w:pStyle w:val="ListBullet"/>
      </w:pPr>
      <w:r>
        <w:t>WHT: Generally not applicable (unless specific services article in treaty)</w:t>
      </w:r>
    </w:p>
    <w:p>
      <w:r/>
      <w:r>
        <w:rPr>
          <w:b/>
        </w:rPr>
        <w:t>Scenario 2: Pure IP Licensing</w:t>
      </w:r>
      <w:r/>
    </w:p>
    <w:p>
      <w:pPr>
        <w:pStyle w:val="ListBullet"/>
      </w:pPr>
      <w:r>
        <w:t>Software license: ExtractCo licenses reservoir modeling software for $2m/year</w:t>
      </w:r>
    </w:p>
    <w:p>
      <w:pPr>
        <w:pStyle w:val="ListBullet"/>
      </w:pPr>
      <w:r>
        <w:t>Characterization: **Article 12 (Royalties)**</w:t>
      </w:r>
    </w:p>
    <w:p>
      <w:pPr>
        <w:pStyle w:val="ListBullet"/>
      </w:pPr>
      <w:r>
        <w:t>Taxation: Source state WHT at treaty rate (e.g., 10%)</w:t>
      </w:r>
    </w:p>
    <w:p>
      <w:pPr>
        <w:pStyle w:val="ListBullet"/>
      </w:pPr>
      <w:r>
        <w:t>No PE creation from passive licensing</w:t>
      </w:r>
    </w:p>
    <w:p>
      <w:r/>
      <w:r>
        <w:rPr>
          <w:b/>
        </w:rPr>
        <w:t>Scenario 3: Hybrid (Services + IP)</w:t>
      </w:r>
      <w:r/>
    </w:p>
    <w:p>
      <w:pPr>
        <w:pStyle w:val="ListBullet"/>
      </w:pPr>
      <w:r>
        <w:t>Drilling contract: Contractor provides drilling services ($15m) using proprietary drilling technology (implicit IP element)</w:t>
      </w:r>
    </w:p>
    <w:p>
      <w:pPr>
        <w:pStyle w:val="ListBullet"/>
      </w:pPr>
      <w:r>
        <w:t>Characterization: **Requires allocation**</w:t>
      </w:r>
    </w:p>
    <w:p>
      <w:r>
        <w:t xml:space="preserve">  - Technology element: Article 12 (if separately identifiable)</w:t>
      </w:r>
    </w:p>
    <w:p>
      <w:pPr>
        <w:pStyle w:val="ListBullet"/>
      </w:pPr>
      <w:r>
        <w:t>Analysis: Substance over form; bundled arrangements treated as Article 7 if IP is ancillary</w:t>
      </w:r>
    </w:p>
    <w:p>
      <w:r/>
      <w:r>
        <w:rPr>
          <w:b/>
        </w:rPr>
        <w:t>OECD Guidance:</w:t>
      </w:r>
      <w:r/>
    </w:p>
    <w:p>
      <w:pPr>
        <w:pStyle w:val="ListBullet"/>
      </w:pPr>
      <w:r>
        <w:t>**Ancillary IP**: Where IP is mere tool for service delivery → Article 7</w:t>
      </w:r>
    </w:p>
    <w:p>
      <w:pPr>
        <w:pStyle w:val="ListBullet"/>
      </w:pPr>
      <w:r>
        <w:t>**Standalone IP**: Where IP is separately exploitable → Article 12</w:t>
      </w:r>
    </w:p>
    <w:p>
      <w:pPr>
        <w:pStyle w:val="ListBullet"/>
      </w:pPr>
      <w:r>
        <w:t>**Make-available clause**: Some treaties (China, India) restrict Article 12 to royalties that "make available" technical knowledge</w:t>
      </w:r>
    </w:p>
    <w:p>
      <w:r/>
      <w:r>
        <w:rPr>
          <w:b/>
        </w:rPr>
        <w:t>Example - Technical Assistance Payments (TAP):</w:t>
      </w:r>
      <w:r/>
    </w:p>
    <w:p>
      <w:r>
        <w:t>Many treaties include specific provisions for "technical services" or "fees for included services":</w:t>
      </w:r>
    </w:p>
    <w:p>
      <w:r/>
      <w:r>
        <w:rPr>
          <w:b/>
        </w:rPr>
        <w:t>UN Model Article 12A (Fees for Technical Services):</w:t>
      </w:r>
      <w:r/>
    </w:p>
    <w:p>
      <w:pPr>
        <w:pStyle w:val="ListBullet"/>
      </w:pPr>
      <w:r>
        <w:t>Payments for technical or consultancy services</w:t>
      </w:r>
    </w:p>
    <w:p>
      <w:pPr>
        <w:pStyle w:val="ListBullet"/>
      </w:pPr>
      <w:r>
        <w:t>Source state may impose WHT (typically 10-15%)</w:t>
      </w:r>
    </w:p>
    <w:p>
      <w:pPr>
        <w:pStyle w:val="ListBullet"/>
      </w:pPr>
      <w:r>
        <w:t>Relevant for: Engineering, geological surveys, project management in extractive sectors</w:t>
      </w:r>
    </w:p>
    <w:p>
      <w:r/>
      <w:r>
        <w:rPr>
          <w:b/>
        </w:rPr>
        <w:t>Indian Treaty Practice:</w:t>
      </w:r>
      <w:r/>
    </w:p>
    <w:p>
      <w:pPr>
        <w:pStyle w:val="ListBullet"/>
      </w:pPr>
      <w:r>
        <w:t>"Fees for Technical Services" (FTS) defined broadly</w:t>
      </w:r>
    </w:p>
    <w:p>
      <w:pPr>
        <w:pStyle w:val="ListBullet"/>
      </w:pPr>
      <w:r>
        <w:t>Includes services that make available technical knowledge/skills</w:t>
      </w:r>
    </w:p>
    <w:p>
      <w:pPr>
        <w:pStyle w:val="ListBullet"/>
      </w:pPr>
      <w:r>
        <w:t>WHT applicable even without IP transfer</w:t>
      </w:r>
    </w:p>
    <w:p>
      <w:pPr>
        <w:pStyle w:val="ListBullet"/>
      </w:pPr>
      <w:r>
        <w:t>Impact: Blurs line between Article 7 and Article 12</w:t>
      </w:r>
    </w:p>
    <w:p>
      <w:r>
        <w:t>---</w:t>
      </w:r>
    </w:p>
    <w:p>
      <w:pPr>
        <w:pStyle w:val="Heading2"/>
      </w:pPr>
      <w:r>
        <w:t>4. Application Methodology and Calculation Frameworks</w:t>
      </w:r>
    </w:p>
    <w:p>
      <w:pPr>
        <w:pStyle w:val="Heading3"/>
      </w:pPr>
      <w:r>
        <w:t>4.1 Step-by-Step Royalty Analysis Framework</w:t>
      </w:r>
    </w:p>
    <w:p>
      <w:r>
        <w:t>When analyzing a royalty scenario for ADIT purposes, apply this systematic methodology:</w:t>
      </w:r>
    </w:p>
    <w:p>
      <w:r/>
      <w:r>
        <w:rPr>
          <w:b/>
        </w:rPr>
        <w:t>Step 1: Identify Royalty Type</w:t>
      </w:r>
      <w:r/>
    </w:p>
    <w:p>
      <w:pPr>
        <w:pStyle w:val="ListBullet"/>
      </w:pPr>
      <w:r>
        <w:t>Determine if extraction royalty or IP royalty</w:t>
      </w:r>
    </w:p>
    <w:p>
      <w:pPr>
        <w:pStyle w:val="ListBullet"/>
      </w:pPr>
      <w:r>
        <w:t>Classify calculation method: Ad valorem, specific, profit-based, sliding scale</w:t>
      </w:r>
    </w:p>
    <w:p>
      <w:pPr>
        <w:pStyle w:val="ListBullet"/>
      </w:pPr>
      <w:r>
        <w:t>Review statutory/contractual basis</w:t>
      </w:r>
    </w:p>
    <w:p>
      <w:r/>
      <w:r>
        <w:rPr>
          <w:b/>
        </w:rPr>
        <w:t>Step 2: Establish Calculation Base</w:t>
      </w:r>
      <w:r/>
    </w:p>
    <w:p>
      <w:pPr/>
      <w:r>
        <w:t>For Ad Valorem:</w:t>
      </w:r>
    </w:p>
    <w:p>
      <w:pPr/>
      <w:r>
        <w:t>→ Determine gross revenue calculation</w:t>
      </w:r>
    </w:p>
    <w:p>
      <w:pPr/>
      <w:r>
        <w:t>→ Identify valuation point (wellhead, sales point, reference price)</w:t>
      </w:r>
    </w:p>
    <w:p>
      <w:pPr/>
      <w:r>
        <w:t>→ Apply quality adjustments and netback calculations</w:t>
      </w:r>
    </w:p>
    <w:p>
      <w:pPr/>
      <w:r>
        <w:t>→ Verify transfer pricing compliance (related-party sales)</w:t>
      </w:r>
    </w:p>
    <w:p>
      <w:pPr/>
    </w:p>
    <w:p>
      <w:pPr/>
      <w:r>
        <w:t>For Specific:</w:t>
      </w:r>
    </w:p>
    <w:p>
      <w:pPr/>
      <w:r>
        <w:t>→ Confirm production volume measurement</w:t>
      </w:r>
    </w:p>
    <w:p>
      <w:pPr/>
      <w:r>
        <w:t>→ Identify unit rate ($/barrel, $/tonne)</w:t>
      </w:r>
    </w:p>
    <w:p>
      <w:pPr/>
      <w:r>
        <w:t>→ Calculate total payment</w:t>
      </w:r>
    </w:p>
    <w:p>
      <w:pPr/>
    </w:p>
    <w:p>
      <w:pPr/>
      <w:r>
        <w:t>For Profit-Based:</w:t>
      </w:r>
    </w:p>
    <w:p>
      <w:pPr/>
      <w:r>
        <w:t>→ Determine allowable cost deductions</w:t>
      </w:r>
    </w:p>
    <w:p>
      <w:pPr/>
      <w:r>
        <w:t>→ Calculate net profit base</w:t>
      </w:r>
    </w:p>
    <w:p>
      <w:pPr/>
      <w:r>
        <w:t>→ Apply royalty rate to net profit</w:t>
      </w:r>
    </w:p>
    <w:p>
      <w:pPr/>
    </w:p>
    <w:p>
      <w:pPr/>
      <w:r>
        <w:t>For Sliding Scale:</w:t>
      </w:r>
    </w:p>
    <w:p>
      <w:pPr/>
      <w:r>
        <w:t>→ Identify trigger mechanism (price, volume, R-Factor)</w:t>
      </w:r>
    </w:p>
    <w:p>
      <w:pPr/>
      <w:r>
        <w:t>→ Calculate applicable rate for current period</w:t>
      </w:r>
    </w:p>
    <w:p>
      <w:pPr/>
      <w:r>
        <w:t>→ Apply rate to relevant base</w:t>
      </w:r>
    </w:p>
    <w:p>
      <w:r/>
      <w:r>
        <w:rPr>
          <w:b/>
        </w:rPr>
        <w:t>Step 3: Calculate Royalty Liability</w:t>
      </w:r>
      <w:r/>
    </w:p>
    <w:p>
      <w:pPr/>
      <w:r>
        <w:t>Royalty = Base × Rate</w:t>
      </w:r>
    </w:p>
    <w:p>
      <w:pPr/>
    </w:p>
    <w:p>
      <w:pPr/>
      <w:r>
        <w:t>Consider:</w:t>
      </w:r>
    </w:p>
    <w:p>
      <w:pPr/>
      <w:r>
        <w:t>- In-kind vs. cash payment</w:t>
      </w:r>
    </w:p>
    <w:p>
      <w:pPr/>
      <w:r>
        <w:t>- Timing of liability (production, sales, lifting)</w:t>
      </w:r>
    </w:p>
    <w:p>
      <w:pPr/>
      <w:r>
        <w:t>- Currency and payment terms</w:t>
      </w:r>
    </w:p>
    <w:p>
      <w:r/>
      <w:r>
        <w:rPr>
          <w:b/>
        </w:rPr>
        <w:t>Step 4: Analyze Tax Implications</w:t>
      </w:r>
      <w:r/>
    </w:p>
    <w:p>
      <w:pPr/>
      <w:r>
        <w:t>For Corporate Income Tax:</w:t>
      </w:r>
    </w:p>
    <w:p>
      <w:pPr/>
      <w:r>
        <w:t>→ Confirm deductibility of royalty</w:t>
      </w:r>
    </w:p>
    <w:p>
      <w:pPr/>
      <w:r>
        <w:t>→ Calculate impact on taxable profit</w:t>
      </w:r>
    </w:p>
    <w:p>
      <w:pPr/>
      <w:r>
        <w:t>→ Determine effective tax relief from deduction</w:t>
      </w:r>
    </w:p>
    <w:p>
      <w:pPr/>
    </w:p>
    <w:p>
      <w:pPr/>
      <w:r>
        <w:t>For Withholding Tax:</w:t>
      </w:r>
    </w:p>
    <w:p>
      <w:pPr/>
      <w:r>
        <w:t>→ Classify as extraction (no WHT) or IP (WHT applicable)</w:t>
      </w:r>
    </w:p>
    <w:p>
      <w:pPr/>
      <w:r>
        <w:t>→ Identify domestic WHT rate</w:t>
      </w:r>
    </w:p>
    <w:p>
      <w:pPr/>
      <w:r>
        <w:t>→ Check treaty relief (if cross-border)</w:t>
      </w:r>
    </w:p>
    <w:p>
      <w:pPr/>
      <w:r>
        <w:t>→ Verify beneficial ownership requirements</w:t>
      </w:r>
    </w:p>
    <w:p>
      <w:pPr/>
      <w:r>
        <w:t>→ Calculate net WHT liability</w:t>
      </w:r>
    </w:p>
    <w:p>
      <w:r/>
      <w:r>
        <w:rPr>
          <w:b/>
        </w:rPr>
        <w:t>Step 5: Transfer Pricing Analysis</w:t>
      </w:r>
      <w:r/>
    </w:p>
    <w:p>
      <w:pPr/>
      <w:r>
        <w:t>For IP Royalties to Related Parties:</w:t>
      </w:r>
    </w:p>
    <w:p>
      <w:pPr/>
      <w:r>
        <w:t>→ Determine arm's length rate (CUP, TNMM, Profit Split)</w:t>
      </w:r>
    </w:p>
    <w:p>
      <w:pPr/>
      <w:r>
        <w:t>→ Prepare transfer pricing documentation</w:t>
      </w:r>
    </w:p>
    <w:p>
      <w:pPr/>
      <w:r>
        <w:t>→ Consider BEPS anti-avoidance (PPT, LOB, earnings stripping)</w:t>
      </w:r>
    </w:p>
    <w:p>
      <w:pPr/>
    </w:p>
    <w:p>
      <w:pPr/>
      <w:r>
        <w:t>For Extraction Royalties with Related-Party Sales:</w:t>
      </w:r>
    </w:p>
    <w:p>
      <w:pPr/>
      <w:r>
        <w:t>→ Verify sales price at arm's length (CUP method)</w:t>
      </w:r>
    </w:p>
    <w:p>
      <w:pPr/>
      <w:r>
        <w:t>→ Apply quality adjustments and benchmarking</w:t>
      </w:r>
    </w:p>
    <w:p>
      <w:pPr/>
      <w:r>
        <w:t>→ Document pricing methodology</w:t>
      </w:r>
    </w:p>
    <w:p>
      <w:r/>
      <w:r>
        <w:rPr>
          <w:b/>
        </w:rPr>
        <w:t>Step 6: Compliance and Reporting</w:t>
      </w:r>
      <w:r/>
    </w:p>
    <w:p>
      <w:pPr/>
      <w:r>
        <w:t>→ Calculate periodic royalty returns (monthly, quarterly)</w:t>
      </w:r>
    </w:p>
    <w:p>
      <w:pPr/>
      <w:r>
        <w:t>→ Prepare royalty reconciliations</w:t>
      </w:r>
    </w:p>
    <w:p>
      <w:pPr/>
      <w:r>
        <w:t>→ File corporate tax returns with royalty deduction</w:t>
      </w:r>
    </w:p>
    <w:p>
      <w:pPr/>
      <w:r>
        <w:t>→ Withholding tax returns and payments (if applicable)</w:t>
      </w:r>
    </w:p>
    <w:p>
      <w:pPr/>
      <w:r>
        <w:t>→ Transfer pricing documentation (Master File, Local File)</w:t>
      </w:r>
    </w:p>
    <w:p>
      <w:pPr>
        <w:pStyle w:val="Heading3"/>
      </w:pPr>
      <w:r>
        <w:t>4.2 Decision Tree - Royalty Classification</w:t>
      </w:r>
    </w:p>
    <w:p>
      <w:pPr/>
      <w:r>
        <w:t>START: Payment Related to Resource Extraction</w:t>
      </w:r>
    </w:p>
    <w:p>
      <w:pPr/>
    </w:p>
    <w:p>
      <w:pPr/>
      <w:r>
        <w:t>├─ Is payment to STATE for extraction of natural resources?</w:t>
      </w:r>
    </w:p>
    <w:p>
      <w:pPr/>
      <w:r>
        <w:t>│   ├─ YES → EXTRACTION ROYALTY</w:t>
      </w:r>
    </w:p>
    <w:p>
      <w:pPr/>
      <w:r>
        <w:t>│   │   ├─ Calculation basis?</w:t>
      </w:r>
    </w:p>
    <w:p>
      <w:pPr/>
      <w:r>
        <w:t>│   │   │   ├─ Gross revenue → AD VALOREM ROYALTY</w:t>
      </w:r>
    </w:p>
    <w:p>
      <w:pPr/>
      <w:r>
        <w:t>│   │   │   ├─ Production units → SPECIFIC ROYALTY</w:t>
      </w:r>
    </w:p>
    <w:p>
      <w:pPr/>
      <w:r>
        <w:t>│   │   │   ├─ Net profit → PROFIT-BASED ROYALTY</w:t>
      </w:r>
    </w:p>
    <w:p>
      <w:pPr/>
      <w:r>
        <w:t>│   │   │   └─ Variable rate → SLIDING SCALE ROYALTY</w:t>
      </w:r>
    </w:p>
    <w:p>
      <w:pPr/>
      <w:r>
        <w:t>│   │   ├─ Treaty treatment → Article 6 (Immovable Property)</w:t>
      </w:r>
    </w:p>
    <w:p>
      <w:pPr/>
      <w:r>
        <w:t>│   │   ├─ Withholding tax → Generally NO WHT</w:t>
      </w:r>
    </w:p>
    <w:p>
      <w:pPr/>
      <w:r>
        <w:t>│   │   └─ Deductibility → Usually DEDUCTIBLE for CIT</w:t>
      </w:r>
    </w:p>
    <w:p>
      <w:pPr/>
      <w:r>
        <w:t>│   │</w:t>
      </w:r>
    </w:p>
    <w:p>
      <w:pPr/>
      <w:r>
        <w:t>│   └─ NO → Proceed to next test</w:t>
      </w:r>
    </w:p>
    <w:p>
      <w:pPr/>
      <w:r>
        <w:t>│</w:t>
      </w:r>
    </w:p>
    <w:p>
      <w:pPr/>
      <w:r>
        <w:t>├─ Is payment for USE OF INTELLECTUAL PROPERTY?</w:t>
      </w:r>
    </w:p>
    <w:p>
      <w:pPr/>
      <w:r>
        <w:t>│   ├─ YES → IP ROYALTY</w:t>
      </w:r>
    </w:p>
    <w:p>
      <w:pPr/>
      <w:r>
        <w:t>│   │   ├─ IP type?</w:t>
      </w:r>
    </w:p>
    <w:p>
      <w:pPr/>
      <w:r>
        <w:t>│   │   │   ├─ Patents, know-how, technology → ROYALTY (Article 12)</w:t>
      </w:r>
    </w:p>
    <w:p>
      <w:pPr/>
      <w:r>
        <w:t>│   │   │   ├─ Software licensing → ROYALTY (Article 12)</w:t>
      </w:r>
    </w:p>
    <w:p>
      <w:pPr/>
      <w:r>
        <w:t>│   │   │   └─ Trademarks, copyrights → ROYALTY (Article 12)</w:t>
      </w:r>
    </w:p>
    <w:p>
      <w:pPr/>
      <w:r>
        <w:t>│   │   ├─ Treaty treatment → Article 12 (Royalties)</w:t>
      </w:r>
    </w:p>
    <w:p>
      <w:pPr/>
      <w:r>
        <w:t>│   │   ├─ Withholding tax → YES (domestic or treaty rate)</w:t>
      </w:r>
    </w:p>
    <w:p>
      <w:pPr/>
      <w:r>
        <w:t>│   │   └─ Deductibility → Deductible (subject to TP rules)</w:t>
      </w:r>
    </w:p>
    <w:p>
      <w:pPr/>
      <w:r>
        <w:t>│   │</w:t>
      </w:r>
    </w:p>
    <w:p>
      <w:pPr/>
      <w:r>
        <w:t>│   └─ NO → Proceed to next test</w:t>
      </w:r>
    </w:p>
    <w:p>
      <w:pPr/>
      <w:r>
        <w:t>│</w:t>
      </w:r>
    </w:p>
    <w:p>
      <w:pPr/>
      <w:r>
        <w:t>├─ Is payment for SERVICES (technical, management)?</w:t>
      </w:r>
    </w:p>
    <w:p>
      <w:pPr/>
      <w:r>
        <w:t>│   ├─ YES → BUSINESS PROFITS / FTS</w:t>
      </w:r>
    </w:p>
    <w:p>
      <w:pPr/>
      <w:r>
        <w:t>│   │   ├─ IP element ancillary? → Article 7 (Business Profits)</w:t>
      </w:r>
    </w:p>
    <w:p>
      <w:pPr/>
      <w:r>
        <w:t>│   │   ├─ PE created? → Check duration, services PE rules</w:t>
      </w:r>
    </w:p>
    <w:p>
      <w:pPr/>
      <w:r>
        <w:t>│   │   ├─ FTS provision in treaty? → May trigger WHT</w:t>
      </w:r>
    </w:p>
    <w:p>
      <w:pPr/>
      <w:r>
        <w:t>│   │   └─ Deductibility → Deductible (subject to TP rules)</w:t>
      </w:r>
    </w:p>
    <w:p>
      <w:pPr/>
      <w:r>
        <w:t>│   │</w:t>
      </w:r>
    </w:p>
    <w:p>
      <w:pPr/>
      <w:r>
        <w:t>│   └─ NO → Other characterization (interest, dividend, etc.)</w:t>
      </w:r>
    </w:p>
    <w:p>
      <w:pPr/>
      <w:r>
        <w:t>│</w:t>
      </w:r>
    </w:p>
    <w:p>
      <w:pPr/>
      <w:r>
        <w:t>END: Apply relevant tax treatment based on classification</w:t>
      </w:r>
    </w:p>
    <w:p>
      <w:pPr>
        <w:pStyle w:val="Heading3"/>
      </w:pPr>
      <w:r>
        <w:t>4.3 Valuation Methodology - Royalty Base</w:t>
      </w:r>
    </w:p>
    <w:p>
      <w:pPr>
        <w:pStyle w:val="Heading4"/>
      </w:pPr>
      <w:r>
        <w:t>4.3.1 Petroleum Royalties - Wellhead Valuation</w:t>
      </w:r>
    </w:p>
    <w:p>
      <w:r/>
      <w:r>
        <w:rPr>
          <w:b/>
        </w:rPr>
        <w:t>Netback Method (Standard Approach):</w:t>
      </w:r>
      <w:r/>
    </w:p>
    <w:p>
      <w:pPr/>
      <w:r>
        <w:t>Wellhead Value = Sales Realization - Post-Wellhead Costs</w:t>
      </w:r>
    </w:p>
    <w:p>
      <w:pPr/>
    </w:p>
    <w:p>
      <w:pPr/>
      <w:r>
        <w:t>Where:</w:t>
      </w:r>
    </w:p>
    <w:p>
      <w:pPr/>
      <w:r>
        <w:t>Sales Realization = Volume Sold × Sales Price (arm's length)</w:t>
      </w:r>
    </w:p>
    <w:p>
      <w:pPr/>
      <w:r>
        <w:t>Post-Wellhead Costs = Transport + Processing + Storage + Marketing</w:t>
      </w:r>
    </w:p>
    <w:p>
      <w:r/>
      <w:r>
        <w:rPr>
          <w:b/>
        </w:rPr>
        <w:t>Example Calculation:</w:t>
      </w:r>
      <w:r/>
    </w:p>
    <w:p>
      <w:pPr/>
      <w:r>
        <w:t>Crude oil production: 100,000 barrels</w:t>
      </w:r>
    </w:p>
    <w:p>
      <w:pPr/>
      <w:r>
        <w:t>Sales price (Brent-linked): $85/barrel</w:t>
      </w:r>
    </w:p>
    <w:p>
      <w:pPr/>
      <w:r>
        <w:t>Transport to terminal: $3/barrel</w:t>
      </w:r>
    </w:p>
    <w:p>
      <w:pPr/>
      <w:r>
        <w:t>Processing/treating: $2/barrel</w:t>
      </w:r>
    </w:p>
    <w:p>
      <w:pPr/>
      <w:r>
        <w:t>Storage: $0.50/barrel</w:t>
      </w:r>
    </w:p>
    <w:p>
      <w:pPr/>
      <w:r>
        <w:t>Marketing/insurance: $0.50/barrel</w:t>
      </w:r>
    </w:p>
    <w:p>
      <w:pPr/>
    </w:p>
    <w:p>
      <w:pPr/>
      <w:r>
        <w:t>Sales Realization: 100,000 × $85 = $8,500,000</w:t>
      </w:r>
    </w:p>
    <w:p>
      <w:pPr/>
      <w:r>
        <w:t>Post-wellhead costs: 100,000 × ($3 + $2 + $0.50 + $0.50) = $600,000</w:t>
      </w:r>
    </w:p>
    <w:p>
      <w:pPr/>
    </w:p>
    <w:p>
      <w:pPr/>
      <w:r>
        <w:t>Wellhead Value: $8,500,000 - $600,000 = $7,900,000</w:t>
      </w:r>
    </w:p>
    <w:p>
      <w:pPr/>
    </w:p>
    <w:p>
      <w:pPr/>
      <w:r>
        <w:t>Ad Valorem Royalty (10%): $7,900,000 × 10% = $790,000</w:t>
      </w:r>
    </w:p>
    <w:p>
      <w:pPr>
        <w:pStyle w:val="Heading4"/>
      </w:pPr>
      <w:r>
        <w:t>4.3.2 Mineral Royalties - Pithead Valuation</w:t>
      </w:r>
    </w:p>
    <w:p>
      <w:r/>
      <w:r>
        <w:rPr>
          <w:b/>
        </w:rPr>
        <w:t>Gross Value Method:</w:t>
      </w:r>
      <w:r/>
    </w:p>
    <w:p>
      <w:pPr/>
      <w:r>
        <w:t>Pithead Value = Market Price (benchmark) - Beneficiation Costs - Transport</w:t>
      </w:r>
    </w:p>
    <w:p>
      <w:pPr/>
    </w:p>
    <w:p>
      <w:pPr/>
      <w:r>
        <w:t>For minerals requiring significant processing (iron ore, copper):</w:t>
      </w:r>
    </w:p>
    <w:p>
      <w:pPr/>
      <w:r>
        <w:t>Adjusted Value = LME Price × Grade/Purity Factor - Smelting Costs - Freight</w:t>
      </w:r>
    </w:p>
    <w:p>
      <w:r/>
      <w:r>
        <w:rPr>
          <w:b/>
        </w:rPr>
        <w:t>Example (Copper Concentrate):</w:t>
      </w:r>
      <w:r/>
    </w:p>
    <w:p>
      <w:pPr/>
      <w:r>
        <w:t>Copper concentrate production: 50,000 tonnes</w:t>
      </w:r>
    </w:p>
    <w:p>
      <w:pPr/>
      <w:r>
        <w:t>Copper content: 25% (grade)</w:t>
      </w:r>
    </w:p>
    <w:p>
      <w:pPr/>
      <w:r>
        <w:t>LME copper price: $8,000/tonne</w:t>
      </w:r>
    </w:p>
    <w:p>
      <w:pPr/>
      <w:r>
        <w:t>Treatment charges (smelting): $80/tonne</w:t>
      </w:r>
    </w:p>
    <w:p>
      <w:pPr/>
      <w:r>
        <w:t>Freight to port: $20/tonne</w:t>
      </w:r>
    </w:p>
    <w:p>
      <w:pPr/>
    </w:p>
    <w:p>
      <w:pPr/>
      <w:r>
        <w:t>Copper content: 50,000 × 25% = 12,500 tonnes pure copper</w:t>
      </w:r>
    </w:p>
    <w:p>
      <w:pPr/>
      <w:r>
        <w:t>Gross value: 12,500 × $8,000 = $100,000,000</w:t>
      </w:r>
    </w:p>
    <w:p>
      <w:pPr/>
      <w:r>
        <w:t>Less: Treatment (50,000 × $80) = $4,000,000</w:t>
      </w:r>
    </w:p>
    <w:p>
      <w:pPr/>
      <w:r>
        <w:t>Less: Freight (50,000 × $20) = $1,000,000</w:t>
      </w:r>
    </w:p>
    <w:p>
      <w:pPr/>
    </w:p>
    <w:p>
      <w:pPr/>
      <w:r>
        <w:t>Pithead Value: $100,000,000 - $4,000,000 - $1,000,000 = $95,000,000</w:t>
      </w:r>
    </w:p>
    <w:p>
      <w:pPr/>
    </w:p>
    <w:p>
      <w:pPr/>
      <w:r>
        <w:t>Ad Valorem Royalty (5%): $95,000,000 × 5% = $4,750,000</w:t>
      </w:r>
    </w:p>
    <w:p>
      <w:pPr>
        <w:pStyle w:val="Heading4"/>
      </w:pPr>
      <w:r>
        <w:t>4.3.3 Natural Gas Royalties - Heating Value Adjustment</w:t>
      </w:r>
    </w:p>
    <w:p>
      <w:r/>
      <w:r>
        <w:rPr>
          <w:b/>
        </w:rPr>
        <w:t>Energy Content Basis:</w:t>
      </w:r>
      <w:r/>
    </w:p>
    <w:p>
      <w:pPr/>
      <w:r>
        <w:t>Royalty = Volume (MMBtu or MCF) × Price × Royalty Rate</w:t>
      </w:r>
    </w:p>
    <w:p>
      <w:pPr/>
    </w:p>
    <w:p>
      <w:pPr/>
      <w:r>
        <w:t>Quality adjustment: Btu content variation affects value</w:t>
      </w:r>
    </w:p>
    <w:p>
      <w:r/>
      <w:r>
        <w:rPr>
          <w:b/>
        </w:rPr>
        <w:t>Example:</w:t>
      </w:r>
      <w:r/>
    </w:p>
    <w:p>
      <w:pPr/>
      <w:r>
        <w:t>Natural gas production: 10,000 MMCF (million cubic feet)</w:t>
      </w:r>
    </w:p>
    <w:p>
      <w:pPr/>
      <w:r>
        <w:t>Heating value: 1,050 Btu/CF (vs. standard 1,000 Btu/CF)</w:t>
      </w:r>
    </w:p>
    <w:p>
      <w:pPr/>
      <w:r>
        <w:t>Price: $3.50/MMCF</w:t>
      </w:r>
    </w:p>
    <w:p>
      <w:pPr/>
      <w:r>
        <w:t>Royalty rate: 12.5%</w:t>
      </w:r>
    </w:p>
    <w:p>
      <w:pPr/>
    </w:p>
    <w:p>
      <w:pPr/>
      <w:r>
        <w:t>Adjusted volume: 10,000 MMCF × (1,050/1,000) = 10,500 MMCF equivalent</w:t>
      </w:r>
    </w:p>
    <w:p>
      <w:pPr/>
    </w:p>
    <w:p>
      <w:pPr/>
      <w:r>
        <w:t>Royalty: 10,500 × $3.50 × 12.5% = $4,593,750</w:t>
      </w:r>
    </w:p>
    <w:p>
      <w:r>
        <w:t>---</w:t>
      </w:r>
    </w:p>
    <w:p>
      <w:pPr>
        <w:pStyle w:val="Heading2"/>
      </w:pPr>
      <w:r>
        <w:t>5. Worked Examples</w:t>
      </w:r>
    </w:p>
    <w:p>
      <w:pPr>
        <w:pStyle w:val="Heading3"/>
      </w:pPr>
      <w:r>
        <w:t>Example 1: Ad Valorem Royalty Calculation with Transfer Pricing Adjustment</w:t>
      </w:r>
    </w:p>
    <w:p>
      <w:r/>
      <w:r>
        <w:rPr>
          <w:b/>
        </w:rPr>
        <w:t>Fact Pattern:</w:t>
      </w:r>
      <w:r/>
    </w:p>
    <w:p>
      <w:r>
        <w:t>PetroCo Ghana Ltd operates an offshore oil field under a concession agreement with the Government of Ghana. For Q1 2025:</w:t>
      </w:r>
    </w:p>
    <w:p>
      <w:r/>
      <w:r>
        <w:rPr>
          <w:b/>
        </w:rPr>
        <w:t>Production and Sales:</w:t>
      </w:r>
      <w:r/>
    </w:p>
    <w:p>
      <w:pPr>
        <w:pStyle w:val="ListBullet"/>
      </w:pPr>
      <w:r>
        <w:t>Crude oil production: 3,000,000 barrels</w:t>
      </w:r>
    </w:p>
    <w:p>
      <w:pPr>
        <w:pStyle w:val="ListBullet"/>
      </w:pPr>
      <w:r>
        <w:t>Sales breakdown:</w:t>
      </w:r>
    </w:p>
    <w:p>
      <w:r>
        <w:t xml:space="preserve">  - 1,000,000 barrels sold to PetroCo Netherlands (parent) at $78/barrel</w:t>
      </w:r>
    </w:p>
    <w:p>
      <w:r/>
      <w:r>
        <w:rPr>
          <w:b/>
        </w:rPr>
        <w:t>Post-Wellhead Costs:</w:t>
      </w:r>
      <w:r/>
    </w:p>
    <w:p>
      <w:pPr>
        <w:pStyle w:val="ListBullet"/>
      </w:pPr>
      <w:r>
        <w:t>Transport to FPSO: $2/barrel</w:t>
      </w:r>
    </w:p>
    <w:p>
      <w:pPr>
        <w:pStyle w:val="ListBullet"/>
      </w:pPr>
      <w:r>
        <w:t>Processing and treating: $1.50/barrel</w:t>
      </w:r>
    </w:p>
    <w:p>
      <w:pPr>
        <w:pStyle w:val="ListBullet"/>
      </w:pPr>
      <w:r>
        <w:t>Storage and insurance: $0.50/barrel</w:t>
      </w:r>
    </w:p>
    <w:p>
      <w:r/>
      <w:r>
        <w:rPr>
          <w:b/>
        </w:rPr>
        <w:t>Fiscal Terms:</w:t>
      </w:r>
      <w:r/>
    </w:p>
    <w:p>
      <w:pPr>
        <w:pStyle w:val="ListBullet"/>
      </w:pPr>
      <w:r>
        <w:t>Royalty rate: 5% of wellhead value (ad valorem)</w:t>
      </w:r>
    </w:p>
    <w:p>
      <w:pPr>
        <w:pStyle w:val="ListBullet"/>
      </w:pPr>
      <w:r>
        <w:t>Corporate income tax: 35% (royalty deductible)</w:t>
      </w:r>
    </w:p>
    <w:p>
      <w:pPr>
        <w:pStyle w:val="ListBullet"/>
      </w:pPr>
      <w:r>
        <w:t>Withholding tax on dividends: 8% (domestic), 5% (Ghana-Netherlands treaty)</w:t>
      </w:r>
    </w:p>
    <w:p>
      <w:r/>
      <w:r>
        <w:rPr>
          <w:b/>
        </w:rPr>
        <w:t>Additional Information:</w:t>
      </w:r>
      <w:r/>
    </w:p>
    <w:p>
      <w:pPr>
        <w:pStyle w:val="ListBullet"/>
      </w:pPr>
      <w:r>
        <w:t>Brent crude benchmark for Q1 2025: $83/barrel (average)</w:t>
      </w:r>
    </w:p>
    <w:p>
      <w:pPr>
        <w:pStyle w:val="ListBullet"/>
      </w:pPr>
      <w:r>
        <w:t>API gravity differential: PetroCo crude is 0.5% lower quality (discount $1/barrel)</w:t>
      </w:r>
    </w:p>
    <w:p>
      <w:pPr>
        <w:pStyle w:val="ListBullet"/>
      </w:pPr>
      <w:r>
        <w:t>Ghana Revenue Authority challenges related-party sales price as below arm's length</w:t>
      </w:r>
    </w:p>
    <w:p>
      <w:r/>
      <w:r>
        <w:rPr>
          <w:b/>
        </w:rPr>
        <w:t>Required:</w:t>
      </w:r>
      <w:r/>
    </w:p>
    <w:p>
      <w:r>
        <w:t>(a) Calculate the royalty liability using the unadjusted related-party sales price</w:t>
      </w:r>
    </w:p>
    <w:p>
      <w:r>
        <w:t>(b) Recalculate royalty liability using arm's length transfer pricing adjustment</w:t>
      </w:r>
    </w:p>
    <w:p>
      <w:r>
        <w:t>(c) Calculate the corporate income tax impact of the TP adjustment</w:t>
      </w:r>
    </w:p>
    <w:p>
      <w:r>
        <w:t>(d) Determine total additional tax and royalty liability</w:t>
      </w:r>
    </w:p>
    <w:p>
      <w:r/>
      <w:r>
        <w:rPr>
          <w:b/>
        </w:rPr>
        <w:t>Solution:</w:t>
      </w:r>
      <w:r/>
    </w:p>
    <w:p>
      <w:r/>
      <w:r>
        <w:rPr>
          <w:b/>
        </w:rPr>
        <w:t>Part (a): Royalty Using Unadjusted Sales Prices</w:t>
      </w:r>
      <w:r/>
    </w:p>
    <w:p>
      <w:r/>
      <w:r>
        <w:rPr>
          <w:b/>
        </w:rPr>
        <w:t>Step 1: Calculate Gross Sales Realization</w:t>
      </w:r>
      <w:r/>
    </w:p>
    <w:p>
      <w:pPr/>
      <w:r>
        <w:t>Third-party sales: 2,000,000 × $82 = $164,000,000</w:t>
      </w:r>
    </w:p>
    <w:p>
      <w:pPr/>
      <w:r>
        <w:t>Related-party sales: 1,000,000 × $78 = $78,000,000</w:t>
      </w:r>
    </w:p>
    <w:p>
      <w:pPr/>
      <w:r>
        <w:t xml:space="preserve">                                        ______________</w:t>
      </w:r>
    </w:p>
    <w:p>
      <w:pPr/>
      <w:r>
        <w:t>Total Sales Realization:                $242,000,000</w:t>
      </w:r>
    </w:p>
    <w:p>
      <w:r/>
      <w:r>
        <w:rPr>
          <w:b/>
        </w:rPr>
        <w:t>Step 2: Calculate Post-Wellhead Costs</w:t>
      </w:r>
      <w:r/>
    </w:p>
    <w:p>
      <w:pPr/>
      <w:r>
        <w:t>Total production: 3,000,000 barrels</w:t>
      </w:r>
    </w:p>
    <w:p>
      <w:pPr/>
      <w:r>
        <w:t>Post-wellhead costs per barrel: $2 + $1.50 + $0.50 = $4/barrel</w:t>
      </w:r>
    </w:p>
    <w:p>
      <w:pPr/>
    </w:p>
    <w:p>
      <w:pPr/>
      <w:r>
        <w:t>Total post-wellhead costs: 3,000,000 × $4 = $12,000,000</w:t>
      </w:r>
    </w:p>
    <w:p>
      <w:r/>
      <w:r>
        <w:rPr>
          <w:b/>
        </w:rPr>
        <w:t>Step 3: Calculate Wellhead Value (Netback)</w:t>
      </w:r>
      <w:r/>
    </w:p>
    <w:p>
      <w:pPr/>
      <w:r>
        <w:t>Sales Realization:                      $242,000,000</w:t>
      </w:r>
    </w:p>
    <w:p>
      <w:pPr/>
      <w:r>
        <w:t>Less: Post-wellhead costs:              ($12,000,000)</w:t>
      </w:r>
    </w:p>
    <w:p>
      <w:pPr/>
      <w:r>
        <w:t xml:space="preserve">                                        ______________</w:t>
      </w:r>
    </w:p>
    <w:p>
      <w:pPr/>
      <w:r>
        <w:t>Wellhead Value:                         $230,000,000</w:t>
      </w:r>
    </w:p>
    <w:p>
      <w:r/>
      <w:r>
        <w:rPr>
          <w:b/>
        </w:rPr>
        <w:t>Step 4: Calculate Royalty (5%)</w:t>
      </w:r>
      <w:r/>
    </w:p>
    <w:p>
      <w:pPr/>
      <w:r>
        <w:t>Royalty = $230,000,000 × 5% = $11,500,000</w:t>
      </w:r>
    </w:p>
    <w:p>
      <w:r/>
      <w:r>
        <w:rPr>
          <w:b/>
        </w:rPr>
        <w:t>Part (b): Royalty Using Arm's Length Transfer Pricing</w:t>
      </w:r>
      <w:r/>
    </w:p>
    <w:p>
      <w:r/>
      <w:r>
        <w:rPr>
          <w:b/>
        </w:rPr>
        <w:t>Step 1: Determine Arm's Length Price</w:t>
      </w:r>
      <w:r/>
    </w:p>
    <w:p>
      <w:r/>
      <w:r>
        <w:rPr>
          <w:b/>
        </w:rPr>
        <w:t>CUP Method - Comparable Uncontrolled Price:</w:t>
      </w:r>
      <w:r/>
    </w:p>
    <w:p>
      <w:pPr/>
      <w:r>
        <w:t>External benchmark: Brent crude = $83/barrel</w:t>
      </w:r>
    </w:p>
    <w:p>
      <w:pPr/>
      <w:r>
        <w:t>Quality adjustment (0.5% lower): -$1/barrel</w:t>
      </w:r>
    </w:p>
    <w:p>
      <w:pPr/>
      <w:r>
        <w:t>Arm's length price: $83 - $1 = $82/barrel</w:t>
      </w:r>
    </w:p>
    <w:p>
      <w:pPr/>
    </w:p>
    <w:p>
      <w:pPr/>
      <w:r>
        <w:t>Verification: Third-party sales achieved $82/barrel ✓ (confirms arm's length)</w:t>
      </w:r>
    </w:p>
    <w:p>
      <w:pPr/>
      <w:r>
        <w:t>Related-party sales at $78/barrel represents $4/barrel discount (non-arm's length)</w:t>
      </w:r>
    </w:p>
    <w:p>
      <w:r/>
      <w:r>
        <w:rPr>
          <w:b/>
        </w:rPr>
        <w:t>Step 2: Recalculate Sales Realization (Arm's Length)</w:t>
      </w:r>
      <w:r/>
    </w:p>
    <w:p>
      <w:pPr/>
      <w:r>
        <w:t>Third-party sales: 2,000,000 × $82 = $164,000,000 (unchanged)</w:t>
      </w:r>
    </w:p>
    <w:p>
      <w:pPr/>
      <w:r>
        <w:t>Related-party sales (adjusted): 1,000,000 × $82 = $82,000,000 (was $78m)</w:t>
      </w:r>
    </w:p>
    <w:p>
      <w:pPr/>
      <w:r>
        <w:t xml:space="preserve">                                                   ______________</w:t>
      </w:r>
    </w:p>
    <w:p>
      <w:pPr/>
      <w:r>
        <w:t>Total Sales Realization (adjusted):                $246,000,000</w:t>
      </w:r>
    </w:p>
    <w:p>
      <w:pPr/>
    </w:p>
    <w:p>
      <w:pPr/>
      <w:r>
        <w:t>Increase: $246,000,000 - $242,000,000 = $4,000,000</w:t>
      </w:r>
    </w:p>
    <w:p>
      <w:r/>
      <w:r>
        <w:rPr>
          <w:b/>
        </w:rPr>
        <w:t>Step 3: Recalculate Wellhead Value</w:t>
      </w:r>
      <w:r/>
    </w:p>
    <w:p>
      <w:pPr/>
      <w:r>
        <w:t>Sales Realization (adjusted):           $246,000,000</w:t>
      </w:r>
    </w:p>
    <w:p>
      <w:pPr/>
      <w:r>
        <w:t>Less: Post-wellhead costs:              ($12,000,000)</w:t>
      </w:r>
    </w:p>
    <w:p>
      <w:pPr/>
      <w:r>
        <w:t xml:space="preserve">                                        ______________</w:t>
      </w:r>
    </w:p>
    <w:p>
      <w:pPr/>
      <w:r>
        <w:t>Wellhead Value (adjusted):              $234,000,000</w:t>
      </w:r>
    </w:p>
    <w:p>
      <w:r/>
      <w:r>
        <w:rPr>
          <w:b/>
        </w:rPr>
        <w:t>Step 4: Recalculate Royalty</w:t>
      </w:r>
      <w:r/>
    </w:p>
    <w:p>
      <w:pPr/>
      <w:r>
        <w:t>Royalty (adjusted) = $234,000,000 × 5% = $11,700,000</w:t>
      </w:r>
    </w:p>
    <w:p>
      <w:pPr/>
    </w:p>
    <w:p>
      <w:pPr/>
      <w:r>
        <w:t>Additional royalty liability: $11,700,000 - $11,500,000 = $200,000</w:t>
      </w:r>
    </w:p>
    <w:p>
      <w:r/>
      <w:r>
        <w:rPr>
          <w:b/>
        </w:rPr>
        <w:t>Part (c): Corporate Income Tax Impact</w:t>
      </w:r>
      <w:r/>
    </w:p>
    <w:p>
      <w:r/>
      <w:r>
        <w:rPr>
          <w:b/>
        </w:rPr>
        <w:t>Scenario 1: Original (Unadjusted) Position</w:t>
      </w:r>
      <w:r/>
    </w:p>
    <w:p>
      <w:r>
        <w:t>Assume operating costs: $80,000,000; Capital allowances: $30,000,000</w:t>
      </w:r>
    </w:p>
    <w:p>
      <w:pPr/>
      <w:r>
        <w:t>Sales Revenue:                          $242,000,000</w:t>
      </w:r>
    </w:p>
    <w:p>
      <w:pPr/>
      <w:r>
        <w:t>Less: Royalty:                          ($11,500,000)</w:t>
      </w:r>
    </w:p>
    <w:p>
      <w:pPr/>
      <w:r>
        <w:t>Less: Post-wellhead costs:              ($12,000,000)</w:t>
      </w:r>
    </w:p>
    <w:p>
      <w:pPr/>
      <w:r>
        <w:t>Less: Operating costs:                  ($80,000,000)</w:t>
      </w:r>
    </w:p>
    <w:p>
      <w:pPr/>
      <w:r>
        <w:t>Less: Capital allowances:               ($30,000,000)</w:t>
      </w:r>
    </w:p>
    <w:p>
      <w:pPr/>
      <w:r>
        <w:t xml:space="preserve">                                        ______________</w:t>
      </w:r>
    </w:p>
    <w:p>
      <w:pPr/>
      <w:r>
        <w:t>Taxable Profit (original):              $108,500,000</w:t>
      </w:r>
    </w:p>
    <w:p>
      <w:pPr/>
    </w:p>
    <w:p>
      <w:pPr/>
      <w:r>
        <w:t>Corporate Tax (35%):                    $37,975,000</w:t>
      </w:r>
    </w:p>
    <w:p>
      <w:r/>
      <w:r>
        <w:rPr>
          <w:b/>
        </w:rPr>
        <w:t>Scenario 2: Transfer Pricing Adjusted Position</w:t>
      </w:r>
      <w:r/>
    </w:p>
    <w:p>
      <w:pPr/>
      <w:r>
        <w:t>Sales Revenue (adjusted):               $246,000,000</w:t>
      </w:r>
    </w:p>
    <w:p>
      <w:pPr/>
      <w:r>
        <w:t>Less: Royalty (adjusted):               ($11,700,000)</w:t>
      </w:r>
    </w:p>
    <w:p>
      <w:pPr/>
      <w:r>
        <w:t>Less: Post-wellhead costs:              ($12,000,000)</w:t>
      </w:r>
    </w:p>
    <w:p>
      <w:pPr/>
      <w:r>
        <w:t>Less: Operating costs:                  ($80,000,000)</w:t>
      </w:r>
    </w:p>
    <w:p>
      <w:pPr/>
      <w:r>
        <w:t>Less: Capital allowances:               ($30,000,000)</w:t>
      </w:r>
    </w:p>
    <w:p>
      <w:pPr/>
      <w:r>
        <w:t xml:space="preserve">                                        ______________</w:t>
      </w:r>
    </w:p>
    <w:p>
      <w:pPr/>
      <w:r>
        <w:t>Taxable Profit (adjusted):              $112,300,000</w:t>
      </w:r>
    </w:p>
    <w:p>
      <w:pPr/>
    </w:p>
    <w:p>
      <w:pPr/>
      <w:r>
        <w:t>Corporate Tax (35%):                    $39,305,000</w:t>
      </w:r>
    </w:p>
    <w:p>
      <w:r/>
      <w:r>
        <w:rPr>
          <w:b/>
        </w:rPr>
        <w:t>Additional Corporate Tax:</w:t>
      </w:r>
      <w:r/>
    </w:p>
    <w:p>
      <w:pPr/>
      <w:r>
        <w:t>Adjusted CIT:                           $39,305,000</w:t>
      </w:r>
    </w:p>
    <w:p>
      <w:pPr/>
      <w:r>
        <w:t>Original CIT:                           ($37,975,000)</w:t>
      </w:r>
    </w:p>
    <w:p>
      <w:pPr/>
      <w:r>
        <w:t xml:space="preserve">                                        ______________</w:t>
      </w:r>
    </w:p>
    <w:p>
      <w:pPr/>
      <w:r>
        <w:t>Additional CIT Liability:               $1,330,000</w:t>
      </w:r>
    </w:p>
    <w:p>
      <w:r/>
      <w:r>
        <w:rPr>
          <w:b/>
        </w:rPr>
        <w:t>Part (d): Total Additional Liability from TP Adjustment</w:t>
      </w:r>
      <w:r/>
    </w:p>
    <w:p>
      <w:pPr/>
      <w:r>
        <w:t>Additional royalty:                     $200,000</w:t>
      </w:r>
    </w:p>
    <w:p>
      <w:pPr/>
      <w:r>
        <w:t>Additional corporate tax:               $1,330,000</w:t>
      </w:r>
    </w:p>
    <w:p>
      <w:pPr/>
      <w:r>
        <w:t xml:space="preserve">                                        ______________</w:t>
      </w:r>
    </w:p>
    <w:p>
      <w:pPr/>
      <w:r>
        <w:t>TOTAL ADDITIONAL LIABILITY:             $1,530,000</w:t>
      </w:r>
    </w:p>
    <w:p>
      <w:r/>
      <w:r>
        <w:rPr>
          <w:b/>
        </w:rPr>
        <w:t>Analysis:</w:t>
      </w:r>
      <w:r/>
    </w:p>
    <w:p>
      <w:r>
        <w:t>The transfer pricing adjustment of $4/barrel on 1,000,000 barrels ($4,000,000 total) results in:</w:t>
      </w:r>
    </w:p>
    <w:p>
      <w:pPr>
        <w:pStyle w:val="ListNumber"/>
      </w:pPr>
      <w:r>
        <w:t>**Direct royalty impact**: $4,000,000 × 5% = $200,000</w:t>
      </w:r>
    </w:p>
    <w:p>
      <w:pPr>
        <w:pStyle w:val="ListNumber"/>
      </w:pPr>
      <w:r>
        <w:t>**Corporate tax impact**: ($4,000,000 - $200,000) × 35% = $1,330,000</w:t>
      </w:r>
    </w:p>
    <w:p>
      <w:pPr>
        <w:pStyle w:val="ListNumber"/>
      </w:pPr>
      <w:r>
        <w:t>**Effective cost**: $1,530,000 / $4,000,000 = 38.25% of the underpricing</w:t>
      </w:r>
    </w:p>
    <w:p>
      <w:r/>
      <w:r>
        <w:rPr>
          <w:b/>
        </w:rPr>
        <w:t>Effective Tax Rate Calculation:</w:t>
      </w:r>
      <w:r/>
    </w:p>
    <w:p>
      <w:pPr/>
      <w:r>
        <w:t>Additional tax as % of adjustment = $1,530,000 / $4,000,000 = 38.25%</w:t>
      </w:r>
    </w:p>
    <w:p>
      <w:pPr/>
    </w:p>
    <w:p>
      <w:pPr/>
      <w:r>
        <w:t>Breakdown:</w:t>
      </w:r>
    </w:p>
    <w:p>
      <w:pPr/>
      <w:r>
        <w:t>- Royalty: 5.00%</w:t>
      </w:r>
    </w:p>
    <w:p>
      <w:pPr/>
      <w:r>
        <w:t>- CIT on post-royalty profit: 35% × (1 - 0.05) = 33.25%</w:t>
      </w:r>
    </w:p>
    <w:p>
      <w:pPr/>
      <w:r>
        <w:t xml:space="preserve">                                                   ________</w:t>
      </w:r>
    </w:p>
    <w:p>
      <w:pPr/>
      <w:r>
        <w:t>Total:                                            38.25%</w:t>
      </w:r>
    </w:p>
    <w:p>
      <w:r/>
      <w:r>
        <w:rPr>
          <w:b/>
        </w:rPr>
        <w:t>Key Takeaway:</w:t>
      </w:r>
      <w:r/>
    </w:p>
    <w:p>
      <w:r>
        <w:t>Transfer pricing adjustments in extractive industries have compounding effects through both royalty recalculations and increased taxable profits. The effective penalty rate (38.25%) exceeds the headline CIT rate (35%) due to the royalty component.</w:t>
      </w:r>
    </w:p>
    <w:p>
      <w:r>
        <w:t>---</w:t>
      </w:r>
    </w:p>
    <w:p>
      <w:pPr>
        <w:pStyle w:val="Heading3"/>
      </w:pPr>
      <w:r>
        <w:t>Example 2: Sliding Scale Royalty - Price and Production Based</w:t>
      </w:r>
    </w:p>
    <w:p>
      <w:r/>
      <w:r>
        <w:rPr>
          <w:b/>
        </w:rPr>
        <w:t>Fact Pattern:</w:t>
      </w:r>
      <w:r/>
    </w:p>
    <w:p>
      <w:r>
        <w:t>MineralCo operates a copper mine in Zambia under a mining license with sliding scale royalty provisions effective 2024:</w:t>
      </w:r>
    </w:p>
    <w:p>
      <w:r/>
      <w:r>
        <w:rPr>
          <w:b/>
        </w:rPr>
        <w:t>Sliding Scale Royalty Structure:</w:t>
      </w:r>
      <w:r/>
    </w:p>
    <w:p>
      <w:r/>
      <w:r>
        <w:rPr>
          <w:b/>
        </w:rPr>
        <w:t>Price-Based Component (70% weight):</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**Copper Price ($/tonne)**</w:t>
            </w:r>
          </w:p>
        </w:tc>
        <w:tc>
          <w:tcPr>
            <w:tcW w:type="dxa" w:w="4320"/>
          </w:tcPr>
          <w:p>
            <w:r>
              <w:rPr>
                <w:b/>
              </w:rPr>
              <w:t>**Royalty Rate**</w:t>
            </w:r>
          </w:p>
        </w:tc>
      </w:tr>
      <w:tr>
        <w:tc>
          <w:tcPr>
            <w:tcW w:type="dxa" w:w="4320"/>
          </w:tcPr>
          <w:p>
            <w:r>
              <w:t>&lt; $6,000</w:t>
            </w:r>
          </w:p>
        </w:tc>
        <w:tc>
          <w:tcPr>
            <w:tcW w:type="dxa" w:w="4320"/>
          </w:tcPr>
          <w:p>
            <w:r>
              <w:t>4%</w:t>
            </w:r>
          </w:p>
        </w:tc>
      </w:tr>
      <w:tr>
        <w:tc>
          <w:tcPr>
            <w:tcW w:type="dxa" w:w="4320"/>
          </w:tcPr>
          <w:p>
            <w:r>
              <w:t>$6,000 - $7,500</w:t>
            </w:r>
          </w:p>
        </w:tc>
        <w:tc>
          <w:tcPr>
            <w:tcW w:type="dxa" w:w="4320"/>
          </w:tcPr>
          <w:p>
            <w:r>
              <w:t>5.5%</w:t>
            </w:r>
          </w:p>
        </w:tc>
      </w:tr>
      <w:tr>
        <w:tc>
          <w:tcPr>
            <w:tcW w:type="dxa" w:w="4320"/>
          </w:tcPr>
          <w:p>
            <w:r>
              <w:t>$7,500 - $9,000</w:t>
            </w:r>
          </w:p>
        </w:tc>
        <w:tc>
          <w:tcPr>
            <w:tcW w:type="dxa" w:w="4320"/>
          </w:tcPr>
          <w:p>
            <w:r>
              <w:t>7.5%</w:t>
            </w:r>
          </w:p>
        </w:tc>
      </w:tr>
      <w:tr>
        <w:tc>
          <w:tcPr>
            <w:tcW w:type="dxa" w:w="4320"/>
          </w:tcPr>
          <w:p>
            <w:r>
              <w:t>&gt; $9,000</w:t>
            </w:r>
          </w:p>
        </w:tc>
        <w:tc>
          <w:tcPr>
            <w:tcW w:type="dxa" w:w="4320"/>
          </w:tcPr>
          <w:p>
            <w:r>
              <w:t>10%</w:t>
            </w:r>
          </w:p>
        </w:tc>
      </w:tr>
    </w:tbl>
    <w:p/>
    <w:p>
      <w:r/>
      <w:r>
        <w:rPr>
          <w:b/>
        </w:rPr>
        <w:t>Production-Based Component (30% weight):</w:t>
      </w:r>
      <w:r/>
    </w:p>
    <w:tbl>
      <w:tblPr>
        <w:tblStyle w:val="LightGrid-Accent1"/>
        <w:tblW w:type="auto" w:w="0"/>
        <w:tblLook w:firstColumn="1" w:firstRow="1" w:lastColumn="0" w:lastRow="0" w:noHBand="0" w:noVBand="1" w:val="04A0"/>
      </w:tblPr>
      <w:tblGrid>
        <w:gridCol w:w="4320"/>
        <w:gridCol w:w="4320"/>
      </w:tblGrid>
      <w:tr>
        <w:tc>
          <w:tcPr>
            <w:tcW w:type="dxa" w:w="4320"/>
          </w:tcPr>
          <w:p>
            <w:r>
              <w:rPr>
                <w:b/>
              </w:rPr>
              <w:t>**Annual Production (tonnes)**</w:t>
            </w:r>
          </w:p>
        </w:tc>
        <w:tc>
          <w:tcPr>
            <w:tcW w:type="dxa" w:w="4320"/>
          </w:tcPr>
          <w:p>
            <w:r>
              <w:rPr>
                <w:b/>
              </w:rPr>
              <w:t>**Royalty Rate**</w:t>
            </w:r>
          </w:p>
        </w:tc>
      </w:tr>
      <w:tr>
        <w:tc>
          <w:tcPr>
            <w:tcW w:type="dxa" w:w="4320"/>
          </w:tcPr>
          <w:p>
            <w:r>
              <w:t>&lt; 50,000</w:t>
            </w:r>
          </w:p>
        </w:tc>
        <w:tc>
          <w:tcPr>
            <w:tcW w:type="dxa" w:w="4320"/>
          </w:tcPr>
          <w:p>
            <w:r>
              <w:t>4%</w:t>
            </w:r>
          </w:p>
        </w:tc>
      </w:tr>
      <w:tr>
        <w:tc>
          <w:tcPr>
            <w:tcW w:type="dxa" w:w="4320"/>
          </w:tcPr>
          <w:p>
            <w:r>
              <w:t>50,000 - 100,000</w:t>
            </w:r>
          </w:p>
        </w:tc>
        <w:tc>
          <w:tcPr>
            <w:tcW w:type="dxa" w:w="4320"/>
          </w:tcPr>
          <w:p>
            <w:r>
              <w:t>6%</w:t>
            </w:r>
          </w:p>
        </w:tc>
      </w:tr>
      <w:tr>
        <w:tc>
          <w:tcPr>
            <w:tcW w:type="dxa" w:w="4320"/>
          </w:tcPr>
          <w:p>
            <w:r>
              <w:t>100,000 - 200,000</w:t>
            </w:r>
          </w:p>
        </w:tc>
        <w:tc>
          <w:tcPr>
            <w:tcW w:type="dxa" w:w="4320"/>
          </w:tcPr>
          <w:p>
            <w:r>
              <w:t>8%</w:t>
            </w:r>
          </w:p>
        </w:tc>
      </w:tr>
      <w:tr>
        <w:tc>
          <w:tcPr>
            <w:tcW w:type="dxa" w:w="4320"/>
          </w:tcPr>
          <w:p>
            <w:r>
              <w:t>&gt; 200,000</w:t>
            </w:r>
          </w:p>
        </w:tc>
        <w:tc>
          <w:tcPr>
            <w:tcW w:type="dxa" w:w="4320"/>
          </w:tcPr>
          <w:p>
            <w:r>
              <w:t>10%</w:t>
            </w:r>
          </w:p>
        </w:tc>
      </w:tr>
    </w:tbl>
    <w:p/>
    <w:p>
      <w:r/>
      <w:r>
        <w:rPr>
          <w:b/>
        </w:rPr>
        <w:t>Blended Royalty Rate = (Price Component × 70%) + (Production Component × 30%)</w:t>
      </w:r>
      <w:r/>
    </w:p>
    <w:p>
      <w:r/>
      <w:r>
        <w:rPr>
          <w:b/>
        </w:rPr>
        <w:t>FY 2024 Operations:</w:t>
      </w:r>
      <w:r/>
    </w:p>
    <w:p>
      <w:pPr>
        <w:pStyle w:val="ListBullet"/>
      </w:pPr>
      <w:r>
        <w:t>Copper production: 180,000 tonnes</w:t>
      </w:r>
    </w:p>
    <w:p>
      <w:pPr>
        <w:pStyle w:val="ListBullet"/>
      </w:pPr>
      <w:r>
        <w:t>Average realized price: $8,200/tonne (LME-based)</w:t>
      </w:r>
    </w:p>
    <w:p>
      <w:pPr>
        <w:pStyle w:val="ListBullet"/>
      </w:pPr>
      <w:r>
        <w:t>Operating costs: $450,000,000</w:t>
      </w:r>
    </w:p>
    <w:p>
      <w:pPr>
        <w:pStyle w:val="ListBullet"/>
      </w:pPr>
      <w:r>
        <w:t>Capital expenditure: $200,000,000 (depreciated over 5 years)</w:t>
      </w:r>
    </w:p>
    <w:p>
      <w:pPr>
        <w:pStyle w:val="ListBullet"/>
      </w:pPr>
      <w:r>
        <w:t>Prior year unrecovered capex: $50,000,000</w:t>
      </w:r>
    </w:p>
    <w:p>
      <w:r/>
      <w:r>
        <w:rPr>
          <w:b/>
        </w:rPr>
        <w:t>Fiscal Terms:</w:t>
      </w:r>
      <w:r/>
    </w:p>
    <w:p>
      <w:pPr>
        <w:pStyle w:val="ListBullet"/>
      </w:pPr>
      <w:r>
        <w:t>Royalty calculated on gross revenue (ad valorem)</w:t>
      </w:r>
    </w:p>
    <w:p>
      <w:pPr>
        <w:pStyle w:val="ListBullet"/>
      </w:pPr>
      <w:r>
        <w:t>Corporate income tax: 30% (royalty deductible)</w:t>
      </w:r>
    </w:p>
    <w:p>
      <w:pPr>
        <w:pStyle w:val="ListBullet"/>
      </w:pPr>
      <w:r>
        <w:t>Mineral Royalty Tax (MRT): Separate from CIT (non-deductible)</w:t>
      </w:r>
    </w:p>
    <w:p>
      <w:r/>
      <w:r>
        <w:rPr>
          <w:b/>
        </w:rPr>
        <w:t>Required:</w:t>
      </w:r>
      <w:r/>
    </w:p>
    <w:p>
      <w:r>
        <w:t>(a) Determine the applicable royalty rate using the sliding scale formula</w:t>
      </w:r>
    </w:p>
    <w:p>
      <w:r>
        <w:t>(b) Calculate the royalty liability for FY 2024</w:t>
      </w:r>
    </w:p>
    <w:p>
      <w:r>
        <w:t>(c) Calculate corporate income tax liability</w:t>
      </w:r>
    </w:p>
    <w:p>
      <w:r>
        <w:t>(d) Compare with a flat 6% royalty regime (effective government take analysis)</w:t>
      </w:r>
    </w:p>
    <w:p>
      <w:r/>
      <w:r>
        <w:rPr>
          <w:b/>
        </w:rPr>
        <w:t>Solution:</w:t>
      </w:r>
      <w:r/>
    </w:p>
    <w:p>
      <w:r/>
      <w:r>
        <w:rPr>
          <w:b/>
        </w:rPr>
        <w:t>Part (a): Determine Sliding Scale Royalty Rate</w:t>
      </w:r>
      <w:r/>
    </w:p>
    <w:p>
      <w:r/>
      <w:r>
        <w:rPr>
          <w:b/>
        </w:rPr>
        <w:t>Step 1: Identify Price-Based Rate</w:t>
      </w:r>
      <w:r/>
    </w:p>
    <w:p>
      <w:pPr/>
      <w:r>
        <w:t>Average realized price: $8,200/tonne</w:t>
      </w:r>
    </w:p>
    <w:p>
      <w:pPr/>
    </w:p>
    <w:p>
      <w:pPr/>
      <w:r>
        <w:t>Reference sliding scale:</w:t>
      </w:r>
    </w:p>
    <w:p>
      <w:pPr/>
      <w:r>
        <w:t>$7,500 - $9,000 → 7.5%</w:t>
      </w:r>
    </w:p>
    <w:p>
      <w:pPr/>
    </w:p>
    <w:p>
      <w:pPr/>
      <w:r>
        <w:t>Price-based rate: 7.5%</w:t>
      </w:r>
    </w:p>
    <w:p>
      <w:r/>
      <w:r>
        <w:rPr>
          <w:b/>
        </w:rPr>
        <w:t>Step 2: Identify Production-Based Rate</w:t>
      </w:r>
      <w:r/>
    </w:p>
    <w:p>
      <w:pPr/>
      <w:r>
        <w:t>Annual production: 180,000 tonnes</w:t>
      </w:r>
    </w:p>
    <w:p>
      <w:pPr/>
    </w:p>
    <w:p>
      <w:pPr/>
      <w:r>
        <w:t>Reference sliding scale:</w:t>
      </w:r>
    </w:p>
    <w:p>
      <w:pPr/>
      <w:r>
        <w:t>100,000 - 200,000 → 8%</w:t>
      </w:r>
    </w:p>
    <w:p>
      <w:pPr/>
    </w:p>
    <w:p>
      <w:pPr/>
      <w:r>
        <w:t>Production-based rate: 8%</w:t>
      </w:r>
    </w:p>
    <w:p>
      <w:r/>
      <w:r>
        <w:rPr>
          <w:b/>
        </w:rPr>
        <w:t>Step 3: Calculate Blended Royalty Rate</w:t>
      </w:r>
      <w:r/>
    </w:p>
    <w:p>
      <w:pPr/>
      <w:r>
        <w:t>Blended Rate = (Price Rate × 70%) + (Production Rate × 30%)</w:t>
      </w:r>
    </w:p>
    <w:p>
      <w:pPr/>
      <w:r>
        <w:t xml:space="preserve">            = (7.5% × 70%) + (8% × 30%)</w:t>
      </w:r>
    </w:p>
    <w:p>
      <w:pPr/>
      <w:r>
        <w:t xml:space="preserve">            = 5.25% + 2.4%</w:t>
      </w:r>
    </w:p>
    <w:p>
      <w:pPr/>
      <w:r>
        <w:t xml:space="preserve">            = 7.65%</w:t>
      </w:r>
    </w:p>
    <w:p>
      <w:r/>
      <w:r>
        <w:rPr>
          <w:b/>
        </w:rPr>
        <w:t>Part (b): Calculate Royalty Liability</w:t>
      </w:r>
      <w:r/>
    </w:p>
    <w:p>
      <w:r/>
      <w:r>
        <w:rPr>
          <w:b/>
        </w:rPr>
        <w:t>Step 1: Calculate Gross Revenue</w:t>
      </w:r>
      <w:r/>
    </w:p>
    <w:p>
      <w:pPr/>
      <w:r>
        <w:t>Production: 180,000 tonnes</w:t>
      </w:r>
    </w:p>
    <w:p>
      <w:pPr/>
      <w:r>
        <w:t>Price: $8,200/tonne</w:t>
      </w:r>
    </w:p>
    <w:p>
      <w:pPr/>
    </w:p>
    <w:p>
      <w:pPr/>
      <w:r>
        <w:t>Gross Revenue = 180,000 × $8,200 = $1,476,000,000</w:t>
      </w:r>
    </w:p>
    <w:p>
      <w:r/>
      <w:r>
        <w:rPr>
          <w:b/>
        </w:rPr>
        <w:t>Step 2: Calculate Royalty (Ad Valorem)</w:t>
      </w:r>
      <w:r/>
    </w:p>
    <w:p>
      <w:pPr/>
      <w:r>
        <w:t>Royalty = Gross Revenue × Royalty Rate</w:t>
      </w:r>
    </w:p>
    <w:p>
      <w:pPr/>
      <w:r>
        <w:t xml:space="preserve">       = $1,476,000,000 × 7.65%</w:t>
      </w:r>
    </w:p>
    <w:p>
      <w:pPr/>
      <w:r>
        <w:t xml:space="preserve">       = $112,914,000</w:t>
      </w:r>
    </w:p>
    <w:p>
      <w:r/>
      <w:r>
        <w:rPr>
          <w:b/>
        </w:rPr>
        <w:t>Part (c): Calculate Corporate Income Tax</w:t>
      </w:r>
      <w:r/>
    </w:p>
    <w:p>
      <w:r/>
      <w:r>
        <w:rPr>
          <w:b/>
        </w:rPr>
        <w:t>Step 1: Calculate Taxable Profit</w:t>
      </w:r>
      <w:r/>
    </w:p>
    <w:p>
      <w:pPr/>
      <w:r>
        <w:t>Gross Revenue:                          $1,476,000,000</w:t>
      </w:r>
    </w:p>
    <w:p>
      <w:pPr/>
      <w:r>
        <w:t>Less: Royalty (MRT - deductible):       ($112,914,000)</w:t>
      </w:r>
    </w:p>
    <w:p>
      <w:pPr/>
      <w:r>
        <w:t>Less: Operating costs:                  ($450,000,000)</w:t>
      </w:r>
    </w:p>
    <w:p>
      <w:pPr/>
      <w:r>
        <w:t>Less: Depreciation (capex/5):           ($40,000,000) [$200m/5]</w:t>
      </w:r>
    </w:p>
    <w:p>
      <w:pPr/>
      <w:r>
        <w:t>Less: Prior year capex recovery:        ($10,000,000) [$50m/5]</w:t>
      </w:r>
    </w:p>
    <w:p>
      <w:pPr/>
      <w:r>
        <w:t xml:space="preserve">                                        _______________</w:t>
      </w:r>
    </w:p>
    <w:p>
      <w:pPr/>
      <w:r>
        <w:t>Taxable Profit:                         $863,086,000</w:t>
      </w:r>
    </w:p>
    <w:p>
      <w:r/>
      <w:r>
        <w:rPr>
          <w:b/>
        </w:rPr>
        <w:t>Step 2: Calculate Corporate Income Tax</w:t>
      </w:r>
      <w:r/>
    </w:p>
    <w:p>
      <w:pPr/>
      <w:r>
        <w:t>CIT = $863,086,000 × 30% = $258,925,800</w:t>
      </w:r>
    </w:p>
    <w:p>
      <w:r/>
      <w:r>
        <w:rPr>
          <w:b/>
        </w:rPr>
        <w:t>Part (d): Comparison with Flat 6% Royalty Regime</w:t>
      </w:r>
      <w:r/>
    </w:p>
    <w:p>
      <w:r/>
      <w:r>
        <w:rPr>
          <w:b/>
        </w:rPr>
        <w:t>Scenario 1: Sliding Scale (7.65%) - Actual</w:t>
      </w:r>
      <w:r/>
    </w:p>
    <w:p>
      <w:pPr/>
      <w:r>
        <w:t>Government Revenue:</w:t>
      </w:r>
    </w:p>
    <w:p>
      <w:pPr/>
      <w:r>
        <w:t>- Royalty (MRT):                        $112,914,000</w:t>
      </w:r>
    </w:p>
    <w:p>
      <w:pPr/>
      <w:r>
        <w:t>- Corporate Tax:                        $258,925,800</w:t>
      </w:r>
    </w:p>
    <w:p>
      <w:pPr/>
      <w:r>
        <w:t xml:space="preserve">                                        _______________</w:t>
      </w:r>
    </w:p>
    <w:p>
      <w:pPr/>
      <w:r>
        <w:t>Total Government Take:                  $371,839,800</w:t>
      </w:r>
    </w:p>
    <w:p>
      <w:pPr/>
    </w:p>
    <w:p>
      <w:pPr/>
      <w:r>
        <w:t>Effective Government Take %:            $371,839,800 / $1,476,000,000 = 25.19%</w:t>
      </w:r>
    </w:p>
    <w:p>
      <w:r/>
      <w:r>
        <w:rPr>
          <w:b/>
        </w:rPr>
        <w:t>Scenario 2: Flat Royalty (6%)</w:t>
      </w:r>
      <w:r/>
    </w:p>
    <w:p>
      <w:pPr/>
      <w:r>
        <w:t>Royalty = $1,476,000,000 × 6% = $88,560,000</w:t>
      </w:r>
    </w:p>
    <w:p>
      <w:pPr/>
    </w:p>
    <w:p>
      <w:pPr/>
      <w:r>
        <w:t>Taxable Profit:</w:t>
      </w:r>
    </w:p>
    <w:p>
      <w:pPr/>
      <w:r>
        <w:t>Gross Revenue:                          $1,476,000,000</w:t>
      </w:r>
    </w:p>
    <w:p>
      <w:pPr/>
      <w:r>
        <w:t>Less: Royalty:                          ($88,560,000)</w:t>
      </w:r>
    </w:p>
    <w:p>
      <w:pPr/>
      <w:r>
        <w:t>Less: Operating costs:                  ($450,000,000)</w:t>
      </w:r>
    </w:p>
    <w:p>
      <w:pPr/>
      <w:r>
        <w:t>Less: Depreciation:                     ($50,000,000)</w:t>
      </w:r>
    </w:p>
    <w:p>
      <w:pPr/>
      <w:r>
        <w:t xml:space="preserve">                                        _______________</w:t>
      </w:r>
    </w:p>
    <w:p>
      <w:pPr/>
      <w:r>
        <w:t>Taxable Profit:                         $887,440,000</w:t>
      </w:r>
    </w:p>
    <w:p>
      <w:pPr/>
    </w:p>
    <w:p>
      <w:pPr/>
      <w:r>
        <w:t>CIT = $887,440,000 × 30% = $266,232,000</w:t>
      </w:r>
    </w:p>
    <w:p>
      <w:pPr/>
    </w:p>
    <w:p>
      <w:pPr/>
      <w:r>
        <w:t>Total Government Take:</w:t>
      </w:r>
    </w:p>
    <w:p>
      <w:pPr/>
      <w:r>
        <w:t>- Royalty:                              $88,560,000</w:t>
      </w:r>
    </w:p>
    <w:p>
      <w:pPr/>
      <w:r>
        <w:t>- Corporate Tax:                        $266,232,000</w:t>
      </w:r>
    </w:p>
    <w:p>
      <w:pPr/>
      <w:r>
        <w:t xml:space="preserve">                                        _______________</w:t>
      </w:r>
    </w:p>
    <w:p>
      <w:pPr/>
      <w:r>
        <w:t>Total:                                  $354,792,000</w:t>
      </w:r>
    </w:p>
    <w:p>
      <w:pPr/>
    </w:p>
    <w:p>
      <w:pPr/>
      <w:r>
        <w:t>Effective Government Take %:            $354,792,000 / $1,476,000,000 = 24.04%</w:t>
      </w:r>
    </w:p>
    <w:p>
      <w:r/>
      <w:r>
        <w:rPr>
          <w:b/>
        </w:rPr>
        <w:t>Comparison Table:</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**Sliding Scale (7.65%)**</w:t>
            </w:r>
          </w:p>
        </w:tc>
        <w:tc>
          <w:tcPr>
            <w:tcW w:type="dxa" w:w="2160"/>
          </w:tcPr>
          <w:p>
            <w:r>
              <w:rPr>
                <w:b/>
              </w:rPr>
              <w:t>**Flat Rate (6%)**</w:t>
            </w:r>
          </w:p>
        </w:tc>
        <w:tc>
          <w:tcPr>
            <w:tcW w:type="dxa" w:w="2160"/>
          </w:tcPr>
          <w:p>
            <w:r>
              <w:rPr>
                <w:b/>
              </w:rPr>
              <w:t>**Difference**</w:t>
            </w:r>
          </w:p>
        </w:tc>
      </w:tr>
      <w:tr>
        <w:tc>
          <w:tcPr>
            <w:tcW w:type="dxa" w:w="2160"/>
          </w:tcPr>
          <w:p>
            <w:r>
              <w:t>**Royalty**</w:t>
            </w:r>
          </w:p>
        </w:tc>
        <w:tc>
          <w:tcPr>
            <w:tcW w:type="dxa" w:w="2160"/>
          </w:tcPr>
          <w:p>
            <w:r>
              <w:t>$112,914,000</w:t>
            </w:r>
          </w:p>
        </w:tc>
        <w:tc>
          <w:tcPr>
            <w:tcW w:type="dxa" w:w="2160"/>
          </w:tcPr>
          <w:p>
            <w:r>
              <w:t>$88,560,000</w:t>
            </w:r>
          </w:p>
        </w:tc>
        <w:tc>
          <w:tcPr>
            <w:tcW w:type="dxa" w:w="2160"/>
          </w:tcPr>
          <w:p>
            <w:r>
              <w:t>+$24,354,000</w:t>
            </w:r>
          </w:p>
        </w:tc>
      </w:tr>
      <w:tr>
        <w:tc>
          <w:tcPr>
            <w:tcW w:type="dxa" w:w="2160"/>
          </w:tcPr>
          <w:p>
            <w:r>
              <w:t>**Corporate Tax**</w:t>
            </w:r>
          </w:p>
        </w:tc>
        <w:tc>
          <w:tcPr>
            <w:tcW w:type="dxa" w:w="2160"/>
          </w:tcPr>
          <w:p>
            <w:r>
              <w:t>$258,925,800</w:t>
            </w:r>
          </w:p>
        </w:tc>
        <w:tc>
          <w:tcPr>
            <w:tcW w:type="dxa" w:w="2160"/>
          </w:tcPr>
          <w:p>
            <w:r>
              <w:t>$266,232,000</w:t>
            </w:r>
          </w:p>
        </w:tc>
        <w:tc>
          <w:tcPr>
            <w:tcW w:type="dxa" w:w="2160"/>
          </w:tcPr>
          <w:p>
            <w:r>
              <w:t>-$7,306,200</w:t>
            </w:r>
          </w:p>
        </w:tc>
      </w:tr>
      <w:tr>
        <w:tc>
          <w:tcPr>
            <w:tcW w:type="dxa" w:w="2160"/>
          </w:tcPr>
          <w:p>
            <w:r>
              <w:t>**Total Govt Take**</w:t>
            </w:r>
          </w:p>
        </w:tc>
        <w:tc>
          <w:tcPr>
            <w:tcW w:type="dxa" w:w="2160"/>
          </w:tcPr>
          <w:p>
            <w:r>
              <w:t>$371,839,800</w:t>
            </w:r>
          </w:p>
        </w:tc>
        <w:tc>
          <w:tcPr>
            <w:tcW w:type="dxa" w:w="2160"/>
          </w:tcPr>
          <w:p>
            <w:r>
              <w:t>$354,792,000</w:t>
            </w:r>
          </w:p>
        </w:tc>
        <w:tc>
          <w:tcPr>
            <w:tcW w:type="dxa" w:w="2160"/>
          </w:tcPr>
          <w:p>
            <w:r>
              <w:t>+$17,047,800</w:t>
            </w:r>
          </w:p>
        </w:tc>
      </w:tr>
      <w:tr>
        <w:tc>
          <w:tcPr>
            <w:tcW w:type="dxa" w:w="2160"/>
          </w:tcPr>
          <w:p>
            <w:r>
              <w:t>**Effective Rate**</w:t>
            </w:r>
          </w:p>
        </w:tc>
        <w:tc>
          <w:tcPr>
            <w:tcW w:type="dxa" w:w="2160"/>
          </w:tcPr>
          <w:p>
            <w:r>
              <w:t>25.19%</w:t>
            </w:r>
          </w:p>
        </w:tc>
        <w:tc>
          <w:tcPr>
            <w:tcW w:type="dxa" w:w="2160"/>
          </w:tcPr>
          <w:p>
            <w:r>
              <w:t>24.04%</w:t>
            </w:r>
          </w:p>
        </w:tc>
        <w:tc>
          <w:tcPr>
            <w:tcW w:type="dxa" w:w="2160"/>
          </w:tcPr>
          <w:p>
            <w:r>
              <w:t>+1.15%</w:t>
            </w:r>
          </w:p>
        </w:tc>
      </w:tr>
      <w:tr>
        <w:tc>
          <w:tcPr>
            <w:tcW w:type="dxa" w:w="2160"/>
          </w:tcPr>
          <w:p>
            <w:r>
              <w:t>**Contractor Net Profit**</w:t>
            </w:r>
          </w:p>
        </w:tc>
        <w:tc>
          <w:tcPr>
            <w:tcW w:type="dxa" w:w="2160"/>
          </w:tcPr>
          <w:p>
            <w:r>
              <w:t>$732,320,400</w:t>
            </w:r>
          </w:p>
        </w:tc>
        <w:tc>
          <w:tcPr>
            <w:tcW w:type="dxa" w:w="2160"/>
          </w:tcPr>
          <w:p>
            <w:r>
              <w:t>$766,416,000</w:t>
            </w:r>
          </w:p>
        </w:tc>
        <w:tc>
          <w:tcPr>
            <w:tcW w:type="dxa" w:w="2160"/>
          </w:tcPr>
          <w:p>
            <w:r>
              <w:t>-$34,095,600</w:t>
            </w:r>
          </w:p>
        </w:tc>
      </w:tr>
    </w:tbl>
    <w:p/>
    <w:p>
      <w:r/>
      <w:r>
        <w:rPr>
          <w:b/>
        </w:rPr>
        <w:t>Analysis:</w:t>
      </w:r>
      <w:r/>
    </w:p>
    <w:p>
      <w:r/>
      <w:r>
        <w:rPr>
          <w:b/>
        </w:rPr>
        <w:t>Impact of Sliding Scale:</w:t>
      </w:r>
      <w:r/>
    </w:p>
    <w:p>
      <w:pPr>
        <w:pStyle w:val="ListNumber"/>
      </w:pPr>
      <w:r>
        <w:t>**Higher government take**: +$17m (+4.8%) due to higher price ($8,200) and production (180,000t)</w:t>
      </w:r>
    </w:p>
    <w:p>
      <w:pPr>
        <w:pStyle w:val="ListNumber"/>
      </w:pPr>
      <w:r>
        <w:t>**Royalty increase**: +$24.4m (27.5% higher than flat rate)</w:t>
      </w:r>
    </w:p>
    <w:p>
      <w:pPr>
        <w:pStyle w:val="ListNumber"/>
      </w:pPr>
      <w:r>
        <w:t>**CIT reduction**: -$7.3m (due to higher royalty deduction)</w:t>
      </w:r>
    </w:p>
    <w:p>
      <w:pPr>
        <w:pStyle w:val="ListNumber"/>
      </w:pPr>
      <w:r>
        <w:t>**Progressive system**: Government captures greater share of upside from favorable prices/production</w:t>
      </w:r>
    </w:p>
    <w:p>
      <w:r/>
      <w:r>
        <w:rPr>
          <w:b/>
        </w:rPr>
        <w:t>Sensitivity Analysis:</w:t>
      </w:r>
      <w:r/>
    </w:p>
    <w:p>
      <w:r>
        <w:t>If prices fell to $6,500/tonne (price bracket $6,000-$7,500 → 5.5% price component):</w:t>
      </w:r>
    </w:p>
    <w:p>
      <w:pPr/>
      <w:r>
        <w:t>Blended rate = (5.5% × 70%) + (8% × 30%) = 3.85% + 2.4% = 6.25%</w:t>
      </w:r>
    </w:p>
    <w:p>
      <w:pPr/>
    </w:p>
    <w:p>
      <w:pPr/>
      <w:r>
        <w:t>New royalty = $1,170,000,000 × 6.25% = $73,125,000</w:t>
      </w:r>
    </w:p>
    <w:p>
      <w:pPr/>
      <w:r>
        <w:t>(vs. $70,200,000 at flat 6%)</w:t>
      </w:r>
    </w:p>
    <w:p>
      <w:pPr/>
    </w:p>
    <w:p>
      <w:pPr/>
      <w:r>
        <w:t>Sliding scale still higher, but differential reduced from +1.65% to +0.25%</w:t>
      </w:r>
    </w:p>
    <w:p>
      <w:r/>
      <w:r>
        <w:rPr>
          <w:b/>
        </w:rPr>
        <w:t>Key Takeaway:</w:t>
      </w:r>
      <w:r/>
    </w:p>
    <w:p>
      <w:r>
        <w:t xml:space="preserve">Sliding scale royalties provide </w:t>
      </w:r>
      <w:r>
        <w:rPr>
          <w:b/>
        </w:rPr>
        <w:t>fiscal progressivity</w:t>
      </w:r>
      <w:r>
        <w:t>, increasing government take during favorable conditions (high prices, high production) while moderating burden during downturns. The 7.65% effective rate captures 27.5% more royalty revenue than a flat 6% system in this scenario.</w:t>
      </w:r>
    </w:p>
    <w:p>
      <w:r>
        <w:t>---</w:t>
      </w:r>
    </w:p>
    <w:p>
      <w:pPr>
        <w:pStyle w:val="Heading3"/>
      </w:pPr>
      <w:r>
        <w:t>Example 3: IP Royalty Withholding Tax - Cross-Border Technology License</w:t>
      </w:r>
    </w:p>
    <w:p>
      <w:r/>
      <w:r>
        <w:rPr>
          <w:b/>
        </w:rPr>
        <w:t>Fact Pattern:</w:t>
      </w:r>
      <w:r/>
    </w:p>
    <w:p>
      <w:r>
        <w:t>DrillTech USA Inc. licenses proprietary horizontal drilling technology to PetroAfrica Ltd (Ghana) for offshore oil development. The technology license agreement (effective January 2025) provides:</w:t>
      </w:r>
    </w:p>
    <w:p>
      <w:r/>
      <w:r>
        <w:rPr>
          <w:b/>
        </w:rPr>
        <w:t>License Terms:</w:t>
      </w:r>
      <w:r/>
    </w:p>
    <w:p>
      <w:pPr>
        <w:pStyle w:val="ListBullet"/>
      </w:pPr>
      <w:r>
        <w:t>Royalty rate: 4% of gross revenue from wells using DrillTech technology</w:t>
      </w:r>
    </w:p>
    <w:p>
      <w:pPr>
        <w:pStyle w:val="ListBullet"/>
      </w:pPr>
      <w:r>
        <w:t>Initial license fee: $5,000,000 (upfront, Year 1)</w:t>
      </w:r>
    </w:p>
    <w:p>
      <w:pPr>
        <w:pStyle w:val="ListBullet"/>
      </w:pPr>
      <w:r>
        <w:t>Running royalty: Quarterly payments based on production</w:t>
      </w:r>
    </w:p>
    <w:p>
      <w:pPr>
        <w:pStyle w:val="ListBullet"/>
      </w:pPr>
      <w:r>
        <w:t>License duration: 10 years</w:t>
      </w:r>
    </w:p>
    <w:p>
      <w:pPr>
        <w:pStyle w:val="ListBullet"/>
      </w:pPr>
      <w:r>
        <w:t>Technology includes: Patented drill bit designs, proprietary mud formulations, real-time drilling optimization software</w:t>
      </w:r>
    </w:p>
    <w:p>
      <w:r/>
      <w:r>
        <w:rPr>
          <w:b/>
        </w:rPr>
        <w:t>PetroAfrica Production (Q1 2025) - Wells Using DrillTech Technology:</w:t>
      </w:r>
      <w:r/>
    </w:p>
    <w:p>
      <w:pPr>
        <w:pStyle w:val="ListBullet"/>
      </w:pPr>
      <w:r>
        <w:t>Crude oil production: 1,500,000 barrels</w:t>
      </w:r>
    </w:p>
    <w:p>
      <w:pPr>
        <w:pStyle w:val="ListBullet"/>
      </w:pPr>
      <w:r>
        <w:t>Average realized price: $80/barrel</w:t>
      </w:r>
    </w:p>
    <w:p>
      <w:pPr>
        <w:pStyle w:val="ListBullet"/>
      </w:pPr>
      <w:r>
        <w:t>Gross revenue: $120,000,000</w:t>
      </w:r>
    </w:p>
    <w:p>
      <w:r/>
      <w:r>
        <w:rPr>
          <w:b/>
        </w:rPr>
        <w:t>Tax Framework:</w:t>
      </w:r>
      <w:r/>
    </w:p>
    <w:p>
      <w:r/>
      <w:r>
        <w:rPr>
          <w:b/>
        </w:rPr>
        <w:t>Ghana (Source State):</w:t>
      </w:r>
      <w:r/>
    </w:p>
    <w:p>
      <w:pPr>
        <w:pStyle w:val="ListBullet"/>
      </w:pPr>
      <w:r>
        <w:t>Domestic WHT on royalties: 20%</w:t>
      </w:r>
    </w:p>
    <w:p>
      <w:pPr>
        <w:pStyle w:val="ListBullet"/>
      </w:pPr>
      <w:r>
        <w:t>Corporate income tax: 35%</w:t>
      </w:r>
    </w:p>
    <w:p>
      <w:pPr>
        <w:pStyle w:val="ListBullet"/>
      </w:pPr>
      <w:r>
        <w:t>Extraction royalty to government: 5% (separate from IP royalty)</w:t>
      </w:r>
    </w:p>
    <w:p>
      <w:r/>
      <w:r>
        <w:rPr>
          <w:b/>
        </w:rPr>
        <w:t>USA (Residence State):</w:t>
      </w:r>
      <w:r/>
    </w:p>
    <w:p>
      <w:pPr>
        <w:pStyle w:val="ListBullet"/>
      </w:pPr>
      <w:r>
        <w:t>Corporate income tax: 21%</w:t>
      </w:r>
    </w:p>
    <w:p>
      <w:pPr>
        <w:pStyle w:val="ListBullet"/>
      </w:pPr>
      <w:r>
        <w:t>Foreign tax credit available (direct credit method)</w:t>
      </w:r>
    </w:p>
    <w:p>
      <w:r/>
      <w:r>
        <w:rPr>
          <w:b/>
        </w:rPr>
        <w:t>Ghana-USA Tax Treaty:</w:t>
      </w:r>
      <w:r/>
    </w:p>
    <w:p>
      <w:pPr>
        <w:pStyle w:val="ListBullet"/>
      </w:pPr>
      <w:r>
        <w:t>Article 12 (Royalties): Source state WHT limited to **10%** of gross royalty</w:t>
      </w:r>
    </w:p>
    <w:p>
      <w:pPr>
        <w:pStyle w:val="ListBullet"/>
      </w:pPr>
      <w:r>
        <w:t>Article 23 (Elimination of Double Taxation): USA provides foreign tax credit</w:t>
      </w:r>
    </w:p>
    <w:p>
      <w:r/>
      <w:r>
        <w:rPr>
          <w:b/>
        </w:rPr>
        <w:t>Required:</w:t>
      </w:r>
      <w:r/>
    </w:p>
    <w:p>
      <w:r>
        <w:t>(a) Calculate Q1 2025 IP royalty payment and withholding tax liability</w:t>
      </w:r>
    </w:p>
    <w:p>
      <w:r>
        <w:t>(b) Determine PetroAfrica's corporate tax treatment in Ghana</w:t>
      </w:r>
    </w:p>
    <w:p>
      <w:r>
        <w:t>(c) Calculate DrillTech's US tax liability on the royalty income (including FTC)</w:t>
      </w:r>
    </w:p>
    <w:p>
      <w:r>
        <w:t>(d) Compute the effective tax rate on the royalty from both jurisdictions</w:t>
      </w:r>
    </w:p>
    <w:p>
      <w:r>
        <w:t>(e) Analyze alternative structure: DrillTech Netherlands BV as licensor (treaty shopping scenario)</w:t>
      </w:r>
    </w:p>
    <w:p>
      <w:r/>
      <w:r>
        <w:rPr>
          <w:b/>
        </w:rPr>
        <w:t>Solution:</w:t>
      </w:r>
      <w:r/>
    </w:p>
    <w:p>
      <w:r/>
      <w:r>
        <w:rPr>
          <w:b/>
        </w:rPr>
        <w:t>Part (a): IP Royalty and Withholding Tax</w:t>
      </w:r>
      <w:r/>
    </w:p>
    <w:p>
      <w:r/>
      <w:r>
        <w:rPr>
          <w:b/>
        </w:rPr>
        <w:t>Step 1: Calculate IP Royalty (Q1 2025)</w:t>
      </w:r>
      <w:r/>
    </w:p>
    <w:p>
      <w:pPr/>
      <w:r>
        <w:t>Gross revenue from DrillTech wells:     $120,000,000</w:t>
      </w:r>
    </w:p>
    <w:p>
      <w:pPr/>
      <w:r>
        <w:t>IP Royalty rate:                        4%</w:t>
      </w:r>
    </w:p>
    <w:p>
      <w:pPr/>
    </w:p>
    <w:p>
      <w:pPr/>
      <w:r>
        <w:t>IP Royalty = $120,000,000 × 4% = $4,800,000</w:t>
      </w:r>
    </w:p>
    <w:p>
      <w:r/>
      <w:r>
        <w:rPr>
          <w:b/>
        </w:rPr>
        <w:t>Step 2: Calculate Withholding Tax</w:t>
      </w:r>
      <w:r/>
    </w:p>
    <w:p>
      <w:r/>
      <w:r>
        <w:rPr>
          <w:b/>
        </w:rPr>
        <w:t>Domestic Law:</w:t>
      </w:r>
      <w:r/>
    </w:p>
    <w:p>
      <w:pPr/>
      <w:r>
        <w:t>Ghana domestic WHT rate: 20%</w:t>
      </w:r>
    </w:p>
    <w:p>
      <w:pPr/>
      <w:r>
        <w:t>Withholding tax (domestic): $4,800,000 × 20% = $960,000</w:t>
      </w:r>
    </w:p>
    <w:p>
      <w:r/>
      <w:r>
        <w:rPr>
          <w:b/>
        </w:rPr>
        <w:t>Treaty Relief (Ghana-USA Treaty):</w:t>
      </w:r>
      <w:r/>
    </w:p>
    <w:p>
      <w:pPr/>
      <w:r>
        <w:t>Treaty WHT limit (Article 12): 10%</w:t>
      </w:r>
    </w:p>
    <w:p>
      <w:pPr/>
      <w:r>
        <w:t>Withholding tax (treaty): $4,800,000 × 10% = $480,000</w:t>
      </w:r>
    </w:p>
    <w:p>
      <w:pPr/>
    </w:p>
    <w:p>
      <w:pPr/>
      <w:r>
        <w:t>WHT savings from treaty: $960,000 - $480,000 = $480,000</w:t>
      </w:r>
    </w:p>
    <w:p>
      <w:r/>
      <w:r>
        <w:rPr>
          <w:b/>
        </w:rPr>
        <w:t>Step 3: Net Royalty Payment to DrillTech USA</w:t>
      </w:r>
      <w:r/>
    </w:p>
    <w:p>
      <w:pPr/>
      <w:r>
        <w:t>Gross IP royalty:                       $4,800,000</w:t>
      </w:r>
    </w:p>
    <w:p>
      <w:pPr/>
      <w:r>
        <w:t>Less: Ghana WHT (10%):                  ($480,000)</w:t>
      </w:r>
    </w:p>
    <w:p>
      <w:pPr/>
      <w:r>
        <w:t xml:space="preserve">                                        ___________</w:t>
      </w:r>
    </w:p>
    <w:p>
      <w:pPr/>
      <w:r>
        <w:t>Net payment to DrillTech:               $4,320,000</w:t>
      </w:r>
    </w:p>
    <w:p>
      <w:r/>
      <w:r>
        <w:rPr>
          <w:b/>
        </w:rPr>
        <w:t>Part (b): PetroAfrica Corporate Tax Treatment (Ghana)</w:t>
      </w:r>
      <w:r/>
    </w:p>
    <w:p>
      <w:r/>
      <w:r>
        <w:rPr>
          <w:b/>
        </w:rPr>
        <w:t>Step 1: Deductibility of IP Royalty</w:t>
      </w:r>
      <w:r/>
    </w:p>
    <w:p>
      <w:r>
        <w:t xml:space="preserve">IP royalties to unrelated parties are generally </w:t>
      </w:r>
      <w:r>
        <w:rPr>
          <w:b/>
        </w:rPr>
        <w:t>deductible</w:t>
      </w:r>
      <w:r>
        <w:t xml:space="preserve"> for corporate tax purposes (subject to arm's length verification).</w:t>
      </w:r>
    </w:p>
    <w:p>
      <w:r/>
      <w:r>
        <w:rPr>
          <w:b/>
        </w:rPr>
        <w:t>Step 2: Corporate Tax Calculation (Simplified)</w:t>
      </w:r>
      <w:r/>
    </w:p>
    <w:p>
      <w:r>
        <w:t>Assume PetroAfrica's full operations for Q1 2025:</w:t>
      </w:r>
    </w:p>
    <w:p>
      <w:pPr/>
      <w:r>
        <w:t>Total gross revenue:                    $200,000,000</w:t>
      </w:r>
    </w:p>
    <w:p>
      <w:pPr/>
      <w:r>
        <w:t>Less: Extraction royalty (5%):          ($10,000,000)</w:t>
      </w:r>
    </w:p>
    <w:p>
      <w:pPr/>
      <w:r>
        <w:t>Less: IP royalty (DrillTech):           ($4,800,000)</w:t>
      </w:r>
    </w:p>
    <w:p>
      <w:pPr/>
      <w:r>
        <w:t>Less: Operating costs:                  ($80,000,000)</w:t>
      </w:r>
    </w:p>
    <w:p>
      <w:pPr/>
      <w:r>
        <w:t>Less: Capital allowances:               ($30,000,000)</w:t>
      </w:r>
    </w:p>
    <w:p>
      <w:pPr/>
      <w:r>
        <w:t xml:space="preserve">                                        _____________</w:t>
      </w:r>
    </w:p>
    <w:p>
      <w:pPr/>
      <w:r>
        <w:t>Taxable profit:                         $75,200,000</w:t>
      </w:r>
    </w:p>
    <w:p>
      <w:pPr/>
    </w:p>
    <w:p>
      <w:pPr/>
      <w:r>
        <w:t>Corporate Tax (35%):                    $26,320,000</w:t>
      </w:r>
    </w:p>
    <w:p>
      <w:r/>
      <w:r>
        <w:rPr>
          <w:b/>
        </w:rPr>
        <w:t>Tax Relief from IP Royalty Deduction:</w:t>
      </w:r>
      <w:r/>
    </w:p>
    <w:p>
      <w:pPr/>
      <w:r>
        <w:t>IP royalty deduction:                   $4,800,000</w:t>
      </w:r>
    </w:p>
    <w:p>
      <w:pPr/>
      <w:r>
        <w:t>Tax relief (35%):                       $1,680,000</w:t>
      </w:r>
    </w:p>
    <w:p>
      <w:pPr/>
    </w:p>
    <w:p>
      <w:pPr/>
      <w:r>
        <w:t>Net cost of IP royalty to PetroAfrica:  $4,800,000 - $1,680,000 = $3,120,000</w:t>
      </w:r>
    </w:p>
    <w:p>
      <w:r/>
      <w:r>
        <w:rPr>
          <w:b/>
        </w:rPr>
        <w:t>Part (c): DrillTech USA Tax Liability</w:t>
      </w:r>
      <w:r/>
    </w:p>
    <w:p>
      <w:r/>
      <w:r>
        <w:rPr>
          <w:b/>
        </w:rPr>
        <w:t>Step 1: US Tax on Royalty Income</w:t>
      </w:r>
      <w:r/>
    </w:p>
    <w:p>
      <w:pPr/>
      <w:r>
        <w:t>Gross royalty income:                   $4,800,000</w:t>
      </w:r>
    </w:p>
    <w:p>
      <w:pPr/>
      <w:r>
        <w:t>US corporate tax rate:                  21%</w:t>
      </w:r>
    </w:p>
    <w:p>
      <w:pPr/>
      <w:r>
        <w:t>US tax before FTC:                      $1,008,000</w:t>
      </w:r>
    </w:p>
    <w:p>
      <w:r/>
      <w:r>
        <w:rPr>
          <w:b/>
        </w:rPr>
        <w:t>Step 2: Foreign Tax Credit (FTC)</w:t>
      </w:r>
      <w:r/>
    </w:p>
    <w:p>
      <w:r/>
      <w:r>
        <w:rPr>
          <w:b/>
        </w:rPr>
        <w:t>Direct Credit Method (Treaty Article 23):</w:t>
      </w:r>
      <w:r/>
    </w:p>
    <w:p>
      <w:pPr/>
      <w:r>
        <w:t>Foreign taxes paid (Ghana WHT):         $480,000</w:t>
      </w:r>
    </w:p>
    <w:p>
      <w:pPr/>
      <w:r>
        <w:t>US tax before FTC:                      $1,008,000</w:t>
      </w:r>
    </w:p>
    <w:p>
      <w:pPr/>
    </w:p>
    <w:p>
      <w:pPr/>
      <w:r>
        <w:t>Foreign Tax Credit:                     $480,000 (full credit, no limitation)</w:t>
      </w:r>
    </w:p>
    <w:p>
      <w:pPr/>
    </w:p>
    <w:p>
      <w:pPr/>
      <w:r>
        <w:t>US tax after FTC:                       $1,008,000 - $480,000 = $528,000</w:t>
      </w:r>
    </w:p>
    <w:p>
      <w:r/>
      <w:r>
        <w:rPr>
          <w:b/>
        </w:rPr>
        <w:t>Verification - FTC Limitation:</w:t>
      </w:r>
      <w:r/>
    </w:p>
    <w:p>
      <w:pPr/>
      <w:r>
        <w:t>FTC Limit = US Tax × (Foreign Income / Worldwide Income)</w:t>
      </w:r>
    </w:p>
    <w:p>
      <w:pPr/>
    </w:p>
    <w:p>
      <w:pPr/>
      <w:r>
        <w:t>Assuming royalty is sole income for this calculation:</w:t>
      </w:r>
    </w:p>
    <w:p>
      <w:pPr/>
      <w:r>
        <w:t>FTC Limit = $1,008,000 × ($4,800,000 / $4,800,000) = $1,008,000</w:t>
      </w:r>
    </w:p>
    <w:p>
      <w:pPr/>
    </w:p>
    <w:p>
      <w:pPr/>
      <w:r>
        <w:t>Foreign tax paid ($480,000) &lt; FTC Limit ($1,008,000) ✓</w:t>
      </w:r>
    </w:p>
    <w:p>
      <w:pPr/>
      <w:r>
        <w:t>Full credit available</w:t>
      </w:r>
    </w:p>
    <w:p>
      <w:r/>
      <w:r>
        <w:rPr>
          <w:b/>
        </w:rPr>
        <w:t>Step 3: Total Tax Paid by DrillTech</w:t>
      </w:r>
      <w:r/>
    </w:p>
    <w:p>
      <w:pPr/>
      <w:r>
        <w:t>Ghana WHT:                              $480,000</w:t>
      </w:r>
    </w:p>
    <w:p>
      <w:pPr/>
      <w:r>
        <w:t>US tax (after FTC):                     $528,000</w:t>
      </w:r>
    </w:p>
    <w:p>
      <w:pPr/>
      <w:r>
        <w:t xml:space="preserve">                                        _________</w:t>
      </w:r>
    </w:p>
    <w:p>
      <w:pPr/>
      <w:r>
        <w:t>Total tax:                              $1,008,000</w:t>
      </w:r>
    </w:p>
    <w:p>
      <w:r/>
      <w:r>
        <w:rPr>
          <w:b/>
        </w:rPr>
        <w:t>Step 4: Net After-Tax Receipt</w:t>
      </w:r>
      <w:r/>
    </w:p>
    <w:p>
      <w:pPr/>
      <w:r>
        <w:t>Gross royalty:                          $4,800,000</w:t>
      </w:r>
    </w:p>
    <w:p>
      <w:pPr/>
      <w:r>
        <w:t>Less: Total tax:                        ($1,008,000)</w:t>
      </w:r>
    </w:p>
    <w:p>
      <w:pPr/>
      <w:r>
        <w:t xml:space="preserve">                                        ___________</w:t>
      </w:r>
    </w:p>
    <w:p>
      <w:pPr/>
      <w:r>
        <w:t>Net after-tax:                          $3,792,000</w:t>
      </w:r>
    </w:p>
    <w:p>
      <w:r/>
      <w:r>
        <w:rPr>
          <w:b/>
        </w:rPr>
        <w:t>Part (d): Effective Tax Rate Analysis</w:t>
      </w:r>
      <w:r/>
    </w:p>
    <w:p>
      <w:r/>
      <w:r>
        <w:rPr>
          <w:b/>
        </w:rPr>
        <w:t>Combined Effective Tax Rate:</w:t>
      </w:r>
      <w:r/>
    </w:p>
    <w:p>
      <w:pPr/>
      <w:r>
        <w:t>Total tax paid:                         $1,008,000</w:t>
      </w:r>
    </w:p>
    <w:p>
      <w:pPr/>
      <w:r>
        <w:t>Gross royalty:                          $4,800,000</w:t>
      </w:r>
    </w:p>
    <w:p>
      <w:pPr/>
    </w:p>
    <w:p>
      <w:pPr/>
      <w:r>
        <w:t>Effective tax rate = $1,008,000 / $4,800,000 = 21%</w:t>
      </w:r>
    </w:p>
    <w:p>
      <w:r/>
      <w:r>
        <w:rPr>
          <w:b/>
        </w:rPr>
        <w:t>Analysis:</w:t>
      </w:r>
      <w:r/>
    </w:p>
    <w:p>
      <w:pPr>
        <w:pStyle w:val="ListBullet"/>
      </w:pPr>
      <w:r>
        <w:t>Effective rate (21%) = US corporate tax rate</w:t>
      </w:r>
    </w:p>
    <w:p>
      <w:pPr>
        <w:pStyle w:val="ListBullet"/>
      </w:pPr>
      <w:r>
        <w:t>Ghana WHT (10%) fully credited against US tax</w:t>
      </w:r>
    </w:p>
    <w:p>
      <w:pPr>
        <w:pStyle w:val="ListBullet"/>
      </w:pPr>
      <w:r>
        <w:t>No additional tax burden from cross-border structure</w:t>
      </w:r>
    </w:p>
    <w:p>
      <w:pPr>
        <w:pStyle w:val="ListBullet"/>
      </w:pPr>
      <w:r>
        <w:t>Double taxation eliminated through treaty and FTC</w:t>
      </w:r>
    </w:p>
    <w:p>
      <w:r/>
      <w:r>
        <w:rPr>
          <w:b/>
        </w:rPr>
        <w:t>Breakdown:</w:t>
      </w:r>
      <w:r/>
    </w:p>
    <w:p>
      <w:pPr/>
      <w:r>
        <w:t>Ghana WHT:              10.00% ($480,000)</w:t>
      </w:r>
    </w:p>
    <w:p>
      <w:pPr/>
      <w:r>
        <w:t>US tax (after FTC):     11.00% ($528,000)</w:t>
      </w:r>
    </w:p>
    <w:p>
      <w:pPr/>
      <w:r>
        <w:t xml:space="preserve">                        ______</w:t>
      </w:r>
    </w:p>
    <w:p>
      <w:pPr/>
      <w:r>
        <w:t>Total:                  21.00% ($1,008,000)</w:t>
      </w:r>
    </w:p>
    <w:p>
      <w:r/>
      <w:r>
        <w:rPr>
          <w:b/>
        </w:rPr>
        <w:t>Part (e): Alternative Structure - Treaty Shopping Analysis</w:t>
      </w:r>
      <w:r/>
    </w:p>
    <w:p>
      <w:r/>
      <w:r>
        <w:rPr>
          <w:b/>
        </w:rPr>
        <w:t>Scenario: DrillTech Netherlands BV as Licensor</w:t>
      </w:r>
      <w:r/>
    </w:p>
    <w:p>
      <w:r>
        <w:t>Structure:</w:t>
      </w:r>
    </w:p>
    <w:p>
      <w:pPr/>
      <w:r>
        <w:t>DrillTech USA → Licenses IP to → DrillTech Netherlands BV → Sub-licenses to → PetroAfrica Ghana</w:t>
      </w:r>
    </w:p>
    <w:p>
      <w:r/>
      <w:r>
        <w:rPr>
          <w:b/>
        </w:rPr>
        <w:t>Ghana-Netherlands Treaty:</w:t>
      </w:r>
      <w:r/>
    </w:p>
    <w:p>
      <w:pPr>
        <w:pStyle w:val="ListBullet"/>
      </w:pPr>
      <w:r>
        <w:t>Article 12 (Royalties): **0% WHT** (full exemption)</w:t>
      </w:r>
    </w:p>
    <w:p>
      <w:r/>
      <w:r>
        <w:rPr>
          <w:b/>
        </w:rPr>
        <w:t>Netherlands Tax:</w:t>
      </w:r>
      <w:r/>
    </w:p>
    <w:p>
      <w:pPr>
        <w:pStyle w:val="ListBullet"/>
      </w:pPr>
      <w:r>
        <w:t>Corporate tax: 25.8% (2025 rate on profits &gt;€200k)</w:t>
      </w:r>
    </w:p>
    <w:p>
      <w:pPr>
        <w:pStyle w:val="ListBullet"/>
      </w:pPr>
      <w:r>
        <w:t>Participation exemption: Not applicable to royalty income</w:t>
      </w:r>
    </w:p>
    <w:p>
      <w:pPr>
        <w:pStyle w:val="ListBullet"/>
      </w:pPr>
      <w:r>
        <w:t>IP Box regime: Potentially 9% effective rate on qualifying IP income</w:t>
      </w:r>
    </w:p>
    <w:p>
      <w:r/>
      <w:r>
        <w:rPr>
          <w:b/>
        </w:rPr>
        <w:t>Hypothetical Outcome (Pre-BEPS):</w:t>
      </w:r>
      <w:r/>
    </w:p>
    <w:p>
      <w:pPr/>
      <w:r>
        <w:t>PetroAfrica pays royalty to NL BV:      $4,800,000</w:t>
      </w:r>
    </w:p>
    <w:p>
      <w:pPr/>
      <w:r>
        <w:t>Ghana WHT (0% treaty):                  $0</w:t>
      </w:r>
    </w:p>
    <w:p>
      <w:pPr/>
      <w:r>
        <w:t>NL tax (9% IP box):                     $432,000</w:t>
      </w:r>
    </w:p>
    <w:p>
      <w:pPr/>
      <w:r>
        <w:t>NL to USA dividend (no US WHT):         $4,368,000</w:t>
      </w:r>
    </w:p>
    <w:p>
      <w:pPr/>
      <w:r>
        <w:t>US tax on dividend (after FTC):         Residual</w:t>
      </w:r>
    </w:p>
    <w:p>
      <w:pPr/>
    </w:p>
    <w:p>
      <w:pPr/>
      <w:r>
        <w:t>Total tax (pre-BEPS): ~$432,000 (9%) vs. $1,008,000 (21%) = savings of $576,000</w:t>
      </w:r>
    </w:p>
    <w:p>
      <w:r/>
      <w:r>
        <w:rPr>
          <w:b/>
        </w:rPr>
        <w:t>Post-BEPS Analysis (2025):</w:t>
      </w:r>
      <w:r/>
    </w:p>
    <w:p>
      <w:r/>
      <w:r>
        <w:rPr>
          <w:b/>
        </w:rPr>
        <w:t>Principal Purpose Test (PPT) - MLI Article 7:</w:t>
      </w:r>
      <w:r/>
    </w:p>
    <w:p>
      <w:pPr/>
      <w:r>
        <w:t>Question: Was obtaining treaty benefit (0% WHT) one of the principal purposes?</w:t>
      </w:r>
    </w:p>
    <w:p>
      <w:pPr/>
      <w:r>
        <w:t>Analysis:</w:t>
      </w:r>
    </w:p>
    <w:p>
      <w:pPr/>
      <w:r>
        <w:t>- DrillTech Netherlands has no substantial economic activity</w:t>
      </w:r>
    </w:p>
    <w:p>
      <w:pPr/>
      <w:r>
        <w:t>- No local employees, R&amp;D, or IP development in Netherlands</w:t>
      </w:r>
    </w:p>
    <w:p>
      <w:pPr/>
      <w:r>
        <w:t>- Pure conduit for IP licensing</w:t>
      </w:r>
    </w:p>
    <w:p>
      <w:pPr/>
      <w:r>
        <w:t>- Principal purpose: Minimize Ghana WHT</w:t>
      </w:r>
    </w:p>
    <w:p>
      <w:pPr/>
    </w:p>
    <w:p>
      <w:pPr/>
      <w:r>
        <w:t>Conclusion: PPT likely applies → Ghana can deny 0% treaty rate, apply 20% domestic WHT</w:t>
      </w:r>
    </w:p>
    <w:p>
      <w:r/>
      <w:r>
        <w:rPr>
          <w:b/>
        </w:rPr>
        <w:t>Limitation on Benefits (LOB) - If Applicable:</w:t>
      </w:r>
      <w:r/>
    </w:p>
    <w:p>
      <w:pPr/>
      <w:r>
        <w:t>DrillTech Netherlands fails "active business" test:</w:t>
      </w:r>
    </w:p>
    <w:p>
      <w:pPr/>
      <w:r>
        <w:t>- No substantial business activities in Netherlands</w:t>
      </w:r>
    </w:p>
    <w:p>
      <w:pPr/>
      <w:r>
        <w:t>- Does not qualify as "qualified person" under LOB</w:t>
      </w:r>
    </w:p>
    <w:p>
      <w:pPr/>
    </w:p>
    <w:p>
      <w:pPr/>
      <w:r>
        <w:t>Conclusion: LOB denies treaty benefits → 20% domestic WHT applies</w:t>
      </w:r>
    </w:p>
    <w:p>
      <w:r/>
      <w:r>
        <w:rPr>
          <w:b/>
        </w:rPr>
        <w:t>Beneficial Ownership Test:</w:t>
      </w:r>
      <w:r/>
    </w:p>
    <w:p>
      <w:pPr/>
      <w:r>
        <w:t>Is DrillTech Netherlands the "beneficial owner" of the royalty?</w:t>
      </w:r>
    </w:p>
    <w:p>
      <w:pPr/>
      <w:r>
        <w:t>- No economic risk bearing</w:t>
      </w:r>
    </w:p>
    <w:p>
      <w:pPr/>
      <w:r>
        <w:t>- Immediate pass-through to USA parent</w:t>
      </w:r>
    </w:p>
    <w:p>
      <w:pPr/>
      <w:r>
        <w:t>- Limited decision-making authority</w:t>
      </w:r>
    </w:p>
    <w:p>
      <w:pPr/>
    </w:p>
    <w:p>
      <w:pPr/>
      <w:r>
        <w:t>Conclusion: Not beneficial owner → Treaty benefits denied</w:t>
      </w:r>
    </w:p>
    <w:p>
      <w:r/>
      <w:r>
        <w:rPr>
          <w:b/>
        </w:rPr>
        <w:t>Post-BEPS Outcome:</w:t>
      </w:r>
      <w:r/>
    </w:p>
    <w:p>
      <w:pPr/>
      <w:r>
        <w:t>Ghana WHT: 20% (treaty denied, domestic law applies) = $960,000</w:t>
      </w:r>
    </w:p>
    <w:p>
      <w:pPr/>
      <w:r>
        <w:t>Netherlands tax: Limited (flow-through)</w:t>
      </w:r>
    </w:p>
    <w:p>
      <w:pPr/>
      <w:r>
        <w:t>US tax: FTC for $960,000 against $1,008,000 = $48,000</w:t>
      </w:r>
    </w:p>
    <w:p>
      <w:pPr/>
    </w:p>
    <w:p>
      <w:pPr/>
      <w:r>
        <w:t>Total tax: $960,000 + $48,000 = $1,008,000 (21% effective rate)</w:t>
      </w:r>
    </w:p>
    <w:p>
      <w:pPr/>
    </w:p>
    <w:p>
      <w:pPr/>
      <w:r>
        <w:t>Result: No tax savings vs. direct structure (anti-avoidance successful)</w:t>
      </w:r>
    </w:p>
    <w:p>
      <w:r/>
      <w:r>
        <w:rPr>
          <w:b/>
        </w:rPr>
        <w:t>Comparison Summary:</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**Structure**</w:t>
            </w:r>
          </w:p>
        </w:tc>
        <w:tc>
          <w:tcPr>
            <w:tcW w:type="dxa" w:w="1440"/>
          </w:tcPr>
          <w:p>
            <w:r>
              <w:rPr>
                <w:b/>
              </w:rPr>
              <w:t>**Ghana WHT**</w:t>
            </w:r>
          </w:p>
        </w:tc>
        <w:tc>
          <w:tcPr>
            <w:tcW w:type="dxa" w:w="1440"/>
          </w:tcPr>
          <w:p>
            <w:r>
              <w:rPr>
                <w:b/>
              </w:rPr>
              <w:t>**Other Tax**</w:t>
            </w:r>
          </w:p>
        </w:tc>
        <w:tc>
          <w:tcPr>
            <w:tcW w:type="dxa" w:w="1440"/>
          </w:tcPr>
          <w:p>
            <w:r>
              <w:rPr>
                <w:b/>
              </w:rPr>
              <w:t>**Total Tax**</w:t>
            </w:r>
          </w:p>
        </w:tc>
        <w:tc>
          <w:tcPr>
            <w:tcW w:type="dxa" w:w="1440"/>
          </w:tcPr>
          <w:p>
            <w:r>
              <w:rPr>
                <w:b/>
              </w:rPr>
              <w:t>**Effective Rate**</w:t>
            </w:r>
          </w:p>
        </w:tc>
        <w:tc>
          <w:tcPr>
            <w:tcW w:type="dxa" w:w="1440"/>
          </w:tcPr>
          <w:p>
            <w:r>
              <w:rPr>
                <w:b/>
              </w:rPr>
              <w:t>**Viable Post-BEPS?**</w:t>
            </w:r>
          </w:p>
        </w:tc>
      </w:tr>
      <w:tr>
        <w:tc>
          <w:tcPr>
            <w:tcW w:type="dxa" w:w="1440"/>
          </w:tcPr>
          <w:p>
            <w:r>
              <w:t>**Direct (USA → Ghana)**</w:t>
            </w:r>
          </w:p>
        </w:tc>
        <w:tc>
          <w:tcPr>
            <w:tcW w:type="dxa" w:w="1440"/>
          </w:tcPr>
          <w:p>
            <w:r>
              <w:t>$480,000 (10%)</w:t>
            </w:r>
          </w:p>
        </w:tc>
        <w:tc>
          <w:tcPr>
            <w:tcW w:type="dxa" w:w="1440"/>
          </w:tcPr>
          <w:p>
            <w:r>
              <w:t>$528,000 (US)</w:t>
            </w:r>
          </w:p>
        </w:tc>
        <w:tc>
          <w:tcPr>
            <w:tcW w:type="dxa" w:w="1440"/>
          </w:tcPr>
          <w:p>
            <w:r>
              <w:t>$1,008,000</w:t>
            </w:r>
          </w:p>
        </w:tc>
        <w:tc>
          <w:tcPr>
            <w:tcW w:type="dxa" w:w="1440"/>
          </w:tcPr>
          <w:p>
            <w:r>
              <w:t>21%</w:t>
            </w:r>
          </w:p>
        </w:tc>
        <w:tc>
          <w:tcPr>
            <w:tcW w:type="dxa" w:w="1440"/>
          </w:tcPr>
          <w:p>
            <w:r>
              <w:t>Yes</w:t>
            </w:r>
          </w:p>
        </w:tc>
      </w:tr>
      <w:tr>
        <w:tc>
          <w:tcPr>
            <w:tcW w:type="dxa" w:w="1440"/>
          </w:tcPr>
          <w:p>
            <w:r>
              <w:t>**Netherlands (Pre-BEPS)**</w:t>
            </w:r>
          </w:p>
        </w:tc>
        <w:tc>
          <w:tcPr>
            <w:tcW w:type="dxa" w:w="1440"/>
          </w:tcPr>
          <w:p>
            <w:r>
              <w:t>$0 (0%)</w:t>
            </w:r>
          </w:p>
        </w:tc>
        <w:tc>
          <w:tcPr>
            <w:tcW w:type="dxa" w:w="1440"/>
          </w:tcPr>
          <w:p>
            <w:r>
              <w:t>$432,000 (NL)</w:t>
            </w:r>
          </w:p>
        </w:tc>
        <w:tc>
          <w:tcPr>
            <w:tcW w:type="dxa" w:w="1440"/>
          </w:tcPr>
          <w:p>
            <w:r>
              <w:t>$432,000</w:t>
            </w:r>
          </w:p>
        </w:tc>
        <w:tc>
          <w:tcPr>
            <w:tcW w:type="dxa" w:w="1440"/>
          </w:tcPr>
          <w:p>
            <w:r>
              <w:t>9%</w:t>
            </w:r>
          </w:p>
        </w:tc>
        <w:tc>
          <w:tcPr>
            <w:tcW w:type="dxa" w:w="1440"/>
          </w:tcPr>
          <w:p>
            <w:r>
              <w:t>No (historical)</w:t>
            </w:r>
          </w:p>
        </w:tc>
      </w:tr>
      <w:tr>
        <w:tc>
          <w:tcPr>
            <w:tcW w:type="dxa" w:w="1440"/>
          </w:tcPr>
          <w:p>
            <w:r>
              <w:t>**Netherlands (Post-BEPS)**</w:t>
            </w:r>
          </w:p>
        </w:tc>
        <w:tc>
          <w:tcPr>
            <w:tcW w:type="dxa" w:w="1440"/>
          </w:tcPr>
          <w:p>
            <w:r>
              <w:t>$960,000 (20%)</w:t>
            </w:r>
          </w:p>
        </w:tc>
        <w:tc>
          <w:tcPr>
            <w:tcW w:type="dxa" w:w="1440"/>
          </w:tcPr>
          <w:p>
            <w:r>
              <w:t>$48,000 (US)</w:t>
            </w:r>
          </w:p>
        </w:tc>
        <w:tc>
          <w:tcPr>
            <w:tcW w:type="dxa" w:w="1440"/>
          </w:tcPr>
          <w:p>
            <w:r>
              <w:t>$1,008,000</w:t>
            </w:r>
          </w:p>
        </w:tc>
        <w:tc>
          <w:tcPr>
            <w:tcW w:type="dxa" w:w="1440"/>
          </w:tcPr>
          <w:p>
            <w:r>
              <w:t>21%</w:t>
            </w:r>
          </w:p>
        </w:tc>
        <w:tc>
          <w:tcPr>
            <w:tcW w:type="dxa" w:w="1440"/>
          </w:tcPr>
          <w:p>
            <w:r>
              <w:t>No (PPT/LOB applied)</w:t>
            </w:r>
          </w:p>
        </w:tc>
      </w:tr>
    </w:tbl>
    <w:p/>
    <w:p>
      <w:r/>
      <w:r>
        <w:rPr>
          <w:b/>
        </w:rPr>
        <w:t>Key Takeaways:</w:t>
      </w:r>
      <w:r/>
    </w:p>
    <w:p>
      <w:pPr>
        <w:pStyle w:val="ListNumber"/>
      </w:pPr>
      <w:r>
        <w:t>**Treaty benefits**: Ghana-USA treaty reduces WHT from 20% to 10%, saving $480,000</w:t>
      </w:r>
    </w:p>
    <w:p>
      <w:pPr>
        <w:pStyle w:val="ListNumber"/>
      </w:pPr>
      <w:r>
        <w:t>**Foreign tax credit**: Eliminates double taxation; effective rate = higher of source or residence rate</w:t>
      </w:r>
    </w:p>
    <w:p>
      <w:pPr>
        <w:pStyle w:val="ListNumber"/>
      </w:pPr>
      <w:r>
        <w:t>**BEPS impact**: PPT, LOB, and beneficial ownership tests prevent treaty shopping through conduit structures</w:t>
      </w:r>
    </w:p>
    <w:p>
      <w:pPr>
        <w:pStyle w:val="ListNumber"/>
      </w:pPr>
      <w:r>
        <w:t>**Compliance**: Direct licensing structure (USA → Ghana) is most transparent and sustainable post-BEPS</w:t>
      </w:r>
    </w:p>
    <w:p>
      <w:pPr>
        <w:pStyle w:val="ListNumber"/>
      </w:pPr>
      <w:r>
        <w:t>**Economic substance**: Post-BEPS era requires genuine economic activity in intermediate jurisdictions to access treaty benefits</w:t>
      </w:r>
    </w:p>
    <w:p>
      <w:r/>
      <w:r>
        <w:rPr>
          <w:b/>
        </w:rPr>
        <w:t>Practical Recommendation:</w:t>
      </w:r>
      <w:r/>
    </w:p>
    <w:p>
      <w:r>
        <w:t xml:space="preserve">For DrillTech, the </w:t>
      </w:r>
      <w:r>
        <w:rPr>
          <w:b/>
        </w:rPr>
        <w:t>direct licensing structure</w:t>
      </w:r>
      <w:r>
        <w:t xml:space="preserve"> (USA → Ghana) is optimal:</w:t>
      </w:r>
    </w:p>
    <w:p>
      <w:pPr>
        <w:pStyle w:val="ListBullet"/>
      </w:pPr>
      <w:r>
        <w:t>Sustainable under BEPS framework</w:t>
      </w:r>
    </w:p>
    <w:p>
      <w:pPr>
        <w:pStyle w:val="ListBullet"/>
      </w:pPr>
      <w:r>
        <w:t>Administrative simplicity</w:t>
      </w:r>
    </w:p>
    <w:p>
      <w:pPr>
        <w:pStyle w:val="ListBullet"/>
      </w:pPr>
      <w:r>
        <w:t>Effective tax rate (21%) reflects genuine economic arrangement</w:t>
      </w:r>
    </w:p>
    <w:p>
      <w:pPr>
        <w:pStyle w:val="ListBullet"/>
      </w:pPr>
      <w:r>
        <w:t>No reputational risk from aggressive tax planning</w:t>
      </w:r>
    </w:p>
    <w:p>
      <w:r>
        <w:t>---</w:t>
      </w:r>
    </w:p>
    <w:p>
      <w:pPr>
        <w:pStyle w:val="Heading2"/>
      </w:pPr>
      <w:r>
        <w:t>6. Recent Developments and Emerging Trends</w:t>
      </w:r>
    </w:p>
    <w:p>
      <w:pPr>
        <w:pStyle w:val="Heading3"/>
      </w:pPr>
      <w:r>
        <w:t>6.1 Windfall Taxes and Temporary Royalty Increases (2022-2024)</w:t>
      </w:r>
    </w:p>
    <w:p>
      <w:r/>
      <w:r>
        <w:rPr>
          <w:b/>
        </w:rPr>
        <w:t>Global Context:</w:t>
      </w:r>
      <w:r/>
    </w:p>
    <w:p>
      <w:r>
        <w:t xml:space="preserve">Following energy price spikes from 2022-2024 (Russia-Ukraine conflict, supply constraints), numerous jurisdictions imposed temporary </w:t>
      </w:r>
      <w:r>
        <w:rPr>
          <w:b/>
        </w:rPr>
        <w:t>windfall taxes</w:t>
      </w:r>
      <w:r>
        <w:t xml:space="preserve"> or increased royalty rates:</w:t>
      </w:r>
    </w:p>
    <w:p>
      <w:r/>
      <w:r>
        <w:rPr>
          <w:b/>
        </w:rPr>
        <w:t>Examples:</w:t>
      </w:r>
      <w:r/>
    </w:p>
    <w:p>
      <w:r/>
      <w:r>
        <w:rPr>
          <w:b/>
        </w:rPr>
        <w:t>1. UK Energy Profits Levy (2022-2028):</w:t>
      </w:r>
      <w:r/>
    </w:p>
    <w:p>
      <w:pPr>
        <w:pStyle w:val="ListBullet"/>
      </w:pPr>
      <w:r>
        <w:t>Additional 35% surcharge on North Sea profits (on top of 30% ring-fence CT + 35% supplementary charge)</w:t>
      </w:r>
    </w:p>
    <w:p>
      <w:pPr>
        <w:pStyle w:val="ListBullet"/>
      </w:pPr>
      <w:r>
        <w:t>Combined rate: Up to 75%</w:t>
      </w:r>
    </w:p>
    <w:p>
      <w:pPr>
        <w:pStyle w:val="ListBullet"/>
      </w:pPr>
      <w:r>
        <w:t>Investment allowance: 80% capital expenditure super-deduction</w:t>
      </w:r>
    </w:p>
    <w:p>
      <w:pPr>
        <w:pStyle w:val="ListBullet"/>
      </w:pPr>
      <w:r>
        <w:t>Sunset: 31 March 2028 (or earlier if prices normalize)</w:t>
      </w:r>
    </w:p>
    <w:p>
      <w:r/>
      <w:r>
        <w:rPr>
          <w:b/>
        </w:rPr>
        <w:t>2. EU Solidarity Contribution (2022-2023):</w:t>
      </w:r>
      <w:r/>
    </w:p>
    <w:p>
      <w:pPr>
        <w:pStyle w:val="ListBullet"/>
      </w:pPr>
      <w:r>
        <w:t>Temporary 33% levy on "excess profits" of fossil fuel companies</w:t>
      </w:r>
    </w:p>
    <w:p>
      <w:pPr>
        <w:pStyle w:val="ListBullet"/>
      </w:pPr>
      <w:r>
        <w:t>Applied to 2022-2023 profits exceeding 120% of average 2018-2021 profits</w:t>
      </w:r>
    </w:p>
    <w:p>
      <w:pPr>
        <w:pStyle w:val="ListBullet"/>
      </w:pPr>
      <w:r>
        <w:t>Discontinued in most member states by 2024</w:t>
      </w:r>
    </w:p>
    <w:p>
      <w:r/>
      <w:r>
        <w:rPr>
          <w:b/>
        </w:rPr>
        <w:t>3. Canada (Newfoundland and Labrador) - Offshore Royalty Increase:</w:t>
      </w:r>
      <w:r/>
    </w:p>
    <w:p>
      <w:pPr>
        <w:pStyle w:val="ListBullet"/>
      </w:pPr>
      <w:r>
        <w:t>Increased Tier 4 royalty from 30% to 50% (for high-profit projects)</w:t>
      </w:r>
    </w:p>
    <w:p>
      <w:pPr>
        <w:pStyle w:val="ListBullet"/>
      </w:pPr>
      <w:r>
        <w:t>Effective 2023 (legislative proposal)</w:t>
      </w:r>
    </w:p>
    <w:p>
      <w:r/>
      <w:r>
        <w:rPr>
          <w:b/>
        </w:rPr>
        <w:t>4. Chile - Mining Royalty Reform (2023):</w:t>
      </w:r>
      <w:r/>
    </w:p>
    <w:p>
      <w:pPr>
        <w:pStyle w:val="ListBullet"/>
      </w:pPr>
      <w:r>
        <w:t>Introduction of ad valorem royalty: 1% on sales (small producers exempt)</w:t>
      </w:r>
    </w:p>
    <w:p>
      <w:pPr>
        <w:pStyle w:val="ListBullet"/>
      </w:pPr>
      <w:r>
        <w:t>Additional net mining income (NMI) royalty: Up to 26% on operating margin &gt;85%</w:t>
      </w:r>
    </w:p>
    <w:p>
      <w:pPr>
        <w:pStyle w:val="ListBullet"/>
      </w:pPr>
      <w:r>
        <w:t>Combined with existing corporate tax</w:t>
      </w:r>
    </w:p>
    <w:p>
      <w:r/>
      <w:r>
        <w:rPr>
          <w:b/>
        </w:rPr>
        <w:t>5. Indonesia - Coal Export Levy (2022-2024):</w:t>
      </w:r>
      <w:r/>
    </w:p>
    <w:p>
      <w:pPr>
        <w:pStyle w:val="ListBullet"/>
      </w:pPr>
      <w:r>
        <w:t>Progressive levy on coal exports at prices &gt;$70/tonne</w:t>
      </w:r>
    </w:p>
    <w:p>
      <w:pPr>
        <w:pStyle w:val="ListBullet"/>
      </w:pPr>
      <w:r>
        <w:t>Up to $60/tonne at prices &gt;$250/tonne</w:t>
      </w:r>
    </w:p>
    <w:p>
      <w:pPr>
        <w:pStyle w:val="ListBullet"/>
      </w:pPr>
      <w:r>
        <w:t>Revenue directed to sovereign wealth fund</w:t>
      </w:r>
    </w:p>
    <w:p>
      <w:r/>
      <w:r>
        <w:rPr>
          <w:b/>
        </w:rPr>
        <w:t>Impact:</w:t>
      </w:r>
      <w:r/>
    </w:p>
    <w:p>
      <w:pPr>
        <w:pStyle w:val="ListBullet"/>
      </w:pPr>
      <w:r>
        <w:t>**Investment uncertainty**: Frequent fiscal changes deter long-term investment</w:t>
      </w:r>
    </w:p>
    <w:p>
      <w:pPr>
        <w:pStyle w:val="ListBullet"/>
      </w:pPr>
      <w:r>
        <w:t>**Stabilization clauses**: Renewed focus on fiscal stability provisions in contracts</w:t>
      </w:r>
    </w:p>
    <w:p>
      <w:pPr>
        <w:pStyle w:val="ListBullet"/>
      </w:pPr>
      <w:r>
        <w:t>**Political economy**: Tension between resource nationalism and investment climate</w:t>
      </w:r>
    </w:p>
    <w:p>
      <w:pPr>
        <w:pStyle w:val="Heading3"/>
      </w:pPr>
      <w:r>
        <w:t>6.2 Carbon-Adjusted Royalties</w:t>
      </w:r>
    </w:p>
    <w:p>
      <w:r/>
      <w:r>
        <w:rPr>
          <w:b/>
        </w:rPr>
        <w:t>Concept:</w:t>
      </w:r>
      <w:r/>
    </w:p>
    <w:p>
      <w:r>
        <w:t>Royalty rates adjusted to incentivize low-carbon production methods or carbon capture and storage (CCS).</w:t>
      </w:r>
    </w:p>
    <w:p>
      <w:r/>
      <w:r>
        <w:rPr>
          <w:b/>
        </w:rPr>
        <w:t>Examples:</w:t>
      </w:r>
      <w:r/>
    </w:p>
    <w:p>
      <w:r/>
      <w:r>
        <w:rPr>
          <w:b/>
        </w:rPr>
        <w:t>1. Norway - CO2 Tax Offset:</w:t>
      </w:r>
      <w:r/>
    </w:p>
    <w:p>
      <w:pPr>
        <w:pStyle w:val="ListBullet"/>
      </w:pPr>
      <w:r>
        <w:t>Petroleum tax relief for CCS investments</w:t>
      </w:r>
    </w:p>
    <w:p>
      <w:pPr>
        <w:pStyle w:val="ListBullet"/>
      </w:pPr>
      <w:r>
        <w:t>Effective royalty reduction for projects demonstrating carbon abatement</w:t>
      </w:r>
    </w:p>
    <w:p>
      <w:pPr>
        <w:pStyle w:val="ListBullet"/>
      </w:pPr>
      <w:r>
        <w:t>Example: Northern Lights CCS project receives enhanced uplift on costs</w:t>
      </w:r>
    </w:p>
    <w:p>
      <w:r/>
      <w:r>
        <w:rPr>
          <w:b/>
        </w:rPr>
        <w:t>2. Alberta - Emissions Performance Credits (EPCs):</w:t>
      </w:r>
      <w:r/>
    </w:p>
    <w:p>
      <w:pPr>
        <w:pStyle w:val="ListBullet"/>
      </w:pPr>
      <w:r>
        <w:t>Mining and petroleum operations earning EPCs receive royalty reductions</w:t>
      </w:r>
    </w:p>
    <w:p>
      <w:pPr>
        <w:pStyle w:val="ListBullet"/>
      </w:pPr>
      <w:r>
        <w:t>Up to 10% royalty reduction for facilities exceeding emissions performance benchmarks</w:t>
      </w:r>
    </w:p>
    <w:p>
      <w:r/>
      <w:r>
        <w:rPr>
          <w:b/>
        </w:rPr>
        <w:t>3. Australia - Proposed Scope 3 Royalty Adjustments:</w:t>
      </w:r>
      <w:r/>
    </w:p>
    <w:p>
      <w:pPr>
        <w:pStyle w:val="ListBullet"/>
      </w:pPr>
      <w:r>
        <w:t>Discussion of royalty adjustments linked to downstream emissions (LNG exports)</w:t>
      </w:r>
    </w:p>
    <w:p>
      <w:pPr>
        <w:pStyle w:val="ListBullet"/>
      </w:pPr>
      <w:r>
        <w:t>Not yet implemented; faces industry opposition</w:t>
      </w:r>
    </w:p>
    <w:p>
      <w:r/>
      <w:r>
        <w:rPr>
          <w:b/>
        </w:rPr>
        <w:t>Emerging Trend:</w:t>
      </w:r>
      <w:r/>
    </w:p>
    <w:p>
      <w:r>
        <w:t xml:space="preserve">Integration of </w:t>
      </w:r>
      <w:r>
        <w:rPr>
          <w:b/>
        </w:rPr>
        <w:t>ESG metrics</w:t>
      </w:r>
      <w:r>
        <w:t xml:space="preserve"> (carbon intensity, water usage, biodiversity) into royalty calculations, creating fiscal incentives for sustainable extraction.</w:t>
      </w:r>
    </w:p>
    <w:p>
      <w:pPr>
        <w:pStyle w:val="Heading3"/>
      </w:pPr>
      <w:r>
        <w:t>6.3 Digital Taxation and IP Royalties</w:t>
      </w:r>
    </w:p>
    <w:p>
      <w:r/>
      <w:r>
        <w:rPr>
          <w:b/>
        </w:rPr>
        <w:t>OECD Pillar One - Unified Approach:</w:t>
      </w:r>
      <w:r/>
    </w:p>
    <w:p>
      <w:pPr>
        <w:pStyle w:val="ListBullet"/>
      </w:pPr>
      <w:r>
        <w:t>Reallocates taxing rights for large MNEs to market jurisdictions</w:t>
      </w:r>
    </w:p>
    <w:p>
      <w:pPr>
        <w:pStyle w:val="ListBullet"/>
      </w:pPr>
      <w:r>
        <w:t>Impact on IP royalties: Potential for **Amount A** (formulaic allocation) to override traditional royalty payments</w:t>
      </w:r>
    </w:p>
    <w:p>
      <w:pPr>
        <w:pStyle w:val="ListBullet"/>
      </w:pPr>
      <w:r>
        <w:t>Extractive industries: Generally **excluded** from Pillar One (Amount A) but subject to Pillar Two</w:t>
      </w:r>
    </w:p>
    <w:p>
      <w:r/>
      <w:r>
        <w:rPr>
          <w:b/>
        </w:rPr>
        <w:t>OECD Pillar Two - Global Minimum Tax (15%):</w:t>
      </w:r>
      <w:r/>
    </w:p>
    <w:p>
      <w:pPr>
        <w:pStyle w:val="ListBullet"/>
      </w:pPr>
      <w:r>
        <w:t>**GloBE Rules** apply to extractive MNEs with revenue &gt;€750m</w:t>
      </w:r>
    </w:p>
    <w:p>
      <w:pPr>
        <w:pStyle w:val="ListBullet"/>
      </w:pPr>
      <w:r>
        <w:t>Qualified Domestic Minimum Top-up Tax (QDMTT): May include extraction royalties as "covered taxes"</w:t>
      </w:r>
    </w:p>
    <w:p>
      <w:pPr>
        <w:pStyle w:val="ListBullet"/>
      </w:pPr>
      <w:r>
        <w:t>Impact: Low-royalty jurisdictions may face top-up tax unless royalties meet 15% minimum</w:t>
      </w:r>
    </w:p>
    <w:p>
      <w:r/>
      <w:r>
        <w:rPr>
          <w:b/>
        </w:rPr>
        <w:t>Example:</w:t>
      </w:r>
      <w:r/>
    </w:p>
    <w:p>
      <w:pPr/>
      <w:r>
        <w:t>Jurisdiction X: 3% royalty + 10% CIT = 13% effective tax rate</w:t>
      </w:r>
    </w:p>
    <w:p>
      <w:pPr/>
      <w:r>
        <w:t>Pillar Two: 15% minimum</w:t>
      </w:r>
    </w:p>
    <w:p>
      <w:pPr/>
      <w:r>
        <w:t>Top-up tax: 2% (collected by parent jurisdiction or Jurisdiction X if QDMTT adopted)</w:t>
      </w:r>
    </w:p>
    <w:p>
      <w:r/>
      <w:r>
        <w:rPr>
          <w:b/>
        </w:rPr>
        <w:t>IP Royalty Implications:</w:t>
      </w:r>
      <w:r/>
    </w:p>
    <w:p>
      <w:pPr>
        <w:pStyle w:val="ListBullet"/>
      </w:pPr>
      <w:r>
        <w:t>**Substance requirements**: IP holding companies must have genuine economic activity</w:t>
      </w:r>
    </w:p>
    <w:p>
      <w:pPr>
        <w:pStyle w:val="ListBullet"/>
      </w:pPr>
      <w:r>
        <w:t>**DEMPE analysis**: Development, Enhancement, Maintenance, Protection, Exploitation of IP must align with value creation</w:t>
      </w:r>
    </w:p>
    <w:p>
      <w:pPr>
        <w:pStyle w:val="ListBullet"/>
      </w:pPr>
      <w:r>
        <w:t>**Increased documentation**: Enhanced transfer pricing documentation for IP royalties</w:t>
      </w:r>
    </w:p>
    <w:p>
      <w:pPr>
        <w:pStyle w:val="Heading3"/>
      </w:pPr>
      <w:r>
        <w:t>6.4 Transparency and Beneficial Ownership</w:t>
      </w:r>
    </w:p>
    <w:p>
      <w:r/>
      <w:r>
        <w:rPr>
          <w:b/>
        </w:rPr>
        <w:t>Extractive Industries Transparency Initiative (EITI):</w:t>
      </w:r>
      <w:r/>
    </w:p>
    <w:p>
      <w:r>
        <w:t xml:space="preserve">The </w:t>
      </w:r>
      <w:r>
        <w:rPr>
          <w:b/>
        </w:rPr>
        <w:t>Extractive Industries Transparency Initiative (EITI)</w:t>
      </w:r>
      <w:r>
        <w:t xml:space="preserve"> is a global standard promoting transparency in the extractive sector through disclosure requirements for payments between extractive companies and governments.</w:t>
      </w:r>
    </w:p>
    <w:p>
      <w:pPr>
        <w:pStyle w:val="ListBullet"/>
      </w:pPr>
      <w:r>
        <w:t>57 implementing countries (as of 2023)</w:t>
      </w:r>
    </w:p>
    <w:p>
      <w:pPr>
        <w:pStyle w:val="ListBullet"/>
      </w:pPr>
      <w:r>
        <w:t>Requires disclosure of royalty payments by project</w:t>
      </w:r>
    </w:p>
    <w:p>
      <w:pPr>
        <w:pStyle w:val="ListBullet"/>
      </w:pPr>
      <w:r>
        <w:t>Beneficial ownership registries: Identifying ultimate owners of extractive licenses</w:t>
      </w:r>
    </w:p>
    <w:p>
      <w:r/>
      <w:r>
        <w:rPr>
          <w:b/>
        </w:rPr>
        <w:t>EU Accounting Directive (Chapter 10):</w:t>
      </w:r>
      <w:r/>
    </w:p>
    <w:p>
      <w:pPr>
        <w:pStyle w:val="ListBullet"/>
      </w:pPr>
      <w:r>
        <w:t>Large extractive and logging companies must publish payments to governments by project</w:t>
      </w:r>
    </w:p>
    <w:p>
      <w:pPr>
        <w:pStyle w:val="ListBullet"/>
      </w:pPr>
      <w:r>
        <w:t>Includes royalties, license fees, production entitlements</w:t>
      </w:r>
    </w:p>
    <w:p>
      <w:pPr>
        <w:pStyle w:val="ListBullet"/>
      </w:pPr>
      <w:r>
        <w:t>Public disclosure requirement</w:t>
      </w:r>
    </w:p>
    <w:p>
      <w:r/>
      <w:r>
        <w:rPr>
          <w:b/>
        </w:rPr>
        <w:t>Impact:</w:t>
      </w:r>
      <w:r/>
    </w:p>
    <w:p>
      <w:pPr>
        <w:pStyle w:val="ListBullet"/>
      </w:pPr>
      <w:r>
        <w:t>Increased public scrutiny of royalty arrangements</w:t>
      </w:r>
    </w:p>
    <w:p>
      <w:pPr>
        <w:pStyle w:val="ListBullet"/>
      </w:pPr>
      <w:r>
        <w:t>Pressure for renegotiation of "sweetheart deals"</w:t>
      </w:r>
    </w:p>
    <w:p>
      <w:pPr>
        <w:pStyle w:val="ListBullet"/>
      </w:pPr>
      <w:r>
        <w:t>Enhanced compliance and anti-corruption measures</w:t>
      </w:r>
    </w:p>
    <w:p>
      <w:pPr>
        <w:pStyle w:val="Heading3"/>
      </w:pPr>
      <w:r>
        <w:t>6.5 Critical Minerals and Strategic Royalty Frameworks</w:t>
      </w:r>
    </w:p>
    <w:p>
      <w:r/>
      <w:r>
        <w:rPr>
          <w:b/>
        </w:rPr>
        <w:t>Global Shift:</w:t>
      </w:r>
      <w:r/>
    </w:p>
    <w:p>
      <w:r>
        <w:t xml:space="preserve">Energy transition drives demand for </w:t>
      </w:r>
      <w:r>
        <w:rPr>
          <w:b/>
        </w:rPr>
        <w:t>critical minerals</w:t>
      </w:r>
      <w:r>
        <w:t xml:space="preserve"> (lithium, cobalt, rare earths, copper for electrification).</w:t>
      </w:r>
    </w:p>
    <w:p>
      <w:r/>
      <w:r>
        <w:rPr>
          <w:b/>
        </w:rPr>
        <w:t>Royalty Innovations:</w:t>
      </w:r>
      <w:r/>
    </w:p>
    <w:p>
      <w:r/>
      <w:r>
        <w:rPr>
          <w:b/>
        </w:rPr>
        <w:t>1. Differential Rates for Critical Minerals:</w:t>
      </w:r>
      <w:r/>
    </w:p>
    <w:p>
      <w:pPr>
        <w:pStyle w:val="ListBullet"/>
      </w:pPr>
      <w:r>
        <w:t>Lower royalties for battery metals vs. traditional commodities</w:t>
      </w:r>
    </w:p>
    <w:p>
      <w:pPr>
        <w:pStyle w:val="ListBullet"/>
      </w:pPr>
      <w:r>
        <w:t>Example: Australia (WA) - lithium royalty 2.5% (vs. 7.5% for iron ore)</w:t>
      </w:r>
    </w:p>
    <w:p>
      <w:r/>
      <w:r>
        <w:rPr>
          <w:b/>
        </w:rPr>
        <w:t>2. Downstream Processing Incentives:</w:t>
      </w:r>
      <w:r/>
    </w:p>
    <w:p>
      <w:pPr>
        <w:pStyle w:val="ListBullet"/>
      </w:pPr>
      <w:r>
        <w:t>Royalty rebates for in-country refining/smelting</w:t>
      </w:r>
    </w:p>
    <w:p>
      <w:pPr>
        <w:pStyle w:val="ListBullet"/>
      </w:pPr>
      <w:r>
        <w:t>Example: Indonesia - reduced royalty for nickel processed domestically (battery-grade)</w:t>
      </w:r>
    </w:p>
    <w:p>
      <w:r/>
      <w:r>
        <w:rPr>
          <w:b/>
        </w:rPr>
        <w:t>3. Strategic Reserves and Export Restrictions:</w:t>
      </w:r>
      <w:r/>
    </w:p>
    <w:p>
      <w:pPr>
        <w:pStyle w:val="ListBullet"/>
      </w:pPr>
      <w:r>
        <w:t>Royalty waivers for supply to domestic strategic reserves</w:t>
      </w:r>
    </w:p>
    <w:p>
      <w:pPr>
        <w:pStyle w:val="ListBullet"/>
      </w:pPr>
      <w:r>
        <w:t>Export levies (effective royalty surcharge) on unprocessed critical minerals</w:t>
      </w:r>
    </w:p>
    <w:p>
      <w:r>
        <w:t>---</w:t>
      </w:r>
    </w:p>
    <w:p>
      <w:pPr>
        <w:pStyle w:val="Heading2"/>
      </w:pPr>
      <w:r>
        <w:t>7. Key Examination Points and Summary</w:t>
      </w:r>
    </w:p>
    <w:p>
      <w:pPr>
        <w:pStyle w:val="Heading3"/>
      </w:pPr>
      <w:r>
        <w:t>7.1 Critical Concepts for ADIT Candidates</w:t>
      </w:r>
    </w:p>
    <w:p>
      <w:r/>
      <w:r>
        <w:rPr>
          <w:b/>
        </w:rPr>
        <w:t>1. Royalty Classification:</w:t>
      </w:r>
      <w:r/>
    </w:p>
    <w:p>
      <w:pPr>
        <w:pStyle w:val="ListBullet"/>
      </w:pPr>
      <w:r>
        <w:t>**Extraction royalties**: Compensation for resource depletion (Article 6 or 21 treaty treatment)</w:t>
      </w:r>
    </w:p>
    <w:p>
      <w:pPr>
        <w:pStyle w:val="ListBullet"/>
      </w:pPr>
      <w:r>
        <w:t>**IP royalties**: Payment for intangible property use (Article 12 treaty treatment)</w:t>
      </w:r>
    </w:p>
    <w:p>
      <w:pPr>
        <w:pStyle w:val="ListBullet"/>
      </w:pPr>
      <w:r>
        <w:t>**Withholding tax**: IP royalties subject to WHT; extraction royalties generally not</w:t>
      </w:r>
    </w:p>
    <w:p>
      <w:r/>
      <w:r>
        <w:rPr>
          <w:b/>
        </w:rPr>
        <w:t>2. Calculation Methods:</w:t>
      </w:r>
      <w:r/>
    </w:p>
    <w:p>
      <w:pPr>
        <w:pStyle w:val="ListBullet"/>
      </w:pPr>
      <w:r>
        <w:t>**Ad valorem**: Percentage of gross revenue (common, price-elastic)</w:t>
      </w:r>
    </w:p>
    <w:p>
      <w:pPr>
        <w:pStyle w:val="ListBullet"/>
      </w:pPr>
      <w:r>
        <w:t>**Specific**: Fixed per unit (rare, regressive)</w:t>
      </w:r>
    </w:p>
    <w:p>
      <w:pPr>
        <w:pStyle w:val="ListBullet"/>
      </w:pPr>
      <w:r>
        <w:t>**Profit-based**: Percentage of net profit (progressive, complex)</w:t>
      </w:r>
    </w:p>
    <w:p>
      <w:pPr>
        <w:pStyle w:val="ListBullet"/>
      </w:pPr>
      <w:r>
        <w:t>**Sliding scale**: Variable rate (price, production, R-Factor triggers)</w:t>
      </w:r>
    </w:p>
    <w:p>
      <w:r/>
      <w:r>
        <w:rPr>
          <w:b/>
        </w:rPr>
        <w:t>3. Tax Treatment:</w:t>
      </w:r>
      <w:r/>
    </w:p>
    <w:p>
      <w:pPr>
        <w:pStyle w:val="ListBullet"/>
      </w:pPr>
      <w:r>
        <w:t>**Deductibility**: Extraction royalties typically deductible for CIT</w:t>
      </w:r>
    </w:p>
    <w:p>
      <w:pPr>
        <w:pStyle w:val="ListBullet"/>
      </w:pPr>
      <w:r>
        <w:t>**Effective cost**: Royalty × (1 - CIT rate) due to tax deduction</w:t>
      </w:r>
    </w:p>
    <w:p>
      <w:pPr>
        <w:pStyle w:val="ListBullet"/>
      </w:pPr>
      <w:r>
        <w:t>**Combined government take**: Royalty + CIT on post-royalty profit</w:t>
      </w:r>
    </w:p>
    <w:p>
      <w:r/>
      <w:r>
        <w:rPr>
          <w:b/>
        </w:rPr>
        <w:t>4. Transfer Pricing:</w:t>
      </w:r>
      <w:r/>
    </w:p>
    <w:p>
      <w:pPr>
        <w:pStyle w:val="ListBullet"/>
      </w:pPr>
      <w:r>
        <w:t>**Extraction**: Valuation at arm's length (CUP method, benchmark pricing)</w:t>
      </w:r>
    </w:p>
    <w:p>
      <w:pPr>
        <w:pStyle w:val="ListBullet"/>
      </w:pPr>
      <w:r>
        <w:t>**IP**: Full OECD Guidelines apply (CUP, TNMM, Profit Split)</w:t>
      </w:r>
    </w:p>
    <w:p>
      <w:pPr>
        <w:pStyle w:val="ListBullet"/>
      </w:pPr>
      <w:r>
        <w:t>**BEPS impact**: PPT, LOB, beneficial ownership tests prevent treaty shopping</w:t>
      </w:r>
    </w:p>
    <w:p>
      <w:r/>
      <w:r>
        <w:rPr>
          <w:b/>
        </w:rPr>
        <w:t>5. Cross-Border Structures:</w:t>
      </w:r>
      <w:r/>
    </w:p>
    <w:p>
      <w:pPr>
        <w:pStyle w:val="ListBullet"/>
      </w:pPr>
      <w:r>
        <w:t>**Treaty shopping**: Use of conduit entities for WHT reduction (PPT applies post-BEPS)</w:t>
      </w:r>
    </w:p>
    <w:p>
      <w:pPr>
        <w:pStyle w:val="ListBullet"/>
      </w:pPr>
      <w:r>
        <w:t>**Foreign tax credit**: Eliminates double taxation (effective rate = higher of source/residence)</w:t>
      </w:r>
    </w:p>
    <w:p>
      <w:pPr>
        <w:pStyle w:val="ListBullet"/>
      </w:pPr>
      <w:r>
        <w:t>**Substance requirements**: Genuine economic activity required for treaty benefits</w:t>
      </w:r>
    </w:p>
    <w:p>
      <w:pPr>
        <w:pStyle w:val="Heading3"/>
      </w:pPr>
      <w:r>
        <w:t>7.2 Common Pitfalls</w:t>
      </w:r>
    </w:p>
    <w:p>
      <w:r/>
      <w:r>
        <w:rPr>
          <w:b/>
        </w:rPr>
        <w:t>1. Misclassifying IP vs. Extraction Royalties:</w:t>
      </w:r>
      <w:r/>
    </w:p>
    <w:p>
      <w:pPr>
        <w:pStyle w:val="ListBullet"/>
      </w:pPr>
      <w:r>
        <w:t>Incorrect treaty article application (Article 6/21 vs. Article 12)</w:t>
      </w:r>
    </w:p>
    <w:p>
      <w:pPr>
        <w:pStyle w:val="ListBullet"/>
      </w:pPr>
      <w:r>
        <w:t>WHT treatment errors (applying WHT to extraction royalties)</w:t>
      </w:r>
    </w:p>
    <w:p>
      <w:r/>
      <w:r>
        <w:rPr>
          <w:b/>
        </w:rPr>
        <w:t>2. Ignoring Valuation Adjustments:</w:t>
      </w:r>
      <w:r/>
    </w:p>
    <w:p>
      <w:pPr>
        <w:pStyle w:val="ListBullet"/>
      </w:pPr>
      <w:r>
        <w:t>Failing to apply netback method for wellhead valuation</w:t>
      </w:r>
    </w:p>
    <w:p>
      <w:pPr>
        <w:pStyle w:val="ListBullet"/>
      </w:pPr>
      <w:r>
        <w:t>Not adjusting for quality, transport, processing costs</w:t>
      </w:r>
    </w:p>
    <w:p>
      <w:r/>
      <w:r>
        <w:rPr>
          <w:b/>
        </w:rPr>
        <w:t>3. Overlooking Transfer Pricing Requirements:</w:t>
      </w:r>
      <w:r/>
    </w:p>
    <w:p>
      <w:pPr>
        <w:pStyle w:val="ListBullet"/>
      </w:pPr>
      <w:r>
        <w:t>Related-party sales without arm's length verification</w:t>
      </w:r>
    </w:p>
    <w:p>
      <w:pPr>
        <w:pStyle w:val="ListBullet"/>
      </w:pPr>
      <w:r>
        <w:t>Insufficient documentation for IP royalty rates</w:t>
      </w:r>
    </w:p>
    <w:p>
      <w:r/>
      <w:r>
        <w:rPr>
          <w:b/>
        </w:rPr>
        <w:t>4. Underestimating BEPS Impact:</w:t>
      </w:r>
      <w:r/>
    </w:p>
    <w:p>
      <w:pPr>
        <w:pStyle w:val="ListBullet"/>
      </w:pPr>
      <w:r>
        <w:t>Assuming pre-BEPS treaty shopping structures remain viable</w:t>
      </w:r>
    </w:p>
    <w:p>
      <w:pPr>
        <w:pStyle w:val="ListBullet"/>
      </w:pPr>
      <w:r>
        <w:t>Ignoring PPT, LOB, beneficial ownership tests</w:t>
      </w:r>
    </w:p>
    <w:p>
      <w:r/>
      <w:r>
        <w:rPr>
          <w:b/>
        </w:rPr>
        <w:t>5. Forgetting Deductibility Impact:</w:t>
      </w:r>
      <w:r/>
    </w:p>
    <w:p>
      <w:pPr>
        <w:pStyle w:val="ListBullet"/>
      </w:pPr>
      <w:r>
        <w:t>Calculating effective government take without considering royalty deduction for CIT</w:t>
      </w:r>
    </w:p>
    <w:p>
      <w:pPr>
        <w:pStyle w:val="ListBullet"/>
      </w:pPr>
      <w:r>
        <w:t>Overstating net cost of royalty to operator</w:t>
      </w:r>
    </w:p>
    <w:p>
      <w:pPr>
        <w:pStyle w:val="Heading3"/>
      </w:pPr>
      <w:r>
        <w:t>7.3 Practice Recommendations</w:t>
      </w:r>
    </w:p>
    <w:p>
      <w:r/>
      <w:r>
        <w:rPr>
          <w:b/>
        </w:rPr>
        <w:t>1. Master calculation mechanics:</w:t>
      </w:r>
      <w:r/>
    </w:p>
    <w:p>
      <w:pPr>
        <w:pStyle w:val="ListBullet"/>
      </w:pPr>
      <w:r>
        <w:t>Practice ad valorem, sliding scale, and profit-based royalty calculations</w:t>
      </w:r>
    </w:p>
    <w:p>
      <w:pPr>
        <w:pStyle w:val="ListBullet"/>
      </w:pPr>
      <w:r>
        <w:t>Work through netback valuation methods</w:t>
      </w:r>
    </w:p>
    <w:p>
      <w:pPr>
        <w:pStyle w:val="ListBullet"/>
      </w:pPr>
      <w:r>
        <w:t>Calculate combined effective tax rates (royalty + CIT)</w:t>
      </w:r>
    </w:p>
    <w:p>
      <w:r/>
      <w:r>
        <w:rPr>
          <w:b/>
        </w:rPr>
        <w:t>2. Analyze cross-border structures:</w:t>
      </w:r>
      <w:r/>
    </w:p>
    <w:p>
      <w:pPr>
        <w:pStyle w:val="ListBullet"/>
      </w:pPr>
      <w:r>
        <w:t>Compare direct vs. treaty shopping scenarios (pre- and post-BEPS)</w:t>
      </w:r>
    </w:p>
    <w:p>
      <w:pPr>
        <w:pStyle w:val="ListBullet"/>
      </w:pPr>
      <w:r>
        <w:t>Calculate foreign tax credits and effective tax rates</w:t>
      </w:r>
    </w:p>
    <w:p>
      <w:pPr>
        <w:pStyle w:val="ListBullet"/>
      </w:pPr>
      <w:r>
        <w:t>Assess PPT and LOB application</w:t>
      </w:r>
    </w:p>
    <w:p>
      <w:r/>
      <w:r>
        <w:rPr>
          <w:b/>
        </w:rPr>
        <w:t>3. Review recent developments:</w:t>
      </w:r>
      <w:r/>
    </w:p>
    <w:p>
      <w:pPr>
        <w:pStyle w:val="ListBullet"/>
      </w:pPr>
      <w:r>
        <w:t>Study windfall tax implementations (UK EPL, EU solidarity contribution)</w:t>
      </w:r>
    </w:p>
    <w:p>
      <w:pPr>
        <w:pStyle w:val="ListBullet"/>
      </w:pPr>
      <w:r>
        <w:t>Understand Pillar Two impact on extractive industries</w:t>
      </w:r>
    </w:p>
    <w:p>
      <w:pPr>
        <w:pStyle w:val="ListBullet"/>
      </w:pPr>
      <w:r>
        <w:t>Analyze carbon-adjusted royalty frameworks</w:t>
      </w:r>
    </w:p>
    <w:p>
      <w:r/>
      <w:r>
        <w:rPr>
          <w:b/>
        </w:rPr>
        <w:t>4. Practice transfer pricing:</w:t>
      </w:r>
      <w:r/>
    </w:p>
    <w:p>
      <w:pPr>
        <w:pStyle w:val="ListBullet"/>
      </w:pPr>
      <w:r>
        <w:t>Apply CUP method to extraction royalty valuations</w:t>
      </w:r>
    </w:p>
    <w:p>
      <w:pPr>
        <w:pStyle w:val="ListBullet"/>
      </w:pPr>
      <w:r>
        <w:t>Analyze IP royalty arrangements under DEMPE framework</w:t>
      </w:r>
    </w:p>
    <w:p>
      <w:pPr>
        <w:pStyle w:val="ListBullet"/>
      </w:pPr>
      <w:r>
        <w:t>Prepare arm's length defenses for related-party royalties</w:t>
      </w:r>
    </w:p>
    <w:p>
      <w:r>
        <w:t>---</w:t>
      </w:r>
    </w:p>
    <w:p>
      <w:pPr>
        <w:pStyle w:val="Heading2"/>
      </w:pPr>
      <w:r>
        <w:t>8. Further Reading and References</w:t>
      </w:r>
    </w:p>
    <w:p>
      <w:r/>
      <w:r>
        <w:rPr>
          <w:b/>
        </w:rPr>
        <w:t>Legislation and Guidance:</w:t>
      </w:r>
      <w:r/>
    </w:p>
    <w:p>
      <w:pPr>
        <w:pStyle w:val="ListBullet"/>
      </w:pPr>
      <w:r>
        <w:t>OECD Model Tax Convention (2024): Articles 6, 12, 21, 23</w:t>
      </w:r>
    </w:p>
    <w:p>
      <w:pPr>
        <w:pStyle w:val="ListBullet"/>
      </w:pPr>
      <w:r>
        <w:t>UN Model Tax Convention (2021): Articles 12, 12A (Fees for Technical Services)</w:t>
      </w:r>
    </w:p>
    <w:p>
      <w:pPr>
        <w:pStyle w:val="ListBullet"/>
      </w:pPr>
      <w:r>
        <w:t>Ghana: Petroleum (Exploration and Production) Act 2016</w:t>
      </w:r>
    </w:p>
    <w:p>
      <w:pPr>
        <w:pStyle w:val="ListBullet"/>
      </w:pPr>
      <w:r>
        <w:t>UK: Finance Act 2022 (Energy Profits Levy provisions)</w:t>
      </w:r>
    </w:p>
    <w:p>
      <w:pPr>
        <w:pStyle w:val="ListBullet"/>
      </w:pPr>
      <w:r>
        <w:t>Alberta: Mines and Minerals Act, Petroleum Royalty Regulation</w:t>
      </w:r>
    </w:p>
    <w:p>
      <w:r/>
      <w:r>
        <w:rPr>
          <w:b/>
        </w:rPr>
        <w:t>OECD BEPS:</w:t>
      </w:r>
      <w:r/>
    </w:p>
    <w:p>
      <w:pPr>
        <w:pStyle w:val="ListBullet"/>
      </w:pPr>
      <w:r>
        <w:t>Action 5: Harmful Tax Practices (IP regimes)</w:t>
      </w:r>
    </w:p>
    <w:p>
      <w:pPr>
        <w:pStyle w:val="ListBullet"/>
      </w:pPr>
      <w:r>
        <w:t>Action 6: Treaty Abuse (PPT, LOB)</w:t>
      </w:r>
    </w:p>
    <w:p>
      <w:pPr>
        <w:pStyle w:val="ListBullet"/>
      </w:pPr>
      <w:r>
        <w:t>Action 8-10: Transfer Pricing - Intangibles</w:t>
      </w:r>
    </w:p>
    <w:p>
      <w:pPr>
        <w:pStyle w:val="ListBullet"/>
      </w:pPr>
      <w:r>
        <w:t>Pillar Two: GloBE Rules Model Rules (extractive industry considerations)</w:t>
      </w:r>
    </w:p>
    <w:p>
      <w:r/>
      <w:r>
        <w:rPr>
          <w:b/>
        </w:rPr>
        <w:t>Academic and Industry:</w:t>
      </w:r>
      <w:r/>
    </w:p>
    <w:p>
      <w:pPr>
        <w:pStyle w:val="ListBullet"/>
      </w:pPr>
      <w:r>
        <w:t>Daniel Johnston, "International Petroleum Fiscal Systems and Production Sharing Contracts" (1994)</w:t>
      </w:r>
    </w:p>
    <w:p>
      <w:pPr>
        <w:pStyle w:val="ListBullet"/>
      </w:pPr>
      <w:r>
        <w:t>World Bank, "Taxation of Petroleum and Minerals: Principles, Problems and Practice" (2010)</w:t>
      </w:r>
    </w:p>
    <w:p>
      <w:pPr>
        <w:pStyle w:val="ListBullet"/>
      </w:pPr>
      <w:r>
        <w:t>IBA Section on Energy, "Model Mining Development Agreement" (2011)</w:t>
      </w:r>
    </w:p>
    <w:p>
      <w:pPr>
        <w:pStyle w:val="ListBullet"/>
      </w:pPr>
      <w:r>
        <w:t>Oxford Centre for Business Taxation, "Taxing Profit in a Global Economy" (2019)</w:t>
      </w:r>
    </w:p>
    <w:p>
      <w:r/>
      <w:r>
        <w:rPr>
          <w:b/>
        </w:rPr>
        <w:t>Case Law:</w:t>
      </w:r>
      <w:r/>
    </w:p>
    <w:p>
      <w:pPr>
        <w:pStyle w:val="ListBullet"/>
      </w:pPr>
      <w:r>
        <w:t>*Indofood International Finance Ltd v. JP Morgan Chase Bank* [2006] EWCA Civ 158 (beneficial ownership)</w:t>
      </w:r>
    </w:p>
    <w:p>
      <w:pPr>
        <w:pStyle w:val="ListBullet"/>
      </w:pPr>
      <w:r>
        <w:t>*Prévost Car Inc. v. The Queen* [2009] FCA 57 (royalty characterization)</w:t>
      </w:r>
    </w:p>
    <w:p>
      <w:pPr>
        <w:pStyle w:val="ListBullet"/>
      </w:pPr>
      <w:r>
        <w:t>*Tullow Uganda Ltd v. Uganda Revenue Authority* [2018] (capital gains on farm-down, royalty implications)</w:t>
      </w:r>
    </w:p>
    <w:p>
      <w:r/>
      <w:r>
        <w:rPr>
          <w:b/>
        </w:rPr>
        <w:t>International Standards:</w:t>
      </w:r>
      <w:r/>
    </w:p>
    <w:p>
      <w:pPr>
        <w:pStyle w:val="ListBullet"/>
      </w:pPr>
      <w:r>
        <w:t>Extractive Industries Transparency Initiative (EITI): Standard 2023</w:t>
      </w:r>
    </w:p>
    <w:p>
      <w:pPr>
        <w:pStyle w:val="ListBullet"/>
      </w:pPr>
      <w:r>
        <w:t>IFRS 6: Exploration for and Evaluation of Mineral Resources</w:t>
      </w:r>
    </w:p>
    <w:p>
      <w:pPr>
        <w:pStyle w:val="ListBullet"/>
      </w:pPr>
      <w:r>
        <w:t>EU Accounting Directive (2013/34/EU), Chapter 10: Country-by-country reporting</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