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Controlled foreign corporations</w:t>
      </w:r>
    </w:p>
    <w:p>
      <w:pPr>
        <w:pStyle w:val="Heading1"/>
      </w:pPr>
      <w:r>
        <w:t>45. Controlled Foreign Corporations</w:t>
      </w:r>
    </w:p>
    <w:p>
      <w:pPr>
        <w:pStyle w:val="Heading2"/>
      </w:pPr>
      <w:r>
        <w:t>Introduction</w:t>
      </w:r>
    </w:p>
    <w:p>
      <w:r>
        <w:rPr>
          <w:b/>
        </w:rPr>
        <w:t>Controlled Foreign Corporation (CFC)</w:t>
      </w:r>
      <w:r>
        <w:t xml:space="preserve"> rules are anti-deferral regimes that prevent taxpayers from shifting passive or highly mobile income to low-tax foreign subsidiaries to defer home-country taxation. When a foreign subsidiary meets the CFC definition, certain categories of its income are </w:t>
      </w:r>
      <w:r>
        <w:rPr>
          <w:b/>
        </w:rPr>
        <w:t>immediately taxable</w:t>
      </w:r>
      <w:r>
        <w:t xml:space="preserve"> to the parent company, regardless of whether profits are distributed.</w:t>
      </w:r>
    </w:p>
    <w:p>
      <w:r>
        <w:t xml:space="preserve">For multinational oil and gas companies, CFC rules have significant implications for offshore operations, treasury subsidiaries, and licensing arrangements. Notably, </w:t>
      </w:r>
      <w:r>
        <w:rPr>
          <w:b/>
        </w:rPr>
        <w:t>foreign oil and gas extraction income (FOGE)</w:t>
      </w:r>
      <w:r>
        <w:t xml:space="preserve"> receives special treatment under many CFC regimes, often being </w:t>
      </w:r>
      <w:r>
        <w:rPr>
          <w:b/>
        </w:rPr>
        <w:t>excluded</w:t>
      </w:r>
      <w:r>
        <w:t xml:space="preserve"> from immediate taxation to encourage foreign investment in energy resources.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CFC Definition and Mechanics</w:t>
      </w:r>
    </w:p>
    <w:p>
      <w:pPr>
        <w:pStyle w:val="Heading3"/>
      </w:pPr>
      <w:r>
        <w:t>1.1 What is a CFC?</w:t>
      </w:r>
    </w:p>
    <w:p>
      <w:r>
        <w:t xml:space="preserve">A </w:t>
      </w:r>
      <w:r>
        <w:rPr>
          <w:b/>
        </w:rPr>
        <w:t>CFC</w:t>
      </w:r>
      <w:r>
        <w:t xml:space="preserve"> is a foreign corporation where </w:t>
      </w:r>
      <w:r>
        <w:rPr>
          <w:b/>
        </w:rPr>
        <w:t>resident shareholders</w:t>
      </w:r>
      <w:r>
        <w:t xml:space="preserve"> (of the parent country) exercise </w:t>
      </w:r>
      <w:r>
        <w:rPr>
          <w:b/>
        </w:rPr>
        <w:t>control</w:t>
      </w:r>
      <w:r>
        <w:t>, typically defined as:</w:t>
      </w:r>
    </w:p>
    <w:p>
      <w:r>
        <w:rPr>
          <w:b/>
        </w:rPr>
        <w:t>Ownership Threshold</w:t>
      </w:r>
      <w:r>
        <w:t>:</w:t>
      </w:r>
    </w:p>
    <w:p>
      <w:pPr>
        <w:pStyle w:val="ListBullet"/>
      </w:pPr>
      <w:r>
        <w:rPr>
          <w:b/>
        </w:rPr>
        <w:t>More than 50%</w:t>
      </w:r>
      <w:r>
        <w:t xml:space="preserve"> of voting power or value owned by </w:t>
      </w:r>
      <w:r>
        <w:rPr>
          <w:b/>
        </w:rPr>
        <w:t>U.S. shareholders</w:t>
      </w:r>
      <w:r>
        <w:t xml:space="preserve"> (each owning ≥10%) in U.S. rules</w:t>
      </w:r>
    </w:p>
    <w:p>
      <w:pPr>
        <w:pStyle w:val="ListBullet"/>
      </w:pPr>
      <w:r>
        <w:rPr>
          <w:b/>
        </w:rPr>
        <w:t>More than 50%</w:t>
      </w:r>
      <w:r>
        <w:t xml:space="preserve"> by </w:t>
      </w:r>
      <w:r>
        <w:rPr>
          <w:b/>
        </w:rPr>
        <w:t>UK residents</w:t>
      </w:r>
      <w:r>
        <w:t xml:space="preserve"> (each with ≥25%) in UK rules</w:t>
      </w:r>
    </w:p>
    <w:p>
      <w:pPr>
        <w:pStyle w:val="ListBullet"/>
      </w:pPr>
      <w:r>
        <w:t>Varies by jurisdiction (50-75% thresholds common)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 owns 70% of Nigerian subsidiary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Nigerian subsidiary is a CFC (U.S. parent &gt; 50% control)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Parent's share of CFC income may be immediately taxable in U.S.</w:t>
      </w:r>
    </w:p>
    <w:p/>
    <w:p>
      <w:pPr>
        <w:pStyle w:val="Heading3"/>
      </w:pPr>
      <w:r>
        <w:t>1.2 Categories of CFC Income</w:t>
      </w:r>
    </w:p>
    <w:p>
      <w:r>
        <w:t xml:space="preserve">CFC regimes typically tax </w:t>
      </w:r>
      <w:r>
        <w:rPr>
          <w:b/>
        </w:rPr>
        <w:t>passive or highly mobile income</w:t>
      </w:r>
      <w:r>
        <w:t xml:space="preserve"> immediately, while </w:t>
      </w:r>
      <w:r>
        <w:rPr>
          <w:b/>
        </w:rPr>
        <w:t>active business income</w:t>
      </w:r>
      <w:r>
        <w:t xml:space="preserve"> is deferred until repatriation.</w:t>
      </w:r>
    </w:p>
    <w:p>
      <w:r>
        <w:rPr>
          <w:b/>
        </w:rPr>
        <w:t>Common CFC Income Categories</w:t>
      </w:r>
      <w:r>
        <w:t>:</w:t>
      </w:r>
    </w:p>
    <w:p>
      <w:pPr>
        <w:pStyle w:val="ListNumber"/>
      </w:pPr>
      <w:r>
        <w:rPr>
          <w:b/>
        </w:rPr>
        <w:t>Subpart F Income</w:t>
      </w:r>
      <w:r>
        <w:t xml:space="preserve"> (U.S.):</w:t>
      </w:r>
    </w:p>
    <w:p>
      <w:pPr>
        <w:pStyle w:val="ListBullet"/>
        <w:ind w:left="360"/>
      </w:pPr>
      <w:r>
        <w:t>Foreign personal holding company income (dividends, interest, royalties, rents)</w:t>
      </w:r>
    </w:p>
    <w:p>
      <w:pPr>
        <w:pStyle w:val="ListBullet"/>
        <w:ind w:left="360"/>
      </w:pPr>
      <w:r>
        <w:t>Foreign base company sales income (sales to/from related parties)</w:t>
      </w:r>
    </w:p>
    <w:p>
      <w:pPr>
        <w:pStyle w:val="ListBullet"/>
        <w:ind w:left="360"/>
      </w:pPr>
      <w:r>
        <w:t>Foreign base company services income (services for related parties outside CFC's country)</w:t>
      </w:r>
    </w:p>
    <w:p>
      <w:pPr>
        <w:pStyle w:val="ListNumber"/>
      </w:pPr>
      <w:r>
        <w:rPr>
          <w:b/>
        </w:rPr>
        <w:t>GILTI</w:t>
      </w:r>
      <w:r>
        <w:t xml:space="preserve"> (U.S. - Global Intangible Low-Taxed Income):</w:t>
      </w:r>
    </w:p>
    <w:p>
      <w:pPr>
        <w:pStyle w:val="ListBullet"/>
        <w:ind w:left="360"/>
      </w:pPr>
      <w:r>
        <w:t>Net income exceeding 10% return on tangible assets (QBAI)</w:t>
      </w:r>
    </w:p>
    <w:p>
      <w:pPr>
        <w:pStyle w:val="ListBullet"/>
        <w:ind w:left="360"/>
      </w:pPr>
      <w:r>
        <w:t>Effectively targets IP-driven income in low-tax jurisdictions</w:t>
      </w:r>
    </w:p>
    <w:p>
      <w:pPr>
        <w:pStyle w:val="ListNumber"/>
      </w:pPr>
      <w:r>
        <w:rPr>
          <w:b/>
        </w:rPr>
        <w:t>EU CFC Rules</w:t>
      </w:r>
      <w:r>
        <w:t xml:space="preserve"> (Council Directive (EU) 2016/1164 - Anti-Tax Avoidance Directive (ATAD)):</w:t>
      </w:r>
    </w:p>
    <w:p>
      <w:pPr>
        <w:pStyle w:val="ListBullet"/>
        <w:ind w:left="360"/>
      </w:pPr>
      <w:r>
        <w:t>Passive income (interest, royalties, dividends, capital gains)</w:t>
      </w:r>
    </w:p>
    <w:p>
      <w:pPr>
        <w:pStyle w:val="ListBullet"/>
        <w:ind w:left="360"/>
      </w:pPr>
      <w:r>
        <w:t>Income from arrangements lacking economic substance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U.S. CFC Rules for Oil &amp; Gas</w:t>
      </w:r>
    </w:p>
    <w:p>
      <w:pPr>
        <w:pStyle w:val="Heading3"/>
      </w:pPr>
      <w:r>
        <w:t>2.1 Foreign Oil and Gas Extraction Income (FOGE)</w:t>
      </w:r>
    </w:p>
    <w:p>
      <w:r>
        <w:rPr>
          <w:b/>
        </w:rPr>
        <w:t>IRC Section 907(c)(2)</w:t>
      </w:r>
      <w:r>
        <w:t xml:space="preserve"> defines </w:t>
      </w:r>
      <w:r>
        <w:rPr>
          <w:b/>
        </w:rPr>
        <w:t>FOGE</w:t>
      </w:r>
      <w:r>
        <w:t xml:space="preserve"> as income derived from:</w:t>
      </w:r>
    </w:p>
    <w:p>
      <w:pPr>
        <w:pStyle w:val="ListBullet"/>
      </w:pPr>
      <w:r>
        <w:rPr>
          <w:b/>
        </w:rPr>
        <w:t>Extraction</w:t>
      </w:r>
      <w:r>
        <w:t xml:space="preserve"> of minerals from oil or gas wells</w:t>
      </w:r>
    </w:p>
    <w:p>
      <w:pPr>
        <w:pStyle w:val="ListBullet"/>
      </w:pPr>
      <w:r>
        <w:rPr>
          <w:b/>
        </w:rPr>
        <w:t>Sale of oil or gas</w:t>
      </w:r>
      <w:r>
        <w:t xml:space="preserve"> extracted by the taxpayer</w:t>
      </w:r>
    </w:p>
    <w:p>
      <w:pPr>
        <w:pStyle w:val="ListBullet"/>
      </w:pPr>
      <w:r>
        <w:rPr>
          <w:b/>
        </w:rPr>
        <w:t>Upstream activities</w:t>
      </w:r>
      <w:r>
        <w:t xml:space="preserve"> (exploration, development, production)</w:t>
      </w:r>
    </w:p>
    <w:p>
      <w:r>
        <w:rPr>
          <w:b/>
        </w:rPr>
        <w:t>Critical Exception</w:t>
      </w:r>
      <w:r>
        <w:t xml:space="preserve">: </w:t>
      </w:r>
      <w:r>
        <w:rPr>
          <w:b/>
        </w:rPr>
        <w:t>FOGE is EXCLUDED from both Subpart F and GILTI</w:t>
      </w:r>
      <w:r>
        <w:t>.</w:t>
      </w:r>
    </w:p>
    <w:p>
      <w:r>
        <w:rPr>
          <w:b/>
        </w:rPr>
        <w:t>Policy Rationale</w:t>
      </w:r>
      <w:r>
        <w:t>: Encourage U.S. companies to invest in foreign oil and gas extraction without immediate U.S. taxation.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Oil Company owns 100% of Nigerian E&amp;P subsidiary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Nigerian subsidiary earns $100M from oil production and sales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Classification: FOGE (extraction income)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Result: NOT Subpart F income, NOT GILTI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taxation: Deferred until dividends repatriated</w:t>
      </w:r>
    </w:p>
    <w:p/>
    <w:p>
      <w:pPr>
        <w:pStyle w:val="Heading3"/>
      </w:pPr>
      <w:r>
        <w:t>2.2 Subpart F Income</w:t>
      </w:r>
    </w:p>
    <w:p>
      <w:r>
        <w:rPr>
          <w:b/>
        </w:rPr>
        <w:t>Foreign Personal Holding Company Income (FPHCI)</w:t>
      </w:r>
      <w:r>
        <w:t>:</w:t>
      </w:r>
    </w:p>
    <w:p>
      <w:r>
        <w:t>Includes:</w:t>
      </w:r>
    </w:p>
    <w:p>
      <w:pPr>
        <w:pStyle w:val="ListBullet"/>
      </w:pPr>
      <w:r>
        <w:rPr>
          <w:b/>
        </w:rPr>
        <w:t>Dividends, interest, royalties</w:t>
      </w:r>
      <w:r>
        <w:t>: From passive investments</w:t>
      </w:r>
    </w:p>
    <w:p>
      <w:pPr>
        <w:pStyle w:val="ListBullet"/>
      </w:pPr>
      <w:r>
        <w:rPr>
          <w:b/>
        </w:rPr>
        <w:t>Rents</w:t>
      </w:r>
      <w:r>
        <w:t>: From leasing property to unrelated parties (unless active rental business)</w:t>
      </w:r>
    </w:p>
    <w:p>
      <w:pPr>
        <w:pStyle w:val="ListBullet"/>
      </w:pPr>
      <w:r>
        <w:rPr>
          <w:b/>
        </w:rPr>
        <w:t>Commodity gains</w:t>
      </w:r>
      <w:r>
        <w:t>: From commodity transactions not involving substantial transformation</w:t>
      </w:r>
    </w:p>
    <w:p>
      <w:r>
        <w:rPr>
          <w:b/>
        </w:rPr>
        <w:t>Exclusions for Oil &amp; Gas</w:t>
      </w:r>
      <w:r>
        <w:t>:</w:t>
      </w:r>
    </w:p>
    <w:p>
      <w:pPr>
        <w:pStyle w:val="ListBullet"/>
      </w:pPr>
      <w:r>
        <w:rPr>
          <w:b/>
        </w:rPr>
        <w:t>FOGE</w:t>
      </w:r>
      <w:r>
        <w:t>: As noted above</w:t>
      </w:r>
    </w:p>
    <w:p>
      <w:pPr>
        <w:pStyle w:val="ListBullet"/>
      </w:pPr>
      <w:r>
        <w:rPr>
          <w:b/>
        </w:rPr>
        <w:t>Active rents</w:t>
      </w:r>
      <w:r>
        <w:t>: Renting drilling rigs, FPSOs with active management may escape FPHCI classification</w:t>
      </w:r>
    </w:p>
    <w:p>
      <w:r>
        <w:rPr>
          <w:b/>
        </w:rPr>
        <w:t>Example - Treasury Subsidiary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 establishes Singapore treasury subsidiary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Treasury subsidiary earns $20M interest from intercompany loans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Classification: FPHCI (passive interest income)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Result: Subpart F income → Immediately taxable to U.S. parent (subject to foreign tax credit)</w:t>
      </w:r>
    </w:p>
    <w:p/>
    <w:p>
      <w:pPr>
        <w:pStyle w:val="Heading3"/>
      </w:pPr>
      <w:r>
        <w:t>2.3 GILTI (Global Intangible Low-Taxed Income)</w:t>
      </w:r>
    </w:p>
    <w:p>
      <w:r>
        <w:rPr>
          <w:b/>
        </w:rPr>
        <w:t>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GILTI = Net CFC Tested Income - (10% × QBAI)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CFC Tested Income = CFC income excluding Subpart F and FOGE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QBAI = Qualified Business Asset Investment (tangible depreciable assets)</w:t>
      </w:r>
    </w:p>
    <w:p/>
    <w:p>
      <w:r>
        <w:rPr>
          <w:b/>
        </w:rPr>
        <w:t>Effective U.S. Tax Rate on GILTI</w:t>
      </w:r>
      <w:r>
        <w:t>:</w:t>
      </w:r>
    </w:p>
    <w:p>
      <w:pPr>
        <w:pStyle w:val="ListBullet"/>
      </w:pPr>
      <w:r>
        <w:rPr>
          <w:b/>
        </w:rPr>
        <w:t>Section 250 deduction</w:t>
      </w:r>
      <w:r>
        <w:t>: 50% (reducing to 37.5% for tax years beginning after December 31, 2025)</w:t>
      </w:r>
    </w:p>
    <w:p>
      <w:pPr>
        <w:pStyle w:val="ListBullet"/>
      </w:pPr>
      <w:r>
        <w:rPr>
          <w:b/>
        </w:rPr>
        <w:t>Taxable GILTI</w:t>
      </w:r>
      <w:r>
        <w:t>: 50% of total (current through 2025)</w:t>
      </w:r>
    </w:p>
    <w:p>
      <w:pPr>
        <w:pStyle w:val="ListBullet"/>
      </w:pPr>
      <w:r>
        <w:rPr>
          <w:b/>
        </w:rPr>
        <w:t>U.S. tax</w:t>
      </w:r>
      <w:r>
        <w:t xml:space="preserve">: 21% on 50% = </w:t>
      </w:r>
      <w:r>
        <w:rPr>
          <w:b/>
        </w:rPr>
        <w:t>10.5% effective rate</w:t>
      </w:r>
      <w:r>
        <w:t xml:space="preserve"> (increasing to 13.125% in 2026)</w:t>
      </w:r>
    </w:p>
    <w:p>
      <w:pPr>
        <w:pStyle w:val="ListBullet"/>
      </w:pPr>
      <w:r>
        <w:rPr>
          <w:b/>
        </w:rPr>
        <w:t>Foreign tax credit</w:t>
      </w:r>
      <w:r>
        <w:t>: 80% of foreign taxes creditable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 owns Cayman IP licensing subsidiary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Cayman subsidiary earns $30M licensing revenue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Cayman tax: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Tangible assets (QBAI): $10M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GILTI = $30M - (10% × $10M) = $29M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250 deduction: $14.5M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GILTI: $14.5M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21%: $3.045M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credit: $0 (no foreign tax paid)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tax: $3.045M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10.15%</w:t>
      </w:r>
    </w:p>
    <w:p/>
    <w:p>
      <w:r>
        <w:rPr>
          <w:b/>
        </w:rPr>
        <w:t>Oil &amp; Gas Impact</w:t>
      </w:r>
      <w:r>
        <w:t xml:space="preserve">: Upstream operations with </w:t>
      </w:r>
      <w:r>
        <w:rPr>
          <w:b/>
        </w:rPr>
        <w:t>high tangible assets</w:t>
      </w:r>
      <w:r>
        <w:t xml:space="preserve"> (drilling rigs, platforms, production facilities) may have </w:t>
      </w:r>
      <w:r>
        <w:rPr>
          <w:b/>
        </w:rPr>
        <w:t>minimal GILTI</w:t>
      </w:r>
      <w:r>
        <w:t xml:space="preserve"> due to large QBAI deduction.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UK CFC Rules</w:t>
      </w:r>
    </w:p>
    <w:p>
      <w:pPr>
        <w:pStyle w:val="Heading3"/>
      </w:pPr>
      <w:r>
        <w:t>3.1 CFC Charge Gateway</w:t>
      </w:r>
    </w:p>
    <w:p>
      <w:r>
        <w:t xml:space="preserve">UK CFC rules apply a </w:t>
      </w:r>
      <w:r>
        <w:rPr>
          <w:b/>
        </w:rPr>
        <w:t>gateway approach</w:t>
      </w:r>
      <w:r>
        <w:t>: Income is only taxed if it passes through one of several "gateways":</w:t>
      </w:r>
    </w:p>
    <w:p>
      <w:r>
        <w:rPr>
          <w:b/>
        </w:rPr>
        <w:t>Key Gateways</w:t>
      </w:r>
      <w:r>
        <w:t>:</w:t>
      </w:r>
    </w:p>
    <w:p>
      <w:pPr>
        <w:pStyle w:val="ListNumber"/>
      </w:pPr>
      <w:r>
        <w:rPr>
          <w:b/>
        </w:rPr>
        <w:t>Profits from Intellectual Property</w:t>
      </w:r>
      <w:r>
        <w:t>: IP income from assets created/acquired from UK group members</w:t>
      </w:r>
    </w:p>
    <w:p>
      <w:pPr>
        <w:pStyle w:val="ListNumber"/>
      </w:pPr>
      <w:r>
        <w:rPr>
          <w:b/>
        </w:rPr>
        <w:t>Trading Profits Diverted from UK</w:t>
      </w:r>
      <w:r>
        <w:t>: Profits from activities that should economically be in UK</w:t>
      </w:r>
    </w:p>
    <w:p>
      <w:pPr>
        <w:pStyle w:val="ListNumber"/>
      </w:pPr>
      <w:r>
        <w:rPr>
          <w:b/>
        </w:rPr>
        <w:t>Captive Insurance</w:t>
      </w:r>
      <w:r>
        <w:t>: Income from insuring UK group risks</w:t>
      </w:r>
    </w:p>
    <w:p>
      <w:pPr>
        <w:pStyle w:val="ListNumber"/>
      </w:pPr>
      <w:r>
        <w:rPr>
          <w:b/>
        </w:rPr>
        <w:t>Solo Consolidation</w:t>
      </w:r>
      <w:r>
        <w:t>: Non-trading finance profits</w:t>
      </w:r>
    </w:p>
    <w:p>
      <w:r>
        <w:rPr>
          <w:b/>
        </w:rPr>
        <w:t>Exemptions</w:t>
      </w:r>
      <w:r>
        <w:t xml:space="preserve"> (Taxation (International and Other Provisions) Act 2010 (TIOPA 2010)):</w:t>
      </w:r>
    </w:p>
    <w:p>
      <w:pPr>
        <w:pStyle w:val="ListBullet"/>
      </w:pPr>
      <w:r>
        <w:rPr>
          <w:b/>
        </w:rPr>
        <w:t>Low profits</w:t>
      </w:r>
      <w:r>
        <w:t xml:space="preserve"> (TIOPA10/S371LB): CFC with accounting profits &lt; £500,000 (and non-trading income &lt; £50,000) or chargeable profits &lt; £50,000</w:t>
      </w:r>
    </w:p>
    <w:p>
      <w:pPr>
        <w:pStyle w:val="ListBullet"/>
      </w:pPr>
      <w:r>
        <w:rPr>
          <w:b/>
        </w:rPr>
        <w:t>Low profit margin</w:t>
      </w:r>
      <w:r>
        <w:t>: Profits &lt; 10% of relevant operating expenditure</w:t>
      </w:r>
    </w:p>
    <w:p>
      <w:pPr>
        <w:pStyle w:val="ListBullet"/>
      </w:pPr>
      <w:r>
        <w:rPr>
          <w:b/>
        </w:rPr>
        <w:t>Tax</w:t>
      </w:r>
      <w:r>
        <w:t>: CFC pays local tax ≥75% of hypothetical UK tax</w:t>
      </w:r>
    </w:p>
    <w:p>
      <w:pPr>
        <w:pStyle w:val="Heading3"/>
      </w:pPr>
      <w:r>
        <w:t>3.2 Application to Oil &amp; Gas</w:t>
      </w:r>
    </w:p>
    <w:p>
      <w:r>
        <w:rPr>
          <w:b/>
        </w:rPr>
        <w:t>Upstream Operations</w:t>
      </w:r>
      <w:r>
        <w:t xml:space="preserve">: Generally </w:t>
      </w:r>
      <w:r>
        <w:rPr>
          <w:b/>
        </w:rPr>
        <w:t>NOT caught</w:t>
      </w:r>
      <w:r>
        <w:t xml:space="preserve"> by UK CFC rules if:</w:t>
      </w:r>
    </w:p>
    <w:p>
      <w:pPr>
        <w:pStyle w:val="ListBullet"/>
      </w:pPr>
      <w:r>
        <w:t>Operations are genuine commercial activities in foreign jurisdiction</w:t>
      </w:r>
    </w:p>
    <w:p>
      <w:pPr>
        <w:pStyle w:val="ListBullet"/>
      </w:pPr>
      <w:r>
        <w:t xml:space="preserve">Income is </w:t>
      </w:r>
      <w:r>
        <w:rPr>
          <w:b/>
        </w:rPr>
        <w:t>active business income</w:t>
      </w:r>
      <w:r>
        <w:t xml:space="preserve"> (extraction, production, sales)</w:t>
      </w:r>
    </w:p>
    <w:p>
      <w:pPr>
        <w:pStyle w:val="ListBullet"/>
      </w:pPr>
      <w:r>
        <w:t>Not diverted from UK (i.e., operations naturally conducted offshore)</w:t>
      </w:r>
    </w:p>
    <w:p>
      <w:r>
        <w:rPr>
          <w:b/>
        </w:rPr>
        <w:t>IP Licensing Subsidiaries</w:t>
      </w:r>
      <w:r>
        <w:t>: May be caught if IP was developed in UK and licensed offshore to avoid UK taxation.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Other CFC Regimes</w:t>
      </w:r>
    </w:p>
    <w:p>
      <w:pPr>
        <w:pStyle w:val="Heading3"/>
      </w:pPr>
      <w:r>
        <w:t>4.1 Germany</w:t>
      </w:r>
    </w:p>
    <w:p>
      <w:r>
        <w:rPr>
          <w:b/>
        </w:rPr>
        <w:t>Passive Income Threshold</w:t>
      </w:r>
      <w:r>
        <w:t>: CFC income taxed if &gt; 10% is passive (interest, dividends, royalties, rents).</w:t>
      </w:r>
    </w:p>
    <w:p>
      <w:r>
        <w:rPr>
          <w:b/>
        </w:rPr>
        <w:t>Substance Exception</w:t>
      </w:r>
      <w:r>
        <w:t>: Exemption if CFC conducts genuine economic activity with adequate personnel and facilities.</w:t>
      </w:r>
    </w:p>
    <w:p>
      <w:pPr>
        <w:pStyle w:val="Heading3"/>
      </w:pPr>
      <w:r>
        <w:t>4.2 Canada</w:t>
      </w:r>
    </w:p>
    <w:p>
      <w:r>
        <w:rPr>
          <w:b/>
        </w:rPr>
        <w:t>Foreign Accrual Property Income (FAPI)</w:t>
      </w:r>
      <w:r>
        <w:t>: Includes passive income (similar to U.S. Subpart F).</w:t>
      </w:r>
    </w:p>
    <w:p>
      <w:r>
        <w:rPr>
          <w:b/>
        </w:rPr>
        <w:t>Active Business Exception</w:t>
      </w:r>
      <w:r>
        <w:t>: Income from active business excluded if CFC employs &gt; 5 full-time employees.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Planning Considerations</w:t>
      </w:r>
    </w:p>
    <w:p>
      <w:pPr>
        <w:pStyle w:val="Heading3"/>
      </w:pPr>
      <w:r>
        <w:t>5.1 Structuring Foreign Operations</w:t>
      </w:r>
    </w:p>
    <w:p>
      <w:r>
        <w:rPr>
          <w:b/>
        </w:rPr>
        <w:t>Upstream E&amp;P</w:t>
      </w:r>
      <w:r>
        <w:t xml:space="preserve">: Typically </w:t>
      </w:r>
      <w:r>
        <w:rPr>
          <w:b/>
        </w:rPr>
        <w:t>not subject to CFC rules</w:t>
      </w:r>
      <w:r>
        <w:t xml:space="preserve"> (active extraction income, often excluded explicitly).</w:t>
      </w:r>
    </w:p>
    <w:p>
      <w:r>
        <w:rPr>
          <w:b/>
        </w:rPr>
        <w:t>Midstream/Downstream</w:t>
      </w:r>
      <w:r>
        <w:t>: Trading, refining, marketing operations may trigger CFC rules if located in low-tax jurisdictions without substance.</w:t>
      </w:r>
    </w:p>
    <w:p>
      <w:r>
        <w:rPr>
          <w:b/>
        </w:rPr>
        <w:t>IP Holding Companies</w:t>
      </w:r>
      <w:r>
        <w:t>: High risk of CFC taxation; require adequate substance and nexus to jurisdiction.</w:t>
      </w:r>
    </w:p>
    <w:p>
      <w:pPr>
        <w:pStyle w:val="Heading3"/>
      </w:pPr>
      <w:r>
        <w:t>5.2 Repatriation Strategies</w:t>
      </w:r>
    </w:p>
    <w:p>
      <w:r>
        <w:rPr>
          <w:b/>
        </w:rPr>
        <w:t>Section 245A Participation Exemption</w:t>
      </w:r>
      <w:r>
        <w:t xml:space="preserve"> (U.S.): </w:t>
      </w:r>
      <w:r>
        <w:rPr>
          <w:b/>
        </w:rPr>
        <w:t>100% deduction</w:t>
      </w:r>
      <w:r>
        <w:t xml:space="preserve"> for dividends from foreign subsidiaries (if 10%+ ownership, held &gt; 365 days).</w:t>
      </w:r>
    </w:p>
    <w:p>
      <w:r>
        <w:rPr>
          <w:b/>
        </w:rPr>
        <w:t>Effect</w:t>
      </w:r>
      <w:r>
        <w:t>: Incentivizes repatriation of active business income (no additional U.S. tax on distribution).</w:t>
      </w:r>
    </w:p>
    <w:p>
      <w:r>
        <w:rPr>
          <w:b/>
        </w:rPr>
        <w:t>Limitation</w:t>
      </w:r>
      <w:r>
        <w:t>: Does NOT apply to GILTI or Subpart F income (already taxed currently).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EXAMPLE: CFC Analysis for Oil &amp; Gas Group</w:t>
      </w:r>
    </w:p>
    <w:p>
      <w:pPr>
        <w:pStyle w:val="Heading3"/>
      </w:pPr>
      <w:r>
        <w:t>Facts</w:t>
      </w:r>
    </w:p>
    <w:p>
      <w:r>
        <w:rPr>
          <w:b/>
        </w:rPr>
        <w:t>ArcticEnergy Corp</w:t>
      </w:r>
      <w:r>
        <w:t>, a U.S.-based E&amp;P company, owns the following foreign subsidiaries (100% ownership):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Subsidiary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Activities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Annual Income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Local Tax Rate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ArcticNorge AS</w:t>
            </w:r>
          </w:p>
        </w:tc>
        <w:tc>
          <w:tcPr>
            <w:tcW w:type="dxa" w:w="1728"/>
          </w:tcPr>
          <w:p>
            <w:r/>
            <w:r>
              <w:t>Norway</w:t>
            </w:r>
          </w:p>
        </w:tc>
        <w:tc>
          <w:tcPr>
            <w:tcW w:type="dxa" w:w="1728"/>
          </w:tcPr>
          <w:p>
            <w:r/>
            <w:r>
              <w:t>Upstream E&amp;P (North Sea)</w:t>
            </w:r>
          </w:p>
        </w:tc>
        <w:tc>
          <w:tcPr>
            <w:tcW w:type="dxa" w:w="1728"/>
          </w:tcPr>
          <w:p>
            <w:r/>
            <w:r>
              <w:t>$200M</w:t>
            </w:r>
          </w:p>
        </w:tc>
        <w:tc>
          <w:tcPr>
            <w:tcW w:type="dxa" w:w="1728"/>
          </w:tcPr>
          <w:p>
            <w:r/>
            <w:r>
              <w:t>78% (22% corporate + 56% petroleum tax)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ArcticTrade Ltd</w:t>
            </w:r>
          </w:p>
        </w:tc>
        <w:tc>
          <w:tcPr>
            <w:tcW w:type="dxa" w:w="1728"/>
          </w:tcPr>
          <w:p>
            <w:r/>
            <w:r>
              <w:t>Cayman Islands</w:t>
            </w:r>
          </w:p>
        </w:tc>
        <w:tc>
          <w:tcPr>
            <w:tcW w:type="dxa" w:w="1728"/>
          </w:tcPr>
          <w:p>
            <w:r/>
            <w:r>
              <w:t>Oil trading, marketing</w:t>
            </w:r>
          </w:p>
        </w:tc>
        <w:tc>
          <w:tcPr>
            <w:tcW w:type="dxa" w:w="1728"/>
          </w:tcPr>
          <w:p>
            <w:r/>
            <w:r>
              <w:t>$50M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ArcticIP Cayman</w:t>
            </w:r>
          </w:p>
        </w:tc>
        <w:tc>
          <w:tcPr>
            <w:tcW w:type="dxa" w:w="1728"/>
          </w:tcPr>
          <w:p>
            <w:r/>
            <w:r>
              <w:t>Cayman Islands</w:t>
            </w:r>
          </w:p>
        </w:tc>
        <w:tc>
          <w:tcPr>
            <w:tcW w:type="dxa" w:w="1728"/>
          </w:tcPr>
          <w:p>
            <w:r/>
            <w:r>
              <w:t>IP licensing (drilling tech)</w:t>
            </w:r>
          </w:p>
        </w:tc>
        <w:tc>
          <w:tcPr>
            <w:tcW w:type="dxa" w:w="1728"/>
          </w:tcPr>
          <w:p>
            <w:r/>
            <w:r>
              <w:t>$30M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</w:tbl>
    <w:p/>
    <w:p>
      <w:r>
        <w:rPr>
          <w:b/>
        </w:rPr>
        <w:t>ArcticNorge AS</w:t>
      </w:r>
      <w:r>
        <w:t>:</w:t>
      </w:r>
    </w:p>
    <w:p>
      <w:pPr>
        <w:pStyle w:val="ListBullet"/>
      </w:pPr>
      <w:r>
        <w:t>Operates offshore oil fields in Norwegian North Sea</w:t>
      </w:r>
    </w:p>
    <w:p>
      <w:pPr>
        <w:pStyle w:val="ListBullet"/>
      </w:pPr>
      <w:r>
        <w:t>Tangible assets (platforms, equipment): $1 billion</w:t>
      </w:r>
    </w:p>
    <w:p>
      <w:pPr>
        <w:pStyle w:val="ListBullet"/>
      </w:pPr>
      <w:r>
        <w:t>Income from oil extraction and sales: $200M</w:t>
      </w:r>
    </w:p>
    <w:p>
      <w:r>
        <w:rPr>
          <w:b/>
        </w:rPr>
        <w:t>ArcticTrade Ltd</w:t>
      </w:r>
      <w:r>
        <w:t>:</w:t>
      </w:r>
    </w:p>
    <w:p>
      <w:pPr>
        <w:pStyle w:val="ListBullet"/>
      </w:pPr>
      <w:r>
        <w:t>Purchases crude from ArcticNorge and third parties</w:t>
      </w:r>
    </w:p>
    <w:p>
      <w:pPr>
        <w:pStyle w:val="ListBullet"/>
      </w:pPr>
      <w:r>
        <w:t>Sells to refineries in Europe and Asia</w:t>
      </w:r>
    </w:p>
    <w:p>
      <w:pPr>
        <w:pStyle w:val="ListBullet"/>
      </w:pPr>
      <w:r>
        <w:t>Income: $50M (trading margin)</w:t>
      </w:r>
    </w:p>
    <w:p>
      <w:pPr>
        <w:pStyle w:val="ListBullet"/>
      </w:pPr>
      <w:r>
        <w:t>Tangible assets: Minimal ($5M - office, IT)</w:t>
      </w:r>
    </w:p>
    <w:p>
      <w:r>
        <w:rPr>
          <w:b/>
        </w:rPr>
        <w:t>ArcticIP Cayman</w:t>
      </w:r>
      <w:r>
        <w:t>:</w:t>
      </w:r>
    </w:p>
    <w:p>
      <w:pPr>
        <w:pStyle w:val="ListBullet"/>
      </w:pPr>
      <w:r>
        <w:t>Owns drilling technology patents developed by U.S. parent</w:t>
      </w:r>
    </w:p>
    <w:p>
      <w:pPr>
        <w:pStyle w:val="ListBullet"/>
      </w:pPr>
      <w:r>
        <w:t>Licenses technology to ArcticNorge and external operators</w:t>
      </w:r>
    </w:p>
    <w:p>
      <w:pPr>
        <w:pStyle w:val="ListBullet"/>
      </w:pPr>
      <w:r>
        <w:t>Licensing income: $30M</w:t>
      </w:r>
    </w:p>
    <w:p>
      <w:pPr>
        <w:pStyle w:val="ListBullet"/>
      </w:pPr>
      <w:r>
        <w:t>Tangible assets: Minimal ($2M)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Determine which subsidiaries are </w:t>
      </w:r>
      <w:r>
        <w:rPr>
          <w:b/>
        </w:rPr>
        <w:t>CFCs</w:t>
      </w:r>
    </w:p>
    <w:p>
      <w:pPr>
        <w:pStyle w:val="ListNumber"/>
      </w:pPr>
      <w:r>
        <w:t xml:space="preserve">Classify income under </w:t>
      </w:r>
      <w:r>
        <w:rPr>
          <w:b/>
        </w:rPr>
        <w:t>Subpart F</w:t>
      </w:r>
      <w:r>
        <w:t xml:space="preserve"> and </w:t>
      </w:r>
      <w:r>
        <w:rPr>
          <w:b/>
        </w:rPr>
        <w:t>GILTI</w:t>
      </w:r>
    </w:p>
    <w:p>
      <w:pPr>
        <w:pStyle w:val="ListNumber"/>
      </w:pPr>
      <w:r>
        <w:t xml:space="preserve">Calculate </w:t>
      </w:r>
      <w:r>
        <w:rPr>
          <w:b/>
        </w:rPr>
        <w:t>U.S. tax</w:t>
      </w:r>
      <w:r>
        <w:t xml:space="preserve"> on CFC income</w:t>
      </w:r>
    </w:p>
    <w:p>
      <w:pPr>
        <w:pStyle w:val="ListNumber"/>
      </w:pPr>
      <w:r>
        <w:t xml:space="preserve">Recommend </w:t>
      </w:r>
      <w:r>
        <w:rPr>
          <w:b/>
        </w:rPr>
        <w:t>restructuring</w:t>
      </w:r>
      <w:r>
        <w:t xml:space="preserve"> to minimize CFC exposure</w:t>
      </w:r>
    </w:p>
    <w:p>
      <w:pPr>
        <w:pStyle w:val="Heading3"/>
      </w:pPr>
      <w:r>
        <w:t>Analysis</w:t>
      </w:r>
    </w:p>
    <w:p>
      <w:r>
        <w:rPr>
          <w:b/>
        </w:rPr>
        <w:t>Step 1: CFC Determination</w:t>
      </w:r>
    </w:p>
    <w:p>
      <w:r>
        <w:t xml:space="preserve">All three subsidiaries are </w:t>
      </w:r>
      <w:r>
        <w:rPr>
          <w:b/>
        </w:rPr>
        <w:t>100% owned</w:t>
      </w:r>
      <w:r>
        <w:t xml:space="preserve"> by U.S. parent → </w:t>
      </w:r>
      <w:r>
        <w:rPr>
          <w:b/>
        </w:rPr>
        <w:t>All are CFCs</w:t>
      </w:r>
      <w:r>
        <w:t>.</w:t>
      </w:r>
    </w:p>
    <w:p>
      <w:r>
        <w:rPr>
          <w:b/>
        </w:rPr>
        <w:t>Step 2: Income Classification</w:t>
      </w:r>
    </w:p>
    <w:p>
      <w:r>
        <w:rPr>
          <w:b/>
        </w:rPr>
        <w:t>ArcticNorge AS (Norway)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Income: $200M from oil extraction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Classification: Foreign Oil and Gas Extraction Income (FOGE)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Exclusion: IRC Section 907(c) - FOGE excluded from Subpart F and GILTI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tax: DEFERRED until repatriated</w:t>
      </w:r>
    </w:p>
    <w:p/>
    <w:p>
      <w:r>
        <w:rPr>
          <w:b/>
        </w:rPr>
        <w:t>ArcticTrade Ltd (Cayman Islands)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Income: $50M from oil trading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Classification: Potentially Foreign Base Company Sales Income (FBCSI)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FBCSI Test: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Purchases from related party (ArcticNorge): YES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Sells to unrelated parties: YES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Manufactured/produced outside Cayman: YES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Sold for use outside Cayman: YES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Result: FBCSI → Subpart F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Immediate U.S. taxation: $50M included in U.S. parent's income</w:t>
      </w:r>
    </w:p>
    <w:p/>
    <w:p>
      <w:r>
        <w:rPr>
          <w:b/>
        </w:rPr>
        <w:t>ArcticIP Cayman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Income: $30M from IP licensing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Classification: Foreign Personal Holding Company Income (FPHCI) - royalties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Result: FPHCI → Subpart F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Immediate U.S. taxation: $30M included in U.S. parent's income</w:t>
      </w:r>
    </w:p>
    <w:p/>
    <w:p>
      <w:r>
        <w:rPr>
          <w:b/>
        </w:rPr>
        <w:t>Step 3: U.S. Tax Calculation</w:t>
      </w:r>
    </w:p>
    <w:p>
      <w:r>
        <w:rPr>
          <w:b/>
        </w:rPr>
        <w:t>Subpart F Inclusions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ArcticTrade: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ArcticIP Cayman: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Subpart F: $80M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21%: $16.8M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credit: $0 (both Cayman entities, no foreign 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tax: $16.8M</w:t>
      </w:r>
    </w:p>
    <w:p/>
    <w:p>
      <w:r>
        <w:rPr>
          <w:b/>
        </w:rPr>
        <w:t>GILTI Analysis</w:t>
      </w:r>
      <w:r>
        <w:t>:</w:t>
      </w:r>
    </w:p>
    <w:p>
      <w:r>
        <w:t>Both Cayman entities have minimal tangible assets, so GILTI would also apply if income were not already captured as Subpart F.</w:t>
      </w:r>
    </w:p>
    <w:p>
      <w:r>
        <w:rPr>
          <w:b/>
        </w:rPr>
        <w:t>Note</w:t>
      </w:r>
      <w:r>
        <w:t xml:space="preserve">: Subpart F income is </w:t>
      </w:r>
      <w:r>
        <w:rPr>
          <w:b/>
        </w:rPr>
        <w:t>excluded from GILTI</w:t>
      </w:r>
      <w:r>
        <w:t>, so $80M is taxed only once (under Subpart F, not again under GILTI).</w:t>
      </w:r>
    </w:p>
    <w:p>
      <w:r>
        <w:rPr>
          <w:b/>
        </w:rPr>
        <w:t>Norwegian Subsidiary (ArcticNorge)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Income: $200M (FOGE)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tax at 78%: $156M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taxation: DEFERRED (until dividend)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dividend repatriated: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245A participation exemption: 100% deduction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on dividend: $0</w:t>
      </w:r>
    </w:p>
    <w:p/>
    <w:p>
      <w:r>
        <w:rPr>
          <w:b/>
        </w:rPr>
        <w:t>Step 4: Restructuring Recommendations</w:t>
      </w:r>
    </w:p>
    <w:p>
      <w:r>
        <w:rPr>
          <w:b/>
        </w:rPr>
        <w:t>ArcticTrade Ltd (Trading Company)</w:t>
      </w:r>
      <w:r>
        <w:t>:</w:t>
      </w:r>
    </w:p>
    <w:p>
      <w:r>
        <w:rPr>
          <w:b/>
        </w:rPr>
        <w:t>Issue</w:t>
      </w:r>
      <w:r>
        <w:t>: FBCSI triggers immediate U.S. taxation on $50M.</w:t>
      </w:r>
    </w:p>
    <w:p>
      <w:r>
        <w:rPr>
          <w:b/>
        </w:rPr>
        <w:t>Options</w:t>
      </w:r>
      <w:r>
        <w:t>:</w:t>
      </w:r>
    </w:p>
    <w:p>
      <w:pPr>
        <w:pStyle w:val="ListNumber"/>
      </w:pPr>
      <w:r>
        <w:rPr>
          <w:b/>
        </w:rPr>
        <w:t>Relocate to jurisdiction with substance</w:t>
      </w:r>
      <w:r>
        <w:t>:</w:t>
      </w:r>
    </w:p>
    <w:p>
      <w:pPr>
        <w:pStyle w:val="ListBullet"/>
        <w:ind w:left="360"/>
      </w:pPr>
      <w:r>
        <w:t xml:space="preserve">Move trading operations to </w:t>
      </w:r>
      <w:r>
        <w:rPr>
          <w:b/>
        </w:rPr>
        <w:t>Singapore</w:t>
      </w:r>
      <w:r>
        <w:t xml:space="preserve"> or </w:t>
      </w:r>
      <w:r>
        <w:rPr>
          <w:b/>
        </w:rPr>
        <w:t>Switzerland</w:t>
      </w:r>
    </w:p>
    <w:p>
      <w:pPr>
        <w:pStyle w:val="ListBullet"/>
        <w:ind w:left="360"/>
      </w:pPr>
      <w:r>
        <w:t>Hire 5+ employees, establish real trading desk</w:t>
      </w:r>
    </w:p>
    <w:p>
      <w:pPr>
        <w:pStyle w:val="ListBullet"/>
        <w:ind w:left="360"/>
      </w:pPr>
      <w:r>
        <w:t>May still be Subpart F, but demonstrates substance for audit defense</w:t>
      </w:r>
    </w:p>
    <w:p>
      <w:pPr>
        <w:pStyle w:val="ListNumber"/>
      </w:pPr>
      <w:r>
        <w:rPr>
          <w:b/>
        </w:rPr>
        <w:t>Manufacturing Exception</w:t>
      </w:r>
      <w:r>
        <w:t>:</w:t>
      </w:r>
    </w:p>
    <w:p>
      <w:pPr>
        <w:pStyle w:val="ListBullet"/>
        <w:ind w:left="360"/>
      </w:pPr>
      <w:r>
        <w:t xml:space="preserve">If ArcticTrade performs </w:t>
      </w:r>
      <w:r>
        <w:rPr>
          <w:b/>
        </w:rPr>
        <w:t>substantial transformation</w:t>
      </w:r>
      <w:r>
        <w:t xml:space="preserve"> (e.g., refining, blending), income may escape FBCSI</w:t>
      </w:r>
    </w:p>
    <w:p>
      <w:pPr>
        <w:pStyle w:val="ListBullet"/>
        <w:ind w:left="360"/>
      </w:pPr>
      <w:r>
        <w:t>Requires capital investment in processing facilities</w:t>
      </w:r>
    </w:p>
    <w:p>
      <w:pPr>
        <w:pStyle w:val="ListNumber"/>
      </w:pPr>
      <w:r>
        <w:rPr>
          <w:b/>
        </w:rPr>
        <w:t>Accept Subpart F treatment</w:t>
      </w:r>
      <w:r>
        <w:t>:</w:t>
      </w:r>
    </w:p>
    <w:p>
      <w:pPr>
        <w:pStyle w:val="ListBullet"/>
        <w:ind w:left="360"/>
      </w:pPr>
      <w:r>
        <w:t>If trading margins are essential to group profitability, accept U.S. taxation</w:t>
      </w:r>
    </w:p>
    <w:p>
      <w:pPr>
        <w:pStyle w:val="ListBullet"/>
        <w:ind w:left="360"/>
      </w:pPr>
      <w:r>
        <w:t>Ensure trading activities are genuinely conducted in Cayman (substance defense against full disallowance)</w:t>
      </w:r>
    </w:p>
    <w:p>
      <w:r>
        <w:rPr>
          <w:b/>
        </w:rPr>
        <w:t>ArcticIP Cayman</w:t>
      </w:r>
      <w:r>
        <w:t>:</w:t>
      </w:r>
    </w:p>
    <w:p>
      <w:r>
        <w:rPr>
          <w:b/>
        </w:rPr>
        <w:t>Issue</w:t>
      </w:r>
      <w:r>
        <w:t>: FPHCI (royalty income) triggers immediate U.S. taxation on $30M.</w:t>
      </w:r>
    </w:p>
    <w:p>
      <w:r>
        <w:rPr>
          <w:b/>
        </w:rPr>
        <w:t>Options</w:t>
      </w:r>
      <w:r>
        <w:t>:</w:t>
      </w:r>
    </w:p>
    <w:p>
      <w:pPr>
        <w:pStyle w:val="ListNumber"/>
      </w:pPr>
      <w:r>
        <w:rPr>
          <w:b/>
        </w:rPr>
        <w:t>Repatriate IP to U.S.</w:t>
      </w:r>
      <w:r>
        <w:t>:</w:t>
      </w:r>
    </w:p>
    <w:p>
      <w:pPr>
        <w:pStyle w:val="ListBullet"/>
        <w:ind w:left="360"/>
      </w:pPr>
      <w:r>
        <w:t>Transfer IP ownership back to U.S. parent</w:t>
      </w:r>
    </w:p>
    <w:p>
      <w:pPr>
        <w:pStyle w:val="ListBullet"/>
        <w:ind w:left="360"/>
      </w:pPr>
      <w:r>
        <w:t xml:space="preserve">Benefit from </w:t>
      </w:r>
      <w:r>
        <w:rPr>
          <w:b/>
        </w:rPr>
        <w:t>FDII</w:t>
      </w:r>
      <w:r>
        <w:t xml:space="preserve"> (Foreign-Derived Intangible Income) deduction: 13.125% effective rate on foreign licensing income (37.5% deduction on 21% rate, increasing to 16.406% in 2026)</w:t>
      </w:r>
    </w:p>
    <w:p>
      <w:pPr>
        <w:pStyle w:val="ListBullet"/>
        <w:ind w:left="360"/>
      </w:pPr>
      <w:r>
        <w:t>Eliminates CFC issue</w:t>
      </w:r>
    </w:p>
    <w:p>
      <w:pPr>
        <w:pStyle w:val="ListNumber"/>
      </w:pPr>
      <w:r>
        <w:rPr>
          <w:b/>
        </w:rPr>
        <w:t>Move IP to jurisdiction with substance</w:t>
      </w:r>
      <w:r>
        <w:t>:</w:t>
      </w:r>
    </w:p>
    <w:p>
      <w:pPr>
        <w:pStyle w:val="ListBullet"/>
        <w:ind w:left="360"/>
      </w:pPr>
      <w:r>
        <w:t xml:space="preserve">Transfer to </w:t>
      </w:r>
      <w:r>
        <w:rPr>
          <w:b/>
        </w:rPr>
        <w:t>Ireland</w:t>
      </w:r>
      <w:r>
        <w:t xml:space="preserve"> or </w:t>
      </w:r>
      <w:r>
        <w:rPr>
          <w:b/>
        </w:rPr>
        <w:t>Netherlands</w:t>
      </w:r>
      <w:r>
        <w:t xml:space="preserve"> with adequate R&amp;D personnel</w:t>
      </w:r>
    </w:p>
    <w:p>
      <w:pPr>
        <w:pStyle w:val="ListBullet"/>
        <w:ind w:left="360"/>
      </w:pPr>
      <w:r>
        <w:t>Perform genuine DEMPE functions (Development, Enhancement, Maintenance, Protection, Exploitation)</w:t>
      </w:r>
    </w:p>
    <w:p>
      <w:pPr>
        <w:pStyle w:val="ListBullet"/>
        <w:ind w:left="360"/>
      </w:pPr>
      <w:r>
        <w:t>May still be Subpart F, but lower risk of recharacterization</w:t>
      </w:r>
    </w:p>
    <w:p>
      <w:pPr>
        <w:pStyle w:val="ListNumber"/>
      </w:pPr>
      <w:r>
        <w:rPr>
          <w:b/>
        </w:rPr>
        <w:t>Cost-Sharing Arrangement</w:t>
      </w:r>
      <w:r>
        <w:t>:</w:t>
      </w:r>
    </w:p>
    <w:p>
      <w:pPr>
        <w:pStyle w:val="ListBullet"/>
        <w:ind w:left="360"/>
      </w:pPr>
      <w:r>
        <w:t>Establish CSA where foreign entities co-fund IP development</w:t>
      </w:r>
    </w:p>
    <w:p>
      <w:pPr>
        <w:pStyle w:val="ListBullet"/>
        <w:ind w:left="360"/>
      </w:pPr>
      <w:r>
        <w:t>Foreign entities acquire co-ownership rights</w:t>
      </w:r>
    </w:p>
    <w:p>
      <w:pPr>
        <w:pStyle w:val="ListBullet"/>
        <w:ind w:left="360"/>
      </w:pPr>
      <w:r>
        <w:t>Eliminates royalty payments (income shifts to active business income)</w:t>
      </w:r>
    </w:p>
    <w:p>
      <w:r>
        <w:rPr>
          <w:b/>
        </w:rPr>
        <w:t>Recommendation</w:t>
      </w:r>
      <w:r>
        <w:t>:</w:t>
      </w:r>
    </w:p>
    <w:p>
      <w:r>
        <w:rPr>
          <w:b/>
        </w:rPr>
        <w:t>ArcticNorge (Norway)</w:t>
      </w:r>
      <w:r>
        <w:t xml:space="preserve">: </w:t>
      </w:r>
      <w:r>
        <w:rPr>
          <w:b/>
        </w:rPr>
        <w:t>No change</w:t>
      </w:r>
      <w:r>
        <w:t>. FOGE exclusion allows deferral; Norway tax rate (78%) exceeds U.S. rate, so repatriation via Section 245A is tax-free.</w:t>
      </w:r>
    </w:p>
    <w:p>
      <w:r>
        <w:rPr>
          <w:b/>
        </w:rPr>
        <w:t>ArcticTrade (Cayman)</w:t>
      </w:r>
      <w:r>
        <w:t xml:space="preserve">: </w:t>
      </w:r>
      <w:r>
        <w:rPr>
          <w:b/>
        </w:rPr>
        <w:t>Relocate</w:t>
      </w:r>
      <w:r>
        <w:t xml:space="preserve"> trading operations to </w:t>
      </w:r>
      <w:r>
        <w:rPr>
          <w:b/>
        </w:rPr>
        <w:t>Singapore</w:t>
      </w:r>
      <w:r>
        <w:t xml:space="preserve"> with 5-10 employees establishing genuine trading desk. Singapore corporate tax (17%) creates foreign tax credit, reducing U.S. Subpart F tax.</w:t>
      </w:r>
    </w:p>
    <w:p>
      <w:r>
        <w:rPr>
          <w:b/>
        </w:rPr>
        <w:t>ArcticIP (Cayman)</w:t>
      </w:r>
      <w:r>
        <w:t xml:space="preserve">: </w:t>
      </w:r>
      <w:r>
        <w:rPr>
          <w:b/>
        </w:rPr>
        <w:t>Repatriate IP</w:t>
      </w:r>
      <w:r>
        <w:t xml:space="preserve"> to U.S. parent and benefit from FDII deduction (13.125% effective rate vs. 21% on Subpart F income).</w:t>
      </w:r>
    </w:p>
    <w:p>
      <w:r>
        <w:rPr>
          <w:b/>
        </w:rPr>
        <w:t>Revised U.S. Tax Impact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Subpart F (ArcticTrade, now in Singapore):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Singapore tax on $50M at 17%: $8.5M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on $50M at 21%: $10.5M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credit: $8.5M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tax: $2M (vs. $10.5M previously)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FDII (ArcticIP repatriated):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licensing income: $30M (foreign-derived)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FDII deduction: 37.5%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$30M × 62.5% = $18.75M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21%: $3.94M (vs. $6.3M on Subpart 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U.S. tax: $2M + $3.94M = $5.94M (vs. $16.8M under current structure)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savings: $10.86M</w:t>
      </w:r>
    </w:p>
    <w:p/>
    <w:p>
      <w:pPr>
        <w:spacing w:before="120" w:after="12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