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 entities and hybrid securities</w:t>
      </w:r>
    </w:p>
    <w:p>
      <w:pPr>
        <w:pStyle w:val="Heading1"/>
      </w:pPr>
      <w:r>
        <w:t>46. Hybrid Entities and Hybrid Securities</w:t>
      </w:r>
    </w:p>
    <w:p>
      <w:pPr>
        <w:pStyle w:val="Heading2"/>
      </w:pPr>
      <w:r>
        <w:t>Introduction</w:t>
      </w:r>
    </w:p>
    <w:p>
      <w:r>
        <w:rPr>
          <w:b/>
        </w:rPr>
        <w:t>Hybrid entities</w:t>
      </w:r>
      <w:r>
        <w:t xml:space="preserve"> and </w:t>
      </w:r>
      <w:r>
        <w:rPr>
          <w:b/>
        </w:rPr>
        <w:t>hybrid securities</w:t>
      </w:r>
      <w:r>
        <w:t xml:space="preserve"> exploit differences in tax treatment across jurisdictions to achieve favorable outcomes such as </w:t>
      </w:r>
      <w:r>
        <w:rPr>
          <w:b/>
        </w:rPr>
        <w:t>double deductions</w:t>
      </w:r>
      <w:r>
        <w:t xml:space="preserve"> (same expense deducted in two countries), </w:t>
      </w:r>
      <w:r>
        <w:rPr>
          <w:b/>
        </w:rPr>
        <w:t>deduction/no inclusion (D/NI)</w:t>
      </w:r>
      <w:r>
        <w:t xml:space="preserve"> (expense deducted in one country, corresponding income not taxed in another), or </w:t>
      </w:r>
      <w:r>
        <w:rPr>
          <w:b/>
        </w:rPr>
        <w:t>double non-taxation</w:t>
      </w:r>
      <w:r>
        <w:t>.</w:t>
      </w:r>
    </w:p>
    <w:p>
      <w:r>
        <w:t xml:space="preserve">The </w:t>
      </w:r>
      <w:r>
        <w:rPr>
          <w:b/>
        </w:rPr>
        <w:t>OECD BEPS Action 2</w:t>
      </w:r>
      <w:r>
        <w:t xml:space="preserve"> (Final Report published October 5, 2015) initiative and subsequent domestic anti-hybrid rules (e.g., U.S. IRC Section 267A enacted in Tax Cuts and Jobs Act 2017, EU Council Directive (EU) 2016/1164 Article 9 as amended by Directive (EU) 2017/952) aim to neutralize these mismatches by </w:t>
      </w:r>
      <w:r>
        <w:rPr>
          <w:b/>
        </w:rPr>
        <w:t>denying deductions</w:t>
      </w:r>
      <w:r>
        <w:t xml:space="preserve"> or </w:t>
      </w:r>
      <w:r>
        <w:rPr>
          <w:b/>
        </w:rPr>
        <w:t>requiring income inclusion</w:t>
      </w:r>
      <w:r>
        <w:t xml:space="preserve"> to align with the counterparty's tax treatment.</w:t>
      </w:r>
    </w:p>
    <w:p>
      <w:r>
        <w:t xml:space="preserve">For oil and gas companies, hybrid structures have historically been used in </w:t>
      </w:r>
      <w:r>
        <w:rPr>
          <w:b/>
        </w:rPr>
        <w:t>financing arrangements</w:t>
      </w:r>
      <w:r>
        <w:t xml:space="preserve">, </w:t>
      </w:r>
      <w:r>
        <w:rPr>
          <w:b/>
        </w:rPr>
        <w:t>joint venture structures</w:t>
      </w:r>
      <w:r>
        <w:t xml:space="preserve">, and </w:t>
      </w:r>
      <w:r>
        <w:rPr>
          <w:b/>
        </w:rPr>
        <w:t>treasury operations</w:t>
      </w:r>
      <w:r>
        <w:t>, but post-BEPS scrutiny has significantly curtailed their use.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Hybrid Entity Mismatches</w:t>
      </w:r>
    </w:p>
    <w:p>
      <w:pPr>
        <w:pStyle w:val="Heading3"/>
      </w:pPr>
      <w:r>
        <w:t>1.1 Definition</w:t>
      </w:r>
    </w:p>
    <w:p>
      <w:r>
        <w:t xml:space="preserve">A </w:t>
      </w:r>
      <w:r>
        <w:rPr>
          <w:b/>
        </w:rPr>
        <w:t>hybrid entity</w:t>
      </w:r>
      <w:r>
        <w:t xml:space="preserve"> is an entity that is treated as </w:t>
      </w:r>
      <w:r>
        <w:rPr>
          <w:b/>
        </w:rPr>
        <w:t>transparent (pass-through)</w:t>
      </w:r>
      <w:r>
        <w:t xml:space="preserve"> in one jurisdiction and </w:t>
      </w:r>
      <w:r>
        <w:rPr>
          <w:b/>
        </w:rPr>
        <w:t>opaque (separate taxable entity)</w:t>
      </w:r>
      <w:r>
        <w:t xml:space="preserve"> in another.</w:t>
      </w:r>
    </w:p>
    <w:p>
      <w:r>
        <w:rPr>
          <w:b/>
        </w:rPr>
        <w:t>Example</w:t>
      </w:r>
      <w:r>
        <w:t>:</w:t>
      </w:r>
    </w:p>
    <w:p>
      <w:pPr>
        <w:pStyle w:val="ListBullet"/>
      </w:pPr>
      <w:r>
        <w:rPr>
          <w:b/>
        </w:rPr>
        <w:t>U.S. LLC</w:t>
      </w:r>
      <w:r>
        <w:t>: Treated as transparent (partnership) for U.S. tax purposes but may be treated as opaque (corporation) in foreign jurisdictions</w:t>
      </w:r>
    </w:p>
    <w:p>
      <w:pPr>
        <w:pStyle w:val="ListBullet"/>
      </w:pPr>
      <w:r>
        <w:rPr>
          <w:b/>
        </w:rPr>
        <w:t>UK LLP</w:t>
      </w:r>
      <w:r>
        <w:t>: Treated as transparent in UK but may be opaque in other countries</w:t>
      </w:r>
    </w:p>
    <w:p>
      <w:pPr>
        <w:pStyle w:val="Heading3"/>
      </w:pPr>
      <w:r>
        <w:t>1.2 Double Deduction (DD) Outcome</w:t>
      </w:r>
    </w:p>
    <w:p>
      <w:r>
        <w:rPr>
          <w:b/>
        </w:rPr>
        <w:t>Scenario</w:t>
      </w:r>
      <w:r>
        <w:t>: Hybrid entity makes a deductible payment (e.g., interest to parent).</w:t>
      </w:r>
    </w:p>
    <w:p>
      <w:pPr>
        <w:pStyle w:val="ListBullet"/>
      </w:pPr>
      <w:r>
        <w:rPr>
          <w:b/>
        </w:rPr>
        <w:t>Country A</w:t>
      </w:r>
      <w:r>
        <w:t xml:space="preserve"> (treats entity as transparent): Deduction flows through to parent</w:t>
      </w:r>
    </w:p>
    <w:p>
      <w:pPr>
        <w:pStyle w:val="ListBullet"/>
      </w:pPr>
      <w:r>
        <w:rPr>
          <w:b/>
        </w:rPr>
        <w:t>Country B</w:t>
      </w:r>
      <w:r>
        <w:t xml:space="preserve"> (treats entity as opaque): Entity deducts payment as expense</w:t>
      </w:r>
    </w:p>
    <w:p>
      <w:r>
        <w:rPr>
          <w:b/>
        </w:rPr>
        <w:t>Result</w:t>
      </w:r>
      <w:r>
        <w:t xml:space="preserve">: </w:t>
      </w:r>
      <w:r>
        <w:rPr>
          <w:b/>
        </w:rPr>
        <w:t>Same expense deducted twice</w:t>
      </w:r>
      <w:r>
        <w:t xml:space="preserve"> (once in each jurisdiction).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LLC (parent-owned) borrows from UK bank and pays interest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treatment (LLC is transparent): Interest deduction passes through to U.S. parent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treatment (LLC viewed as opaque): LLC deducts interest in UK (if UK operations exist)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Result: Double deduction</w:t>
      </w:r>
    </w:p>
    <w:p/>
    <w:p>
      <w:pPr>
        <w:pStyle w:val="Heading3"/>
      </w:pPr>
      <w:r>
        <w:t>1.3 Deduction/No Inclusion (D/NI) Outcome</w:t>
      </w:r>
    </w:p>
    <w:p>
      <w:r>
        <w:rPr>
          <w:b/>
        </w:rPr>
        <w:t>Scenario</w:t>
      </w:r>
      <w:r>
        <w:t>: Hybrid entity receives income from one country, pays deductible expense to another.</w:t>
      </w:r>
    </w:p>
    <w:p>
      <w:pPr>
        <w:pStyle w:val="ListBullet"/>
      </w:pPr>
      <w:r>
        <w:rPr>
          <w:b/>
        </w:rPr>
        <w:t>Payer country</w:t>
      </w:r>
      <w:r>
        <w:t>: Allows deduction for payment to hybrid entity</w:t>
      </w:r>
    </w:p>
    <w:p>
      <w:pPr>
        <w:pStyle w:val="ListBullet"/>
      </w:pPr>
      <w:r>
        <w:rPr>
          <w:b/>
        </w:rPr>
        <w:t>Hybrid entity's jurisdiction</w:t>
      </w:r>
      <w:r>
        <w:t>: Income not taxed (because entity is transparent and income attributed to parent in different jurisdiction)</w:t>
      </w:r>
    </w:p>
    <w:p>
      <w:pPr>
        <w:pStyle w:val="ListBullet"/>
      </w:pPr>
      <w:r>
        <w:rPr>
          <w:b/>
        </w:rPr>
        <w:t>Parent's jurisdiction</w:t>
      </w:r>
      <w:r>
        <w:t>: Income not included (because entity is treated as separate)</w:t>
      </w:r>
    </w:p>
    <w:p>
      <w:r>
        <w:rPr>
          <w:b/>
        </w:rPr>
        <w:t>Result</w:t>
      </w:r>
      <w:r>
        <w:t xml:space="preserve">: </w:t>
      </w:r>
      <w:r>
        <w:rPr>
          <w:b/>
        </w:rPr>
        <w:t>Deduction without corresponding income inclusion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Hybrid Instrument Mismatches</w:t>
      </w:r>
    </w:p>
    <w:p>
      <w:pPr>
        <w:pStyle w:val="Heading3"/>
      </w:pPr>
      <w:r>
        <w:t>2.1 Definition</w:t>
      </w:r>
    </w:p>
    <w:p>
      <w:r>
        <w:t xml:space="preserve">A </w:t>
      </w:r>
      <w:r>
        <w:rPr>
          <w:b/>
        </w:rPr>
        <w:t>hybrid instrument</w:t>
      </w:r>
      <w:r>
        <w:t xml:space="preserve"> is a financial instrument treated as </w:t>
      </w:r>
      <w:r>
        <w:rPr>
          <w:b/>
        </w:rPr>
        <w:t>debt</w:t>
      </w:r>
      <w:r>
        <w:t xml:space="preserve"> in one jurisdiction (interest deductible) and </w:t>
      </w:r>
      <w:r>
        <w:rPr>
          <w:b/>
        </w:rPr>
        <w:t>equity</w:t>
      </w:r>
      <w:r>
        <w:t xml:space="preserve"> in another (dividend not deductible, may be exempt from tax).</w:t>
      </w:r>
    </w:p>
    <w:p>
      <w:r>
        <w:rPr>
          <w:b/>
        </w:rPr>
        <w:t>Example</w:t>
      </w:r>
      <w:r>
        <w:t>:</w:t>
      </w:r>
    </w:p>
    <w:p>
      <w:pPr>
        <w:pStyle w:val="ListBullet"/>
      </w:pPr>
      <w:r>
        <w:rPr>
          <w:b/>
        </w:rPr>
        <w:t>Preference shares</w:t>
      </w:r>
      <w:r>
        <w:t>: Treated as debt in issuer's jurisdiction (interest deductible), equity in holder's jurisdiction (dividend exempt)</w:t>
      </w:r>
    </w:p>
    <w:p>
      <w:pPr>
        <w:pStyle w:val="ListBullet"/>
      </w:pPr>
      <w:r>
        <w:rPr>
          <w:b/>
        </w:rPr>
        <w:t>Convertible bonds</w:t>
      </w:r>
      <w:r>
        <w:t>: Tax treatment varies by jurisdiction</w:t>
      </w:r>
    </w:p>
    <w:p>
      <w:pPr>
        <w:pStyle w:val="Heading3"/>
      </w:pPr>
      <w:r>
        <w:t>2.2 D/NI Outcome</w:t>
      </w:r>
    </w:p>
    <w:p>
      <w:r>
        <w:rPr>
          <w:b/>
        </w:rPr>
        <w:t>Scenario</w:t>
      </w:r>
      <w:r>
        <w:t>:</w:t>
      </w:r>
    </w:p>
    <w:p>
      <w:pPr>
        <w:pStyle w:val="ListBullet"/>
      </w:pPr>
      <w:r>
        <w:rPr>
          <w:b/>
        </w:rPr>
        <w:t>Issuer</w:t>
      </w:r>
      <w:r>
        <w:t xml:space="preserve"> (Country A): Deducts payment as interest expense (debt treatment)</w:t>
      </w:r>
    </w:p>
    <w:p>
      <w:pPr>
        <w:pStyle w:val="ListBullet"/>
      </w:pPr>
      <w:r>
        <w:rPr>
          <w:b/>
        </w:rPr>
        <w:t>Holder</w:t>
      </w:r>
      <w:r>
        <w:t xml:space="preserve"> (Country B): Receives payment as exempt dividend (equity treatment under participation exemption)</w:t>
      </w:r>
    </w:p>
    <w:p>
      <w:r>
        <w:rPr>
          <w:b/>
        </w:rPr>
        <w:t>Result</w:t>
      </w:r>
      <w:r>
        <w:t xml:space="preserve">: </w:t>
      </w:r>
      <w:r>
        <w:rPr>
          <w:b/>
        </w:rPr>
        <w:t>Deduction in one country, no inclusion in the other</w:t>
      </w:r>
      <w:r>
        <w:t>.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B.V. issues preference shares to U.S. parent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treatment: Preference dividend is deductible (if meets conditions)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treatment: Dividend qualifies for Section 245A exemption (participation exemption)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Result: Netherlands deduction, no U.S. taxation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BEPS Action 2 and Anti-Hybrid Rules</w:t>
      </w:r>
    </w:p>
    <w:p>
      <w:pPr>
        <w:pStyle w:val="Heading3"/>
      </w:pPr>
      <w:r>
        <w:t>3.1 OECD Recommendations</w:t>
      </w:r>
    </w:p>
    <w:p>
      <w:r>
        <w:rPr>
          <w:b/>
        </w:rPr>
        <w:t>BEPS Action 2</w:t>
      </w:r>
      <w:r>
        <w:t xml:space="preserve"> (Neutralising the Effects of Hybrid Mismatch Arrangements, Final Report October 5, 2015) established a framework to </w:t>
      </w:r>
      <w:r>
        <w:rPr>
          <w:b/>
        </w:rPr>
        <w:t>neutralize hybrid mismatch arrangements</w:t>
      </w:r>
      <w:r>
        <w:t xml:space="preserve"> through:</w:t>
      </w:r>
    </w:p>
    <w:p>
      <w:pPr>
        <w:pStyle w:val="ListNumber"/>
      </w:pPr>
      <w:r>
        <w:rPr>
          <w:b/>
        </w:rPr>
        <w:t>Primary Rule</w:t>
      </w:r>
      <w:r>
        <w:t>: Deny deduction in payer jurisdiction if income is not included in payee jurisdiction</w:t>
      </w:r>
    </w:p>
    <w:p>
      <w:pPr>
        <w:pStyle w:val="ListNumber"/>
      </w:pPr>
      <w:r>
        <w:rPr>
          <w:b/>
        </w:rPr>
        <w:t>Secondary (Defensive) Rule</w:t>
      </w:r>
      <w:r>
        <w:t>: Require income inclusion in payee jurisdiction if deduction is not denied in payer jurisdiction</w:t>
      </w:r>
    </w:p>
    <w:p>
      <w:r>
        <w:rPr>
          <w:b/>
        </w:rPr>
        <w:t>Linking Rule</w:t>
      </w:r>
      <w:r>
        <w:t>: Addresses indirect hybrid mismatches (e.g., back-to-back arrangements, imported mismatches).</w:t>
      </w:r>
    </w:p>
    <w:p>
      <w:pPr>
        <w:pStyle w:val="Heading3"/>
      </w:pPr>
      <w:r>
        <w:t>3.2 U.S. Anti-Hybrid Rules (IRC Section 267A)</w:t>
      </w:r>
    </w:p>
    <w:p>
      <w:r>
        <w:rPr>
          <w:b/>
        </w:rPr>
        <w:t>Section 267A</w:t>
      </w:r>
      <w:r>
        <w:t xml:space="preserve"> (enacted in Tax Cuts and Jobs Act 2017, effective for tax years beginning after December 31, 2017) denies deductions for </w:t>
      </w:r>
      <w:r>
        <w:rPr>
          <w:b/>
        </w:rPr>
        <w:t>disqualified related party amounts</w:t>
      </w:r>
      <w:r>
        <w:t xml:space="preserve"> that result in:</w:t>
      </w:r>
    </w:p>
    <w:p>
      <w:r>
        <w:rPr>
          <w:b/>
        </w:rPr>
        <w:t>D/NI Outcomes</w:t>
      </w:r>
      <w:r>
        <w:t>:</w:t>
      </w:r>
    </w:p>
    <w:p>
      <w:pPr>
        <w:pStyle w:val="ListBullet"/>
      </w:pPr>
      <w:r>
        <w:t>Payment is deductible in U.S.</w:t>
      </w:r>
    </w:p>
    <w:p>
      <w:pPr>
        <w:pStyle w:val="ListBullet"/>
      </w:pPr>
      <w:r>
        <w:t>Payment is not included in income of foreign related party (or is offset by deduction against another item of income)</w:t>
      </w:r>
    </w:p>
    <w:p>
      <w:r>
        <w:rPr>
          <w:b/>
        </w:rPr>
        <w:t>Hybrid Instruments</w:t>
      </w:r>
      <w:r>
        <w:t>:</w:t>
      </w:r>
    </w:p>
    <w:p>
      <w:pPr>
        <w:pStyle w:val="ListBullet"/>
      </w:pPr>
      <w:r>
        <w:t>U.S. person pays amount to foreign related party on hybrid instrument</w:t>
      </w:r>
    </w:p>
    <w:p>
      <w:pPr>
        <w:pStyle w:val="ListBullet"/>
      </w:pPr>
      <w:r>
        <w:t>Instrument treated as debt in U.S. (deduction) but equity abroad (exempt dividend)</w:t>
      </w:r>
    </w:p>
    <w:p>
      <w:r>
        <w:rPr>
          <w:b/>
        </w:rPr>
        <w:t>Example - Denied Deduction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parent pays interest to Netherlands subsidiary on hybrid note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U.S.: Interest deduction ($10M)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Netherlands: Dividend (exempt under participation exemption)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267A: Denies U.S. deduction ($10M disallowed)</w:t>
      </w:r>
    </w:p>
    <w:p/>
    <w:p>
      <w:pPr>
        <w:pStyle w:val="Heading3"/>
      </w:pPr>
      <w:r>
        <w:t>3.3 EU Anti-Tax Avoidance Directive (ATAD) Article 9</w:t>
      </w:r>
    </w:p>
    <w:p>
      <w:r>
        <w:rPr>
          <w:b/>
        </w:rPr>
        <w:t>Council Directive (EU) 2016/1164 as amended by Council Directive (EU) 2017/952</w:t>
      </w:r>
      <w:r>
        <w:t xml:space="preserve"> requires EU Member States to implement rules to prevent:</w:t>
      </w:r>
    </w:p>
    <w:p>
      <w:r>
        <w:rPr>
          <w:b/>
        </w:rPr>
        <w:t>Hybrid Mismatches</w:t>
      </w:r>
      <w:r>
        <w:t xml:space="preserve"> (Articles 9, 9a, 9b) resulting in:</w:t>
      </w:r>
    </w:p>
    <w:p>
      <w:pPr>
        <w:pStyle w:val="ListBullet"/>
      </w:pPr>
      <w:r>
        <w:t>Double deduction</w:t>
      </w:r>
    </w:p>
    <w:p>
      <w:pPr>
        <w:pStyle w:val="ListBullet"/>
      </w:pPr>
      <w:r>
        <w:t>Deduction without inclusion</w:t>
      </w:r>
    </w:p>
    <w:p>
      <w:pPr>
        <w:pStyle w:val="ListBullet"/>
      </w:pPr>
      <w:r>
        <w:t>Double non-taxation</w:t>
      </w:r>
    </w:p>
    <w:p>
      <w:r>
        <w:rPr>
          <w:b/>
        </w:rPr>
        <w:t>Primary Rule</w:t>
      </w:r>
      <w:r>
        <w:t>: Deny deduction in Member State of payer.</w:t>
      </w:r>
    </w:p>
    <w:p>
      <w:r>
        <w:rPr>
          <w:b/>
        </w:rPr>
        <w:t>Secondary Rule</w:t>
      </w:r>
      <w:r>
        <w:t>: If other jurisdiction does not deny deduction, require income inclusion in Member State.</w:t>
      </w:r>
    </w:p>
    <w:p>
      <w:r>
        <w:rPr>
          <w:b/>
        </w:rPr>
        <w:t>Implementation</w:t>
      </w:r>
      <w:r>
        <w:t>: Member States required to implement by January 1, 2020 (extended provisions by January 1, 2022).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Application to Oil &amp; Gas Sector</w:t>
      </w:r>
    </w:p>
    <w:p>
      <w:pPr>
        <w:pStyle w:val="Heading3"/>
      </w:pPr>
      <w:r>
        <w:t>4.1 Historical Use Cases</w:t>
      </w:r>
    </w:p>
    <w:p>
      <w:r>
        <w:rPr>
          <w:b/>
        </w:rPr>
        <w:t>Joint Venture Financing</w:t>
      </w:r>
      <w:r>
        <w:t>:</w:t>
      </w:r>
    </w:p>
    <w:p>
      <w:pPr>
        <w:pStyle w:val="ListBullet"/>
      </w:pPr>
      <w:r>
        <w:t>Hybrid entities (partnerships, consortia) used to pool resources for large projects</w:t>
      </w:r>
    </w:p>
    <w:p>
      <w:pPr>
        <w:pStyle w:val="ListBullet"/>
      </w:pPr>
      <w:r>
        <w:t>Transparent treatment in some jurisdictions, opaque in others</w:t>
      </w:r>
    </w:p>
    <w:p>
      <w:pPr>
        <w:pStyle w:val="ListBullet"/>
      </w:pPr>
      <w:r>
        <w:t>Created potential DD or D/NI outcomes</w:t>
      </w:r>
    </w:p>
    <w:p>
      <w:r>
        <w:rPr>
          <w:b/>
        </w:rPr>
        <w:t>Preference Share Financing</w:t>
      </w:r>
      <w:r>
        <w:t>:</w:t>
      </w:r>
    </w:p>
    <w:p>
      <w:pPr>
        <w:pStyle w:val="ListBullet"/>
      </w:pPr>
      <w:r>
        <w:t>Oil &amp; gas companies issued preference shares to parent or affiliates</w:t>
      </w:r>
    </w:p>
    <w:p>
      <w:pPr>
        <w:pStyle w:val="ListBullet"/>
      </w:pPr>
      <w:r>
        <w:t>Issuer jurisdiction: Deductible dividend (treated as debt)</w:t>
      </w:r>
    </w:p>
    <w:p>
      <w:pPr>
        <w:pStyle w:val="ListBullet"/>
      </w:pPr>
      <w:r>
        <w:t>Holder jurisdiction: Exempt dividend (participation exemption)</w:t>
      </w:r>
    </w:p>
    <w:p>
      <w:pPr>
        <w:pStyle w:val="Heading3"/>
      </w:pPr>
      <w:r>
        <w:t>4.2 Post-BEPS Impact</w:t>
      </w:r>
    </w:p>
    <w:p>
      <w:r>
        <w:rPr>
          <w:b/>
        </w:rPr>
        <w:t>Reduced Viability</w:t>
      </w:r>
      <w:r>
        <w:t>: Anti-hybrid rules have largely eliminated tax benefits of hybrid arrangements.</w:t>
      </w:r>
    </w:p>
    <w:p>
      <w:r>
        <w:rPr>
          <w:b/>
        </w:rPr>
        <w:t>Compliance Risk</w:t>
      </w:r>
      <w:r>
        <w:t>: Structures that previously delivered tax savings now face:</w:t>
      </w:r>
    </w:p>
    <w:p>
      <w:pPr>
        <w:pStyle w:val="ListBullet"/>
      </w:pPr>
      <w:r>
        <w:rPr>
          <w:b/>
        </w:rPr>
        <w:t>Deduction denials</w:t>
      </w:r>
      <w:r>
        <w:t xml:space="preserve"> (Section 267A, ATAD Article 9)</w:t>
      </w:r>
    </w:p>
    <w:p>
      <w:pPr>
        <w:pStyle w:val="ListBullet"/>
      </w:pPr>
      <w:r>
        <w:rPr>
          <w:b/>
        </w:rPr>
        <w:t>Withholding tax</w:t>
      </w:r>
      <w:r>
        <w:t xml:space="preserve"> (if payment recharacterized)</w:t>
      </w:r>
    </w:p>
    <w:p>
      <w:pPr>
        <w:pStyle w:val="ListBullet"/>
      </w:pPr>
      <w:r>
        <w:rPr>
          <w:b/>
        </w:rPr>
        <w:t>Transfer pricing adjustments</w:t>
      </w:r>
      <w:r>
        <w:t xml:space="preserve"> (if arrangement lacks substance)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Planning Considerations</w:t>
      </w:r>
    </w:p>
    <w:p>
      <w:pPr>
        <w:pStyle w:val="Heading3"/>
      </w:pPr>
      <w:r>
        <w:t>5.1 Substance and Commercial Purpose</w:t>
      </w:r>
    </w:p>
    <w:p>
      <w:r>
        <w:rPr>
          <w:b/>
        </w:rPr>
        <w:t>Defense</w:t>
      </w:r>
      <w:r>
        <w:t xml:space="preserve">: Demonstrate that hybrid structure has </w:t>
      </w:r>
      <w:r>
        <w:rPr>
          <w:b/>
        </w:rPr>
        <w:t>genuine commercial purpose</w:t>
      </w:r>
      <w:r>
        <w:t xml:space="preserve"> beyond tax benefits:</w:t>
      </w:r>
    </w:p>
    <w:p>
      <w:pPr>
        <w:pStyle w:val="ListBullet"/>
      </w:pPr>
      <w:r>
        <w:rPr>
          <w:b/>
        </w:rPr>
        <w:t>Risk allocation</w:t>
      </w:r>
      <w:r>
        <w:t>: Entity structure reflects genuine risk-sharing among partners</w:t>
      </w:r>
    </w:p>
    <w:p>
      <w:pPr>
        <w:pStyle w:val="ListBullet"/>
      </w:pPr>
      <w:r>
        <w:rPr>
          <w:b/>
        </w:rPr>
        <w:t>Legal requirements</w:t>
      </w:r>
      <w:r>
        <w:t>: Structure driven by regulatory or contractual requirements</w:t>
      </w:r>
    </w:p>
    <w:p>
      <w:pPr>
        <w:pStyle w:val="ListBullet"/>
      </w:pPr>
      <w:r>
        <w:rPr>
          <w:b/>
        </w:rPr>
        <w:t>Operational efficiency</w:t>
      </w:r>
      <w:r>
        <w:t>: Centralized management, liability protection</w:t>
      </w:r>
    </w:p>
    <w:p>
      <w:pPr>
        <w:pStyle w:val="Heading3"/>
      </w:pPr>
      <w:r>
        <w:t>5.2 Alignment of Tax Treatment</w:t>
      </w:r>
    </w:p>
    <w:p>
      <w:r>
        <w:rPr>
          <w:b/>
        </w:rPr>
        <w:t>Approach</w:t>
      </w:r>
      <w:r>
        <w:t xml:space="preserve">: Elect or structure arrangements to </w:t>
      </w:r>
      <w:r>
        <w:rPr>
          <w:b/>
        </w:rPr>
        <w:t>align tax treatment</w:t>
      </w:r>
      <w:r>
        <w:t xml:space="preserve"> across jurisdictions:</w:t>
      </w:r>
    </w:p>
    <w:p>
      <w:pPr>
        <w:pStyle w:val="ListBullet"/>
      </w:pPr>
      <w:r>
        <w:rPr>
          <w:b/>
        </w:rPr>
        <w:t>Check-the-box election</w:t>
      </w:r>
      <w:r>
        <w:t xml:space="preserve"> (U.S.): Entity elects corporate classification to match treatment abroad</w:t>
      </w:r>
    </w:p>
    <w:p>
      <w:pPr>
        <w:pStyle w:val="ListBullet"/>
      </w:pPr>
      <w:r>
        <w:rPr>
          <w:b/>
        </w:rPr>
        <w:t>Transparent entity</w:t>
      </w:r>
      <w:r>
        <w:t>: Ensure all jurisdictions treat entity as transparent (avoids DD outcomes)</w:t>
      </w:r>
    </w:p>
    <w:p>
      <w:pPr>
        <w:pStyle w:val="ListBullet"/>
      </w:pPr>
      <w:r>
        <w:rPr>
          <w:b/>
        </w:rPr>
        <w:t>Consistent instrument classification</w:t>
      </w:r>
      <w:r>
        <w:t>: Structure as clearly debt or equity (avoid hybrid instrument characterization)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EXAMPLE: Hybrid Instrument Financing and Section 267A Impact</w:t>
      </w:r>
    </w:p>
    <w:p>
      <w:pPr>
        <w:pStyle w:val="Heading3"/>
      </w:pPr>
      <w:r>
        <w:t>Facts</w:t>
      </w:r>
    </w:p>
    <w:p>
      <w:r>
        <w:rPr>
          <w:b/>
        </w:rPr>
        <w:t>PetroGlobal Inc.</w:t>
      </w:r>
      <w:r>
        <w:t xml:space="preserve">, a U.S.-based E&amp;P company, needs to finance its </w:t>
      </w:r>
      <w:r>
        <w:rPr>
          <w:b/>
        </w:rPr>
        <w:t>Netherlands subsidiary</w:t>
      </w:r>
      <w:r>
        <w:t xml:space="preserve">, </w:t>
      </w:r>
      <w:r>
        <w:rPr>
          <w:b/>
        </w:rPr>
        <w:t>PetroGlobal B.V.</w:t>
      </w:r>
      <w:r>
        <w:t>, which operates gas fields in the Netherlands and UK.</w:t>
      </w:r>
    </w:p>
    <w:p>
      <w:r>
        <w:rPr>
          <w:b/>
        </w:rPr>
        <w:t>Proposed Structure</w:t>
      </w:r>
      <w:r>
        <w:t xml:space="preserve"> (Pre-2018):</w:t>
      </w:r>
    </w:p>
    <w:p>
      <w:r>
        <w:t xml:space="preserve">PetroGlobal Inc. makes a </w:t>
      </w:r>
      <w:r>
        <w:rPr>
          <w:b/>
        </w:rPr>
        <w:t>$500 million investment</w:t>
      </w:r>
      <w:r>
        <w:t xml:space="preserve"> in PetroGlobal B.V. through issuance of </w:t>
      </w:r>
      <w:r>
        <w:rPr>
          <w:b/>
        </w:rPr>
        <w:t>cumulative preference shares</w:t>
      </w:r>
      <w:r>
        <w:t xml:space="preserve"> with the following terms:</w:t>
      </w:r>
    </w:p>
    <w:p>
      <w:pPr>
        <w:pStyle w:val="ListBullet"/>
      </w:pPr>
      <w:r>
        <w:rPr>
          <w:b/>
        </w:rPr>
        <w:t>Dividend rate</w:t>
      </w:r>
      <w:r>
        <w:t>: 6% per annum ($30 million annually)</w:t>
      </w:r>
    </w:p>
    <w:p>
      <w:pPr>
        <w:pStyle w:val="ListBullet"/>
      </w:pPr>
      <w:r>
        <w:rPr>
          <w:b/>
        </w:rPr>
        <w:t>Priority</w:t>
      </w:r>
      <w:r>
        <w:t>: Preference dividends paid before ordinary dividends</w:t>
      </w:r>
    </w:p>
    <w:p>
      <w:pPr>
        <w:pStyle w:val="ListBullet"/>
      </w:pPr>
      <w:r>
        <w:rPr>
          <w:b/>
        </w:rPr>
        <w:t>Redemption</w:t>
      </w:r>
      <w:r>
        <w:t>: Redeemable at PetroGlobal Inc.'s option after 10 years</w:t>
      </w:r>
    </w:p>
    <w:p>
      <w:pPr>
        <w:pStyle w:val="ListBullet"/>
      </w:pPr>
      <w:r>
        <w:rPr>
          <w:b/>
        </w:rPr>
        <w:t>Voting rights</w:t>
      </w:r>
      <w:r>
        <w:t>: Limited (no voting except on matters affecting preference rights)</w:t>
      </w:r>
    </w:p>
    <w:p>
      <w:r>
        <w:rPr>
          <w:b/>
        </w:rPr>
        <w:t>Tax Treatment</w:t>
      </w:r>
      <w:r>
        <w:t>:</w:t>
      </w:r>
    </w:p>
    <w:p>
      <w:r>
        <w:rPr>
          <w:b/>
        </w:rPr>
        <w:t>Netherlands</w:t>
      </w:r>
      <w:r>
        <w:t xml:space="preserve"> (issuer jurisdiction):</w:t>
      </w:r>
    </w:p>
    <w:p>
      <w:pPr>
        <w:pStyle w:val="ListBullet"/>
      </w:pPr>
      <w:r>
        <w:t xml:space="preserve">Preference shares may be treated as </w:t>
      </w:r>
      <w:r>
        <w:rPr>
          <w:b/>
        </w:rPr>
        <w:t>debt</w:t>
      </w:r>
      <w:r>
        <w:t xml:space="preserve"> if they meet certain conditions (fixed dividend, redemption obligation)</w:t>
      </w:r>
    </w:p>
    <w:p>
      <w:pPr>
        <w:pStyle w:val="ListBullet"/>
      </w:pPr>
      <w:r>
        <w:rPr>
          <w:b/>
        </w:rPr>
        <w:t>Dividend deductible</w:t>
      </w:r>
      <w:r>
        <w:t xml:space="preserve"> as interest expense</w:t>
      </w:r>
    </w:p>
    <w:p>
      <w:r>
        <w:rPr>
          <w:b/>
        </w:rPr>
        <w:t>United States</w:t>
      </w:r>
      <w:r>
        <w:t xml:space="preserve"> (holder jurisdiction):</w:t>
      </w:r>
    </w:p>
    <w:p>
      <w:pPr>
        <w:pStyle w:val="ListBullet"/>
      </w:pPr>
      <w:r>
        <w:t xml:space="preserve">Preference shares treated as </w:t>
      </w:r>
      <w:r>
        <w:rPr>
          <w:b/>
        </w:rPr>
        <w:t>equity</w:t>
      </w:r>
    </w:p>
    <w:p>
      <w:pPr>
        <w:pStyle w:val="ListBullet"/>
      </w:pPr>
      <w:r>
        <w:t xml:space="preserve">Dividends qualify for </w:t>
      </w:r>
      <w:r>
        <w:rPr>
          <w:b/>
        </w:rPr>
        <w:t>Section 245A participation exemption</w:t>
      </w:r>
      <w:r>
        <w:t xml:space="preserve"> (100% deduction if 10%+ ownership)</w:t>
      </w:r>
    </w:p>
    <w:p>
      <w:pPr>
        <w:pStyle w:val="ListBullet"/>
      </w:pPr>
      <w:r>
        <w:rPr>
          <w:b/>
        </w:rPr>
        <w:t>No U.S. taxation</w:t>
      </w:r>
      <w:r>
        <w:t xml:space="preserve"> on dividends received</w:t>
      </w:r>
    </w:p>
    <w:p>
      <w:r>
        <w:rPr>
          <w:b/>
        </w:rPr>
        <w:t>Original Tax Benefit (Pre-2018)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PetroGlobal B.V. (Netherlands):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Preference dividend: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deduction: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savings at 25.8% rate: $7.74M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PetroGlobal Inc. (U.S.):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 income: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245A deduction: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group tax benefit: $7.74M per year</w:t>
      </w:r>
    </w:p>
    <w:p/>
    <w:p>
      <w:r>
        <w:rPr>
          <w:b/>
        </w:rPr>
        <w:t>2018 Change - IRC Section 267A</w:t>
      </w:r>
      <w:r>
        <w:t>:</w:t>
      </w:r>
    </w:p>
    <w:p>
      <w:r>
        <w:t>Section 267A applies to disqualified related party amounts resulting in D/NI outcomes.</w:t>
      </w:r>
    </w:p>
    <w:p>
      <w:r>
        <w:rPr>
          <w:b/>
        </w:rPr>
        <w:t>Analysis</w:t>
      </w:r>
      <w:r>
        <w:t>:</w:t>
      </w:r>
    </w:p>
    <w:p>
      <w:pPr>
        <w:pStyle w:val="ListNumber"/>
      </w:pPr>
      <w:r>
        <w:rPr>
          <w:b/>
        </w:rPr>
        <w:t>Payment to related party</w:t>
      </w:r>
      <w:r>
        <w:t>: Yes (100% owned subsidiary)</w:t>
      </w:r>
    </w:p>
    <w:p>
      <w:pPr>
        <w:pStyle w:val="ListNumber"/>
      </w:pPr>
      <w:r>
        <w:rPr>
          <w:b/>
        </w:rPr>
        <w:t>Deduction in U.S.</w:t>
      </w:r>
      <w:r>
        <w:t>: No (U.S. is recipient, not payer)</w:t>
      </w:r>
    </w:p>
    <w:p>
      <w:pPr>
        <w:pStyle w:val="ListNumber"/>
      </w:pPr>
      <w:r>
        <w:rPr>
          <w:b/>
        </w:rPr>
        <w:t>Does 267A apply?</w:t>
      </w:r>
      <w:r>
        <w:t xml:space="preserve">: No, Section 267A denies deductions by </w:t>
      </w:r>
      <w:r>
        <w:rPr>
          <w:b/>
        </w:rPr>
        <w:t>U.S. payers</w:t>
      </w:r>
      <w:r>
        <w:t>, not U.S. recipients</w:t>
      </w:r>
    </w:p>
    <w:p>
      <w:r>
        <w:rPr>
          <w:b/>
        </w:rPr>
        <w:t>Reverse Structure</w:t>
      </w:r>
      <w:r>
        <w:t xml:space="preserve"> (if applicable):</w:t>
      </w:r>
    </w:p>
    <w:p>
      <w:r>
        <w:t>If PetroGlobal B.V. issued preference shares to PetroGlobal Inc. and made deductible dividend payments:</w:t>
      </w:r>
    </w:p>
    <w:p>
      <w:r>
        <w:rPr>
          <w:b/>
        </w:rPr>
        <w:t>Netherlands</w:t>
      </w:r>
      <w:r>
        <w:t>:</w:t>
      </w:r>
    </w:p>
    <w:p>
      <w:pPr>
        <w:pStyle w:val="ListBullet"/>
      </w:pPr>
      <w:r>
        <w:t>Deduction for dividend: $30M</w:t>
      </w:r>
    </w:p>
    <w:p>
      <w:pPr>
        <w:pStyle w:val="ListBullet"/>
      </w:pPr>
      <w:r>
        <w:t>Tax savings: $7.74M</w:t>
      </w:r>
    </w:p>
    <w:p>
      <w:r>
        <w:rPr>
          <w:b/>
        </w:rPr>
        <w:t>U.S.</w:t>
      </w:r>
      <w:r>
        <w:t>:</w:t>
      </w:r>
    </w:p>
    <w:p>
      <w:pPr>
        <w:pStyle w:val="ListBullet"/>
      </w:pPr>
      <w:r>
        <w:t>Dividend income: $30M</w:t>
      </w:r>
    </w:p>
    <w:p>
      <w:pPr>
        <w:pStyle w:val="ListBullet"/>
      </w:pPr>
      <w:r>
        <w:t>Section 245A exemption: $30M</w:t>
      </w:r>
    </w:p>
    <w:p>
      <w:pPr>
        <w:pStyle w:val="ListBullet"/>
      </w:pPr>
      <w:r>
        <w:t>Taxable income: $0</w:t>
      </w:r>
    </w:p>
    <w:p>
      <w:r>
        <w:rPr>
          <w:b/>
        </w:rPr>
        <w:t>Section 267A Challenge</w:t>
      </w:r>
      <w:r>
        <w:t>:</w:t>
      </w:r>
    </w:p>
    <w:p>
      <w:r>
        <w:t>Does the Dutch deduction create a D/NI outcome?</w:t>
      </w:r>
    </w:p>
    <w:p>
      <w:pPr>
        <w:pStyle w:val="ListBullet"/>
      </w:pPr>
      <w:r>
        <w:rPr>
          <w:b/>
        </w:rPr>
        <w:t>Netherlands</w:t>
      </w:r>
      <w:r>
        <w:t>: Deduction of $30M</w:t>
      </w:r>
    </w:p>
    <w:p>
      <w:pPr>
        <w:pStyle w:val="ListBullet"/>
      </w:pPr>
      <w:r>
        <w:rPr>
          <w:b/>
        </w:rPr>
        <w:t>U.S.</w:t>
      </w:r>
      <w:r>
        <w:t>: No inclusion (Section 245A exemption)</w:t>
      </w:r>
    </w:p>
    <w:p>
      <w:pPr>
        <w:pStyle w:val="ListBullet"/>
      </w:pPr>
      <w:r>
        <w:rPr>
          <w:b/>
        </w:rPr>
        <w:t>Result</w:t>
      </w:r>
      <w:r>
        <w:t>: D/NI outcome</w:t>
      </w:r>
    </w:p>
    <w:p>
      <w:r>
        <w:rPr>
          <w:b/>
        </w:rPr>
        <w:t>Section 267A does not apply directly</w:t>
      </w:r>
      <w:r>
        <w:t xml:space="preserve"> (U.S. is not the payer), </w:t>
      </w:r>
      <w:r>
        <w:rPr>
          <w:b/>
        </w:rPr>
        <w:t>but</w:t>
      </w:r>
      <w:r>
        <w:t>:</w:t>
      </w:r>
    </w:p>
    <w:p>
      <w:r>
        <w:rPr>
          <w:b/>
        </w:rPr>
        <w:t>Defensive Rule</w:t>
      </w:r>
      <w:r>
        <w:t xml:space="preserve">: Some countries may </w:t>
      </w:r>
      <w:r>
        <w:rPr>
          <w:b/>
        </w:rPr>
        <w:t>require income inclusion</w:t>
      </w:r>
      <w:r>
        <w:t xml:space="preserve"> if they determine the U.S. has not taxed the income due to hybrid mismatch.</w:t>
      </w:r>
    </w:p>
    <w:p>
      <w:r>
        <w:rPr>
          <w:b/>
        </w:rPr>
        <w:t>ATAD Article 9 (if applicable to U.S.-Netherlands)</w:t>
      </w:r>
      <w:r>
        <w:t>:</w:t>
      </w:r>
    </w:p>
    <w:p>
      <w:r>
        <w:t>If Netherlands determines the payment results in D/NI:</w:t>
      </w:r>
    </w:p>
    <w:p>
      <w:pPr>
        <w:pStyle w:val="ListBullet"/>
      </w:pPr>
      <w:r>
        <w:rPr>
          <w:b/>
        </w:rPr>
        <w:t>Primary rule</w:t>
      </w:r>
      <w:r>
        <w:t xml:space="preserve">: Netherlands should </w:t>
      </w:r>
      <w:r>
        <w:rPr>
          <w:b/>
        </w:rPr>
        <w:t>deny deduction</w:t>
      </w:r>
    </w:p>
    <w:p>
      <w:pPr>
        <w:pStyle w:val="ListBullet"/>
      </w:pPr>
      <w:r>
        <w:rPr>
          <w:b/>
        </w:rPr>
        <w:t>Secondary rule</w:t>
      </w:r>
      <w:r>
        <w:t>: If Netherlands does not deny, U.S. should include (but U.S. has Section 245A exemption, not hybrid mismatch rule in this context)</w:t>
      </w:r>
    </w:p>
    <w:p>
      <w:r>
        <w:rPr>
          <w:b/>
        </w:rPr>
        <w:t>Practical Outcome</w:t>
      </w:r>
      <w:r>
        <w:t>:</w:t>
      </w:r>
    </w:p>
    <w:p>
      <w:r>
        <w:t xml:space="preserve">Netherlands tax authorities may </w:t>
      </w:r>
      <w:r>
        <w:rPr>
          <w:b/>
        </w:rPr>
        <w:t>deny the deduction</w:t>
      </w:r>
      <w:r>
        <w:t xml:space="preserve"> if they determine:</w:t>
      </w:r>
    </w:p>
    <w:p>
      <w:pPr>
        <w:pStyle w:val="ListNumber"/>
      </w:pPr>
      <w:r>
        <w:t xml:space="preserve">Preference shares are a </w:t>
      </w:r>
      <w:r>
        <w:rPr>
          <w:b/>
        </w:rPr>
        <w:t>hybrid instrument</w:t>
      </w:r>
    </w:p>
    <w:p>
      <w:pPr>
        <w:pStyle w:val="ListNumber"/>
      </w:pPr>
      <w:r>
        <w:t>Deduction in Netherlands with no taxation in U.S. constitutes abuse</w:t>
      </w:r>
    </w:p>
    <w:p>
      <w:pPr>
        <w:pStyle w:val="ListNumber"/>
      </w:pPr>
      <w:r>
        <w:t>ATAD Article 9 applies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Assess whether the preference share structure results in a </w:t>
      </w:r>
      <w:r>
        <w:rPr>
          <w:b/>
        </w:rPr>
        <w:t>hybrid mismatch</w:t>
      </w:r>
    </w:p>
    <w:p>
      <w:pPr>
        <w:pStyle w:val="ListNumber"/>
      </w:pPr>
      <w:r>
        <w:t xml:space="preserve">Determine the impact of </w:t>
      </w:r>
      <w:r>
        <w:rPr>
          <w:b/>
        </w:rPr>
        <w:t>Section 267A</w:t>
      </w:r>
      <w:r>
        <w:t xml:space="preserve"> and </w:t>
      </w:r>
      <w:r>
        <w:rPr>
          <w:b/>
        </w:rPr>
        <w:t>ATAD Article 9</w:t>
      </w:r>
    </w:p>
    <w:p>
      <w:pPr>
        <w:pStyle w:val="ListNumber"/>
      </w:pPr>
      <w:r>
        <w:t xml:space="preserve">Calculate the </w:t>
      </w:r>
      <w:r>
        <w:rPr>
          <w:b/>
        </w:rPr>
        <w:t>revised tax position</w:t>
      </w:r>
      <w:r>
        <w:t xml:space="preserve"> if Netherlands denies the deduction</w:t>
      </w:r>
    </w:p>
    <w:p>
      <w:pPr>
        <w:pStyle w:val="ListNumber"/>
      </w:pPr>
      <w:r>
        <w:t xml:space="preserve">Recommend </w:t>
      </w:r>
      <w:r>
        <w:rPr>
          <w:b/>
        </w:rPr>
        <w:t>alternative structuring</w:t>
      </w:r>
    </w:p>
    <w:p>
      <w:pPr>
        <w:pStyle w:val="Heading3"/>
      </w:pPr>
      <w:r>
        <w:t>Analysis</w:t>
      </w:r>
    </w:p>
    <w:p>
      <w:r>
        <w:rPr>
          <w:b/>
        </w:rPr>
        <w:t>Step 1: Hybrid Mismatch Analysis</w:t>
      </w:r>
    </w:p>
    <w:p>
      <w:r>
        <w:rPr>
          <w:b/>
        </w:rPr>
        <w:t>Instrument Classification</w:t>
      </w:r>
      <w:r>
        <w:t>:</w:t>
      </w:r>
    </w:p>
    <w:p>
      <w:pPr>
        <w:pStyle w:val="ListBullet"/>
      </w:pPr>
      <w:r>
        <w:rPr>
          <w:b/>
        </w:rPr>
        <w:t>Netherlands</w:t>
      </w:r>
      <w:r>
        <w:t>: Debt (deductible dividend)</w:t>
      </w:r>
    </w:p>
    <w:p>
      <w:pPr>
        <w:pStyle w:val="ListBullet"/>
      </w:pPr>
      <w:r>
        <w:rPr>
          <w:b/>
        </w:rPr>
        <w:t>U.S.</w:t>
      </w:r>
      <w:r>
        <w:t>: Equity (exempt dividend under Section 245A)</w:t>
      </w:r>
    </w:p>
    <w:p>
      <w:r>
        <w:rPr>
          <w:b/>
        </w:rPr>
        <w:t>Outcome</w:t>
      </w:r>
      <w:r>
        <w:t>:</w:t>
      </w:r>
    </w:p>
    <w:p>
      <w:pPr>
        <w:pStyle w:val="ListBullet"/>
      </w:pPr>
      <w:r>
        <w:t>Netherlands deduction: $30M</w:t>
      </w:r>
    </w:p>
    <w:p>
      <w:pPr>
        <w:pStyle w:val="ListBullet"/>
      </w:pPr>
      <w:r>
        <w:t>U.S. inclusion: $0 (exempt)</w:t>
      </w:r>
    </w:p>
    <w:p>
      <w:pPr>
        <w:pStyle w:val="ListBullet"/>
      </w:pPr>
      <w:r>
        <w:rPr>
          <w:b/>
        </w:rPr>
        <w:t>D/NI outcome</w:t>
      </w:r>
      <w:r>
        <w:t>: Yes</w:t>
      </w:r>
    </w:p>
    <w:p>
      <w:r>
        <w:rPr>
          <w:b/>
        </w:rPr>
        <w:t>BEPS Action 2 Application</w:t>
      </w:r>
      <w:r>
        <w:t>:</w:t>
      </w:r>
    </w:p>
    <w:p>
      <w:r>
        <w:t xml:space="preserve">This arrangement is a </w:t>
      </w:r>
      <w:r>
        <w:rPr>
          <w:b/>
        </w:rPr>
        <w:t>hybrid instrument mismatch</w:t>
      </w:r>
      <w:r>
        <w:t xml:space="preserve"> targeted by BEPS Action 2.</w:t>
      </w:r>
    </w:p>
    <w:p>
      <w:r>
        <w:rPr>
          <w:b/>
        </w:rPr>
        <w:t>Step 2: Section 267A and ATAD Article 9</w:t>
      </w:r>
    </w:p>
    <w:p>
      <w:r>
        <w:rPr>
          <w:b/>
        </w:rPr>
        <w:t>Section 267A</w:t>
      </w:r>
      <w:r>
        <w:t>: Not applicable (U.S. is recipient, not payer).</w:t>
      </w:r>
    </w:p>
    <w:p>
      <w:r>
        <w:rPr>
          <w:b/>
        </w:rPr>
        <w:t>ATAD Article 9</w:t>
      </w:r>
      <w:r>
        <w:t xml:space="preserve"> (Netherlands):</w:t>
      </w:r>
    </w:p>
    <w:p>
      <w:r>
        <w:t>If Netherlands implements ATAD Article 9 (required for EU member states):</w:t>
      </w:r>
    </w:p>
    <w:p>
      <w:r>
        <w:rPr>
          <w:b/>
        </w:rPr>
        <w:t>Primary Rule</w:t>
      </w:r>
      <w:r>
        <w:t>: Deny deduction in Netherlands for payment resulting in D/NI.</w:t>
      </w:r>
    </w:p>
    <w:p>
      <w:r>
        <w:rPr>
          <w:b/>
        </w:rPr>
        <w:t>Application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Payment: $30M preference dividend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Netherlands: Would deduct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U.S.: No inclusion (Section 245A)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Result: D/NI → Netherlands must DENY deduction</w:t>
      </w:r>
    </w:p>
    <w:p/>
    <w:p>
      <w:r>
        <w:rPr>
          <w:b/>
        </w:rPr>
        <w:t>Step 3: Revised Tax Position (Post-ATAD)</w:t>
      </w:r>
    </w:p>
    <w:p>
      <w:r>
        <w:rPr>
          <w:b/>
        </w:rPr>
        <w:t>PetroGlobal B.V. (Netherlands)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Preference dividend: $30M (non-deductible)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taxable income: Increased by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Netherlands tax: $30M × 25.8% = $7.74M</w:t>
      </w:r>
    </w:p>
    <w:p/>
    <w:p>
      <w:r>
        <w:rPr>
          <w:b/>
        </w:rPr>
        <w:t>PetroGlobal Inc. (U.S.)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 income: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245A deduction: $30M (still applies)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tax: $0</w:t>
      </w:r>
    </w:p>
    <w:p/>
    <w:p>
      <w:r>
        <w:rPr>
          <w:b/>
        </w:rPr>
        <w:t>Net Group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Original structure (pre-ATAD): $0 (Netherlands deduction offset by Section 245A exemption)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Post-ATAD structure: $7.74M (Netherlands deduction denied)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annual tax cost: $7.74M</w:t>
      </w:r>
    </w:p>
    <w:p/>
    <w:p>
      <w:r>
        <w:rPr>
          <w:b/>
        </w:rPr>
        <w:t>Step 4: Alternative Structuring</w:t>
      </w:r>
    </w:p>
    <w:p>
      <w:r>
        <w:rPr>
          <w:b/>
        </w:rPr>
        <w:t>Option 1: Straight Debt</w:t>
      </w:r>
    </w:p>
    <w:p>
      <w:r>
        <w:t xml:space="preserve">Issue </w:t>
      </w:r>
      <w:r>
        <w:rPr>
          <w:b/>
        </w:rPr>
        <w:t>conventional debt</w:t>
      </w:r>
      <w:r>
        <w:t xml:space="preserve"> (loan) instead of preference shares:</w:t>
      </w:r>
    </w:p>
    <w:p>
      <w:r>
        <w:rPr>
          <w:b/>
        </w:rPr>
        <w:t>Netherlands</w:t>
      </w:r>
      <w:r>
        <w:t>:</w:t>
      </w:r>
    </w:p>
    <w:p>
      <w:pPr>
        <w:pStyle w:val="ListBullet"/>
      </w:pPr>
      <w:r>
        <w:t>Interest deduction: $30M (deductible)</w:t>
      </w:r>
    </w:p>
    <w:p>
      <w:pPr>
        <w:pStyle w:val="ListBullet"/>
      </w:pPr>
      <w:r>
        <w:t>Tax savings: $7.74M</w:t>
      </w:r>
    </w:p>
    <w:p>
      <w:r>
        <w:rPr>
          <w:b/>
        </w:rPr>
        <w:t>U.S.</w:t>
      </w:r>
      <w:r>
        <w:t>:</w:t>
      </w:r>
    </w:p>
    <w:p>
      <w:pPr>
        <w:pStyle w:val="ListBullet"/>
      </w:pPr>
      <w:r>
        <w:t>Interest income: $30M (taxable)</w:t>
      </w:r>
    </w:p>
    <w:p>
      <w:pPr>
        <w:pStyle w:val="ListBullet"/>
      </w:pPr>
      <w:r>
        <w:t>U.S. tax at 21%: $6.3M</w:t>
      </w:r>
    </w:p>
    <w:p>
      <w:r>
        <w:rPr>
          <w:b/>
        </w:rPr>
        <w:t>Net group tax</w:t>
      </w:r>
      <w:r>
        <w:t xml:space="preserve">: $6.3M - $7.74M = </w:t>
      </w:r>
      <w:r>
        <w:rPr>
          <w:b/>
        </w:rPr>
        <w:t>$(1.44M)</w:t>
      </w:r>
      <w:r>
        <w:t xml:space="preserve"> (net benefit)</w:t>
      </w:r>
    </w:p>
    <w:p>
      <w:r>
        <w:rPr>
          <w:b/>
        </w:rPr>
        <w:t>Limitation</w:t>
      </w:r>
      <w:r>
        <w:t>: U.S. taxation on interest ($6.3M) vs. no taxation under original structure.</w:t>
      </w:r>
    </w:p>
    <w:p>
      <w:r>
        <w:rPr>
          <w:b/>
        </w:rPr>
        <w:t>Option 2: Equity Funding</w:t>
      </w:r>
    </w:p>
    <w:p>
      <w:r>
        <w:t xml:space="preserve">Provide funding as </w:t>
      </w:r>
      <w:r>
        <w:rPr>
          <w:b/>
        </w:rPr>
        <w:t>ordinary equity</w:t>
      </w:r>
      <w:r>
        <w:t>:</w:t>
      </w:r>
    </w:p>
    <w:p>
      <w:r>
        <w:rPr>
          <w:b/>
        </w:rPr>
        <w:t>Netherlands</w:t>
      </w:r>
      <w:r>
        <w:t>:</w:t>
      </w:r>
    </w:p>
    <w:p>
      <w:pPr>
        <w:pStyle w:val="ListBullet"/>
      </w:pPr>
      <w:r>
        <w:t>No deduction (dividends on ordinary shares non-deductible)</w:t>
      </w:r>
    </w:p>
    <w:p>
      <w:pPr>
        <w:pStyle w:val="ListBullet"/>
      </w:pPr>
      <w:r>
        <w:t>No tax benefit</w:t>
      </w:r>
    </w:p>
    <w:p>
      <w:r>
        <w:rPr>
          <w:b/>
        </w:rPr>
        <w:t>U.S.</w:t>
      </w:r>
      <w:r>
        <w:t>:</w:t>
      </w:r>
    </w:p>
    <w:p>
      <w:pPr>
        <w:pStyle w:val="ListBullet"/>
      </w:pPr>
      <w:r>
        <w:t>Dividend income: $30M</w:t>
      </w:r>
    </w:p>
    <w:p>
      <w:pPr>
        <w:pStyle w:val="ListBullet"/>
      </w:pPr>
      <w:r>
        <w:t>Section 245A exemption: $30M</w:t>
      </w:r>
    </w:p>
    <w:p>
      <w:pPr>
        <w:pStyle w:val="ListBullet"/>
      </w:pPr>
      <w:r>
        <w:t>U.S. tax: $0</w:t>
      </w:r>
    </w:p>
    <w:p>
      <w:r>
        <w:rPr>
          <w:b/>
        </w:rPr>
        <w:t>Net group tax</w:t>
      </w:r>
      <w:r>
        <w:t xml:space="preserve">: </w:t>
      </w:r>
      <w:r>
        <w:rPr>
          <w:b/>
        </w:rPr>
        <w:t>$0</w:t>
      </w:r>
      <w:r>
        <w:t xml:space="preserve"> (but no Netherlands deduction benefit)</w:t>
      </w:r>
    </w:p>
    <w:p>
      <w:r>
        <w:rPr>
          <w:b/>
        </w:rPr>
        <w:t>Option 3: Genuine Debt (External Lender)</w:t>
      </w:r>
    </w:p>
    <w:p>
      <w:r>
        <w:t xml:space="preserve">PetroGlobal B.V. borrows $500M from </w:t>
      </w:r>
      <w:r>
        <w:rPr>
          <w:b/>
        </w:rPr>
        <w:t>external bank</w:t>
      </w:r>
      <w:r>
        <w:t>:</w:t>
      </w:r>
    </w:p>
    <w:p>
      <w:r>
        <w:rPr>
          <w:b/>
        </w:rPr>
        <w:t>Netherlands</w:t>
      </w:r>
      <w:r>
        <w:t>:</w:t>
      </w:r>
    </w:p>
    <w:p>
      <w:pPr>
        <w:pStyle w:val="ListBullet"/>
      </w:pPr>
      <w:r>
        <w:t>Interest deduction: $30M (arm's length rate)</w:t>
      </w:r>
    </w:p>
    <w:p>
      <w:pPr>
        <w:pStyle w:val="ListBullet"/>
      </w:pPr>
      <w:r>
        <w:t>Tax savings: $7.74M</w:t>
      </w:r>
    </w:p>
    <w:p>
      <w:r>
        <w:rPr>
          <w:b/>
        </w:rPr>
        <w:t>No hybrid mismatch</w:t>
      </w:r>
      <w:r>
        <w:t xml:space="preserve"> (third-party debt, genuine commercial terms)</w:t>
      </w:r>
    </w:p>
    <w:p>
      <w:r>
        <w:rPr>
          <w:b/>
        </w:rPr>
        <w:t>PetroGlobal Inc.</w:t>
      </w:r>
      <w:r>
        <w:t xml:space="preserve">: Provides </w:t>
      </w:r>
      <w:r>
        <w:rPr>
          <w:b/>
        </w:rPr>
        <w:t>equity guarantee</w:t>
      </w:r>
      <w:r>
        <w:t xml:space="preserve"> (may trigger guarantee fee income, but avoids hybrid mismatch).</w:t>
      </w:r>
    </w:p>
    <w:p>
      <w:r>
        <w:rPr>
          <w:b/>
        </w:rPr>
        <w:t>Recommendation</w:t>
      </w:r>
      <w:r>
        <w:t>:</w:t>
      </w:r>
    </w:p>
    <w:p>
      <w:r>
        <w:rPr>
          <w:b/>
        </w:rPr>
        <w:t>Option 3</w:t>
      </w:r>
      <w:r>
        <w:t xml:space="preserve"> is optimal:</w:t>
      </w:r>
    </w:p>
    <w:p>
      <w:pPr>
        <w:pStyle w:val="ListBullet"/>
      </w:pPr>
      <w:r>
        <w:rPr>
          <w:b/>
        </w:rPr>
        <w:t>Preserves Netherlands deduction</w:t>
      </w:r>
      <w:r>
        <w:t xml:space="preserve"> ($7.74M benefit)</w:t>
      </w:r>
    </w:p>
    <w:p>
      <w:pPr>
        <w:pStyle w:val="ListBullet"/>
      </w:pPr>
      <w:r>
        <w:rPr>
          <w:b/>
        </w:rPr>
        <w:t>Avoids hybrid mismatch</w:t>
      </w:r>
      <w:r>
        <w:t xml:space="preserve"> (external debt)</w:t>
      </w:r>
    </w:p>
    <w:p>
      <w:pPr>
        <w:pStyle w:val="ListBullet"/>
      </w:pPr>
      <w:r>
        <w:rPr>
          <w:b/>
        </w:rPr>
        <w:t>No U.S. tax</w:t>
      </w:r>
      <w:r>
        <w:t xml:space="preserve"> (no interest income to U.S. parent)</w:t>
      </w:r>
    </w:p>
    <w:p>
      <w:r>
        <w:rPr>
          <w:b/>
        </w:rPr>
        <w:t>Cost</w:t>
      </w:r>
      <w:r>
        <w:t xml:space="preserve">: External borrowing rate may be higher than 6% (e.g., 7-8%), increasing interest expense, but </w:t>
      </w:r>
      <w:r>
        <w:rPr>
          <w:b/>
        </w:rPr>
        <w:t>net benefit</w:t>
      </w:r>
      <w:r>
        <w:t xml:space="preserve"> remains positive.</w:t>
      </w:r>
    </w:p>
    <w:p>
      <w:pPr>
        <w:spacing w:before="120" w:after="120"/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