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70: The Importance of Carbon Pricing and Carbon Capture Use and Storage (CCUS)</w:t>
      </w:r>
    </w:p>
    <w:p>
      <w:pPr>
        <w:pStyle w:val="Heading2"/>
      </w:pPr>
      <w:r>
        <w:t>1. Introduction</w:t>
      </w:r>
    </w:p>
    <w:p>
      <w:r>
        <w:t>Climate change poses one of the most significant challenges to global economic stability and environmental sustainability. The extractive industries, particularly oil and gas sectors, face increasing pressure to reduce greenhouse gas (GHG) emissions while maintaining energy security. **Carbon pricing** and **carbon capture, use and storage (CCUS)** have emerged as critical policy instruments to address this challenge. This chapter examines the mechanisms, effectiveness, and tax implications of these instruments within the international tax context of energy resources.</w:t>
      </w:r>
    </w:p>
    <w:p>
      <w:pPr>
        <w:pStyle w:val="Heading2"/>
      </w:pPr>
      <w:r>
        <w:t>2. The Fundamentals of Carbon Pricing</w:t>
      </w:r>
    </w:p>
    <w:p>
      <w:pPr>
        <w:pStyle w:val="Heading3"/>
      </w:pPr>
      <w:r>
        <w:t>2.1 Definition and Purpose</w:t>
      </w:r>
    </w:p>
    <w:p>
      <w:r>
        <w:t>**Carbon pricing** is an instrument of environmental cost internalization that places a monetary value on greenhouse gas emissions, primarily carbon dioxide (CO2). The fundamental principle, known as the **"polluter pays" principle**, is that entities responsible for GHG emissions should bear the cost of the environmental damage they cause, thereby incentivizing emission reductions. This addresses the market failure where environmental costs are externalized—borne by society rather than the emitting entity—creating economic incentives for cleaner production methods [World Bank, 2024].</w:t>
      </w:r>
    </w:p>
    <w:p>
      <w:r>
        <w:t>The primary objectives of carbon pricing include:</w:t>
      </w:r>
    </w:p>
    <w:p>
      <w:pPr>
        <w:pStyle w:val="ListBullet"/>
      </w:pPr>
      <w:r>
        <w:t>Reducing GHG emissions by making polluting activities more expensive</w:t>
      </w:r>
    </w:p>
    <w:p>
      <w:pPr>
        <w:pStyle w:val="ListBullet"/>
      </w:pPr>
      <w:r>
        <w:t>Creating economic incentives for clean technology adoption</w:t>
      </w:r>
    </w:p>
    <w:p>
      <w:pPr>
        <w:pStyle w:val="ListBullet"/>
      </w:pPr>
      <w:r>
        <w:t>Generating government revenue for climate mitigation and adaptation</w:t>
      </w:r>
    </w:p>
    <w:p>
      <w:pPr>
        <w:pStyle w:val="ListBullet"/>
      </w:pPr>
      <w:r>
        <w:t>Encouraging energy efficiency and renewable energy investment</w:t>
      </w:r>
    </w:p>
    <w:p>
      <w:pPr>
        <w:pStyle w:val="ListBullet"/>
      </w:pPr>
      <w:r>
        <w:t>Addressing market failures where environmental costs are externalized</w:t>
      </w:r>
    </w:p>
    <w:p>
      <w:pPr>
        <w:pStyle w:val="Heading3"/>
      </w:pPr>
      <w:r>
        <w:t>2.2 Types of Carbon Pricing Mechanisms</w:t>
      </w:r>
    </w:p>
    <w:p>
      <w:r>
        <w:t>There are two principal carbon pricing mechanisms, each with distinct characteristics:</w:t>
      </w:r>
    </w:p>
    <w:p>
      <w:r>
        <w:t>**Table 1: Comparison of Carbon Pricing Mechanisms**</w:t>
      </w:r>
    </w:p>
    <w:p>
      <w:r>
        <w:t>| Feature | Carbon Tax | Emissions Trading System (ETS) |</w:t>
      </w:r>
    </w:p>
    <w:p>
      <w:r>
        <w:t>|---------|-----------|-------------------------------|</w:t>
      </w:r>
    </w:p>
    <w:p>
      <w:r>
        <w:t>| **Price Certainty** | Fixed price per tonne CO2 | Market-determined price |</w:t>
      </w:r>
    </w:p>
    <w:p>
      <w:r>
        <w:t>| **Emission Certainty** | Uncertain emission outcomes | Guaranteed emission cap |</w:t>
      </w:r>
    </w:p>
    <w:p>
      <w:r>
        <w:t>| **Implementation** | Via tax authority | Requires trading infrastructure |</w:t>
      </w:r>
    </w:p>
    <w:p>
      <w:r>
        <w:t>| **Flexibility** | Lower for covered entities | Higher market flexibility |</w:t>
      </w:r>
    </w:p>
    <w:p>
      <w:r>
        <w:t>| **Administrative Complexity** | Lower | Higher |</w:t>
      </w:r>
    </w:p>
    <w:p>
      <w:r>
        <w:t>| **Revenue Predictability** | High | Variable |</w:t>
      </w:r>
    </w:p>
    <w:p>
      <w:r>
        <w:t>| **Coverage** | Typically broad | Can be sector-specific |</w:t>
      </w:r>
    </w:p>
    <w:p>
      <w:pPr>
        <w:pStyle w:val="Heading4"/>
      </w:pPr>
      <w:r>
        <w:t>2.2.1 Carbon Tax</w:t>
      </w:r>
    </w:p>
    <w:p>
      <w:r>
        <w:t>A **carbon tax** is an excise tax levied on producers of fossil fuels based on the carbon content of those fuels. Under this mechanism, governments set a price that emitters must pay for each tonne of GHG emissions [UN Handbook, 2021]. The tax can be applied:</w:t>
      </w:r>
    </w:p>
    <w:p>
      <w:pPr>
        <w:pStyle w:val="ListBullet"/>
      </w:pPr>
      <w:r>
        <w:t>**Upstream**: At the point of fuel production or import (lower administrative cost, as fewer collection points exist)</w:t>
      </w:r>
    </w:p>
    <w:p>
      <w:pPr>
        <w:pStyle w:val="ListBullet"/>
      </w:pPr>
      <w:r>
        <w:t>**Downstream**: At the point of emission (requires **monitoring, reporting and verification (MRV)** systems to track actual emissions at each facility)</w:t>
      </w:r>
    </w:p>
    <w:p>
      <w:r>
        <w:t>Key characteristics include:</w:t>
      </w:r>
    </w:p>
    <w:p>
      <w:pPr>
        <w:pStyle w:val="ListBullet"/>
      </w:pPr>
      <w:r>
        <w:t>**Price certainty**: The tax rate is known in advance, providing clear investment signals</w:t>
      </w:r>
    </w:p>
    <w:p>
      <w:pPr>
        <w:pStyle w:val="ListBullet"/>
      </w:pPr>
      <w:r>
        <w:t>**Broad application**: Can cover all fossil fuel use across sectors</w:t>
      </w:r>
    </w:p>
    <w:p>
      <w:pPr>
        <w:pStyle w:val="ListBullet"/>
      </w:pPr>
      <w:r>
        <w:t>**Revenue generation**: Provides stable government revenue streams</w:t>
      </w:r>
    </w:p>
    <w:p>
      <w:pPr>
        <w:pStyle w:val="ListBullet"/>
      </w:pPr>
      <w:r>
        <w:t>**Administrative simplicity**: Can leverage existing tax collection systems</w:t>
      </w:r>
    </w:p>
    <w:p>
      <w:r>
        <w:t>As of 2024, carbon taxes have been implemented in approximately **37 national and subnational jurisdictions** worldwide, including Canada (federal and provincial levels), Singapore, South Africa, Chile, Colombia, and multiple European countries such as Sweden, Finland, Norway, France, and the Netherlands [World Bank State and Trends of Carbon Pricing, 2024].</w:t>
      </w:r>
    </w:p>
    <w:p>
      <w:pPr>
        <w:pStyle w:val="Heading4"/>
      </w:pPr>
      <w:r>
        <w:t>2.2.2 Emissions Trading Systems (Cap-and-Trade)</w:t>
      </w:r>
    </w:p>
    <w:p>
      <w:r>
        <w:t>An **ETS**, also termed a cap-and-trade system, establishes a maximum limit (cap) on total GHG emissions from covered sources. The government issues emission allowances consistent with the cap, where each allowance permits the emission of one tonne of CO2 equivalent. Companies must surrender allowances equal to their emissions and may buy or sell allowances, thereby establishing a market price for emissions [EU Commission, 2024].</w:t>
      </w:r>
    </w:p>
    <w:p>
      <w:r>
        <w:t>The mechanism operates through five key steps:</w:t>
      </w:r>
    </w:p>
    <w:p>
      <w:pPr>
        <w:pStyle w:val="ListBullet"/>
      </w:pPr>
      <w:r>
        <w:t>**Cap Setting**: Government establishes total emission limit for covered sectors</w:t>
      </w:r>
    </w:p>
    <w:p>
      <w:pPr>
        <w:pStyle w:val="ListBullet"/>
      </w:pPr>
      <w:r>
        <w:t>**Allowance Allocation**: Permits distributed via auction or free allocation</w:t>
      </w:r>
    </w:p>
    <w:p>
      <w:pPr>
        <w:pStyle w:val="ListBullet"/>
      </w:pPr>
      <w:r>
        <w:t>**Compliance Period**: Companies monitor and report emissions</w:t>
      </w:r>
    </w:p>
    <w:p>
      <w:pPr>
        <w:pStyle w:val="ListBullet"/>
      </w:pPr>
      <w:r>
        <w:t>**Trading**: Market participants buy/sell allowances based on abatement costs</w:t>
      </w:r>
    </w:p>
    <w:p>
      <w:pPr>
        <w:pStyle w:val="ListBullet"/>
      </w:pPr>
      <w:r>
        <w:t>**Surrender**: Entities must hold allowances equal to emissions; penalties apply for non-compliance</w:t>
      </w:r>
    </w:p>
    <w:p>
      <w:r>
        <w:t>The **EU Emissions Trading System (EU ETS)**, launched in 2005, is the world's largest carbon market. By 2024, it covered approximately **10,000 installations** in power generation and industrial manufacturing, representing about **45% of EU greenhouse gas emissions**. The system has achieved a **47.6% reduction** in covered sector emissions compared to 2005 levels, demonstrating significant effectiveness in driving decarbonization [EU Commission, 2024].</w:t>
      </w:r>
    </w:p>
    <w:p>
      <w:pPr>
        <w:pStyle w:val="Heading2"/>
      </w:pPr>
      <w:r>
        <w:t>3. Carbon Pricing: Mechanisms and Effectiveness</w:t>
      </w:r>
    </w:p>
    <w:p>
      <w:pPr>
        <w:pStyle w:val="Heading3"/>
      </w:pPr>
      <w:r>
        <w:t>3.1 How Carbon Pricing Drives Emission Reductions</w:t>
      </w:r>
    </w:p>
    <w:p>
      <w:r>
        <w:t>Carbon pricing creates emission reductions through multiple channels:</w:t>
      </w:r>
    </w:p>
    <w:p>
      <w:r>
        <w:t>**Economic Incentive Channel**:</w:t>
      </w:r>
    </w:p>
    <w:p>
      <w:pPr>
        <w:pStyle w:val="ListBullet"/>
      </w:pPr>
      <w:r>
        <w:t>Increases relative cost of carbon-intensive activities</w:t>
      </w:r>
    </w:p>
    <w:p>
      <w:pPr>
        <w:pStyle w:val="ListBullet"/>
      </w:pPr>
      <w:r>
        <w:t>Makes low-carbon alternatives economically competitive</w:t>
      </w:r>
    </w:p>
    <w:p>
      <w:pPr>
        <w:pStyle w:val="ListBullet"/>
      </w:pPr>
      <w:r>
        <w:t>Drives fuel switching (e.g., coal to natural gas, renewable energy)</w:t>
      </w:r>
    </w:p>
    <w:p>
      <w:r>
        <w:t>**Innovation Channel**:</w:t>
      </w:r>
    </w:p>
    <w:p>
      <w:pPr>
        <w:pStyle w:val="ListBullet"/>
      </w:pPr>
      <w:r>
        <w:t>Provides continuous incentive for technological innovation</w:t>
      </w:r>
    </w:p>
    <w:p>
      <w:pPr>
        <w:pStyle w:val="ListBullet"/>
      </w:pPr>
      <w:r>
        <w:t>Rewards development of clean technologies</w:t>
      </w:r>
    </w:p>
    <w:p>
      <w:pPr>
        <w:pStyle w:val="ListBullet"/>
      </w:pPr>
      <w:r>
        <w:t>Accelerates deployment of emission reduction solutions</w:t>
      </w:r>
    </w:p>
    <w:p>
      <w:r>
        <w:t>**Behavioral Channel**:</w:t>
      </w:r>
    </w:p>
    <w:p>
      <w:pPr>
        <w:pStyle w:val="ListBullet"/>
      </w:pPr>
      <w:r>
        <w:t>Signals long-term policy commitment</w:t>
      </w:r>
    </w:p>
    <w:p>
      <w:pPr>
        <w:pStyle w:val="ListBullet"/>
      </w:pPr>
      <w:r>
        <w:t>Influences investment decisions across decades</w:t>
      </w:r>
    </w:p>
    <w:p>
      <w:pPr>
        <w:pStyle w:val="ListBullet"/>
      </w:pPr>
      <w:r>
        <w:t>Changes consumer and producer behavior</w:t>
      </w:r>
    </w:p>
    <w:p>
      <w:r>
        <w:t>**Revenue Recycling Channel**:</w:t>
      </w:r>
    </w:p>
    <w:p>
      <w:pPr>
        <w:pStyle w:val="ListBullet"/>
      </w:pPr>
      <w:r>
        <w:t>Generates funds for green infrastructure investment</w:t>
      </w:r>
    </w:p>
    <w:p>
      <w:pPr>
        <w:pStyle w:val="ListBullet"/>
      </w:pPr>
      <w:r>
        <w:t>Enables compensation for vulnerable groups</w:t>
      </w:r>
    </w:p>
    <w:p>
      <w:pPr>
        <w:pStyle w:val="ListBullet"/>
      </w:pPr>
      <w:r>
        <w:t>Finances research and development in clean technologies</w:t>
      </w:r>
    </w:p>
    <w:p>
      <w:pPr>
        <w:pStyle w:val="Heading3"/>
      </w:pPr>
      <w:r>
        <w:t>3.2 Effectiveness: Empirical Evidence</w:t>
      </w:r>
    </w:p>
    <w:p>
      <w:pPr>
        <w:pStyle w:val="Heading4"/>
      </w:pPr>
      <w:r>
        <w:t>3.2.1 EU ETS Performance</w:t>
      </w:r>
    </w:p>
    <w:p>
      <w:r>
        <w:t>The EU ETS has demonstrated substantial effectiveness despite initial design challenges:</w:t>
      </w:r>
    </w:p>
    <w:p>
      <w:pPr>
        <w:pStyle w:val="ListBullet"/>
      </w:pPr>
      <w:r>
        <w:t>**Emission reductions**: 47.6% decline in covered sectors (2005-2023)</w:t>
      </w:r>
    </w:p>
    <w:p>
      <w:pPr>
        <w:pStyle w:val="ListBullet"/>
      </w:pPr>
      <w:r>
        <w:t>**Economic neutrality**: Academic research confirms 14-16% emissions reduction by regulated manufacturers with no detectable contraction in economic activity [Oxford Academic, 2024]</w:t>
      </w:r>
    </w:p>
    <w:p>
      <w:pPr>
        <w:pStyle w:val="ListBullet"/>
      </w:pPr>
      <w:r>
        <w:t>**Global impact**: Evidence shows the EU ETS induced global emissions reductions, not merely emissions leakage to uncovered jurisdictions</w:t>
      </w:r>
    </w:p>
    <w:p>
      <w:pPr>
        <w:pStyle w:val="ListBullet"/>
      </w:pPr>
      <w:r>
        <w:t>**Price evolution**: Allowance prices increased from €7/tonne (2017) to €63/tonne (2021), providing stronger abatement signals</w:t>
      </w:r>
    </w:p>
    <w:p>
      <w:pPr>
        <w:pStyle w:val="Heading4"/>
      </w:pPr>
      <w:r>
        <w:t>3.2.2 Carbon Tax Effectiveness</w:t>
      </w:r>
    </w:p>
    <w:p>
      <w:r>
        <w:t>Countries implementing carbon taxes have achieved measurable emission reductions:</w:t>
      </w:r>
    </w:p>
    <w:p>
      <w:pPr>
        <w:pStyle w:val="ListBullet"/>
      </w:pPr>
      <w:r>
        <w:t>**Sweden**: Carbon tax of approximately €126/tonne CO2 (as of 2024, among world's highest) contributed to significant emission reductions since 1990 while GDP doubled. Studies indicate that without carbon pricing, Sweden's emissions would have been approximately 30% higher</w:t>
      </w:r>
    </w:p>
    <w:p>
      <w:pPr>
        <w:pStyle w:val="ListBullet"/>
      </w:pPr>
      <w:r>
        <w:t>**British Columbia**: Carbon tax implemented 2008 resulted in 5-15% emission reduction in covered sectors</w:t>
      </w:r>
    </w:p>
    <w:p>
      <w:pPr>
        <w:pStyle w:val="ListBullet"/>
      </w:pPr>
      <w:r>
        <w:t>**Singapore**: First Southeast Asian carbon tax (2019) set at S$5/tonne, escalating to S$50-80/tonne by 2030</w:t>
      </w:r>
    </w:p>
    <w:p>
      <w:pPr>
        <w:pStyle w:val="Heading3"/>
      </w:pPr>
      <w:r>
        <w:t>3.3 Design Considerations for Oil and Gas Sector</w:t>
      </w:r>
    </w:p>
    <w:p>
      <w:r>
        <w:t>The oil and gas industry faces specific considerations under carbon pricing mechanisms:</w:t>
      </w:r>
    </w:p>
    <w:p>
      <w:r>
        <w:t>**Production Emissions**:</w:t>
      </w:r>
    </w:p>
    <w:p>
      <w:pPr>
        <w:pStyle w:val="ListBullet"/>
      </w:pPr>
      <w:r>
        <w:t>Upstream operations (exploration, extraction, processing)</w:t>
      </w:r>
    </w:p>
    <w:p>
      <w:pPr>
        <w:pStyle w:val="ListBullet"/>
      </w:pPr>
      <w:r>
        <w:t>Fugitive methane emissions from wells and pipelines</w:t>
      </w:r>
    </w:p>
    <w:p>
      <w:pPr>
        <w:pStyle w:val="ListBullet"/>
      </w:pPr>
      <w:r>
        <w:t>Energy consumption in extraction processes</w:t>
      </w:r>
    </w:p>
    <w:p>
      <w:r>
        <w:t>**Combustion Emissions**:</w:t>
      </w:r>
    </w:p>
    <w:p>
      <w:pPr>
        <w:pStyle w:val="ListBullet"/>
      </w:pPr>
      <w:r>
        <w:t>Downstream combustion of produced hydrocarbons</w:t>
      </w:r>
    </w:p>
    <w:p>
      <w:pPr>
        <w:pStyle w:val="ListBullet"/>
      </w:pPr>
      <w:r>
        <w:t>Flaring and venting practices</w:t>
      </w:r>
    </w:p>
    <w:p>
      <w:pPr>
        <w:pStyle w:val="ListBullet"/>
      </w:pPr>
      <w:r>
        <w:t>Refinery operations</w:t>
      </w:r>
    </w:p>
    <w:p>
      <w:r>
        <w:t>**Competitive Impacts**:</w:t>
      </w:r>
    </w:p>
    <w:p>
      <w:pPr>
        <w:pStyle w:val="ListBullet"/>
      </w:pPr>
      <w:r>
        <w:t>Risk of carbon leakage to jurisdictions without carbon pricing</w:t>
      </w:r>
    </w:p>
    <w:p>
      <w:pPr>
        <w:pStyle w:val="ListBullet"/>
      </w:pPr>
      <w:r>
        <w:t>Impact on investment decisions in high-cost fields</w:t>
      </w:r>
    </w:p>
    <w:p>
      <w:pPr>
        <w:pStyle w:val="ListBullet"/>
      </w:pPr>
      <w:r>
        <w:t>Influence on reserve valuation and stranded asset risk</w:t>
      </w:r>
    </w:p>
    <w:p>
      <w:pPr>
        <w:pStyle w:val="Heading2"/>
      </w:pPr>
      <w:r>
        <w:t>4. Carbon Capture, Use and Storage (CCUS)</w:t>
      </w:r>
    </w:p>
    <w:p>
      <w:pPr>
        <w:pStyle w:val="Heading3"/>
      </w:pPr>
      <w:r>
        <w:t>4.1 Definition and Technology Overview</w:t>
      </w:r>
    </w:p>
    <w:p>
      <w:r>
        <w:t>**Carbon capture, use and storage (CCUS)** encompasses technologies that capture CO2 emissions from large point sources (power plants, industrial facilities, oil and gas operations), transport the captured CO2, and either utilize it in industrial processes or store it permanently in geological formations [IEA, 2024].</w:t>
      </w:r>
    </w:p>
    <w:p>
      <w:r>
        <w:t>**Table 2: CCUS Technology Components**</w:t>
      </w:r>
    </w:p>
    <w:p>
      <w:r>
        <w:t>| Component | Description | Application in Oil &amp; Gas |</w:t>
      </w:r>
    </w:p>
    <w:p>
      <w:r>
        <w:t>|-----------|-------------|-------------------------|</w:t>
      </w:r>
    </w:p>
    <w:p>
      <w:r>
        <w:t>| **Capture** | Separation of CO2 from other gases | Processing facilities, power generation |</w:t>
      </w:r>
    </w:p>
    <w:p>
      <w:r>
        <w:t>| **Transport** | Pipeline or shipping of compressed CO2 | Re-use existing infrastructure possible |</w:t>
      </w:r>
    </w:p>
    <w:p>
      <w:r>
        <w:t>| **Utilization** | Use of CO2 in industrial processes | Enhanced Oil Recovery (EOR) |</w:t>
      </w:r>
    </w:p>
    <w:p>
      <w:r>
        <w:t>| **Storage** | Permanent geological sequestration | Depleted reservoirs, saline aquifers |</w:t>
      </w:r>
    </w:p>
    <w:p>
      <w:pPr>
        <w:pStyle w:val="Heading3"/>
      </w:pPr>
      <w:r>
        <w:t>4.2 CCUS in the Energy Transition</w:t>
      </w:r>
    </w:p>
    <w:p>
      <w:r>
        <w:t>CCUS plays a critical role in decarbonization strategies for multiple reasons:</w:t>
      </w:r>
    </w:p>
    <w:p>
      <w:pPr>
        <w:pStyle w:val="ListBullet"/>
      </w:pPr>
      <w:r>
        <w:t>**Hard-to-Abate Sectors**: Enables emission reduction in sectors where alternatives are limited (cement, steel, chemicals)</w:t>
      </w:r>
    </w:p>
    <w:p>
      <w:pPr>
        <w:pStyle w:val="ListBullet"/>
      </w:pPr>
      <w:r>
        <w:t>**Existing Infrastructure**: Oil and gas companies possess geological expertise and infrastructure</w:t>
      </w:r>
    </w:p>
    <w:p>
      <w:pPr>
        <w:pStyle w:val="ListBullet"/>
      </w:pPr>
      <w:r>
        <w:t>**Negative Emissions**: Direct Air Capture (DAC) with storage can remove historical emissions</w:t>
      </w:r>
    </w:p>
    <w:p>
      <w:pPr>
        <w:pStyle w:val="ListBullet"/>
      </w:pPr>
      <w:r>
        <w:t>**Continued Hydrocarbon Use**: Allows continued fossil fuel use with significantly reduced emissions</w:t>
      </w:r>
    </w:p>
    <w:p>
      <w:pPr>
        <w:pStyle w:val="Heading3"/>
      </w:pPr>
      <w:r>
        <w:t>4.3 Current CCUS Deployment</w:t>
      </w:r>
    </w:p>
    <w:p>
      <w:r>
        <w:t>As of 2024:</w:t>
      </w:r>
    </w:p>
    <w:p>
      <w:pPr>
        <w:pStyle w:val="ListBullet"/>
      </w:pPr>
      <w:r>
        <w:t>**Operating facilities**: Approximately 44-50 commercial CCUS facilities worldwide</w:t>
      </w:r>
    </w:p>
    <w:p>
      <w:pPr>
        <w:pStyle w:val="ListBullet"/>
      </w:pPr>
      <w:r>
        <w:t>**Capture capacity**: About 50 million tonnes CO2 per year</w:t>
      </w:r>
    </w:p>
    <w:p>
      <w:pPr>
        <w:pStyle w:val="ListBullet"/>
      </w:pPr>
      <w:r>
        <w:t>**Planned projects**: Over 600 projects in development pipeline globally</w:t>
      </w:r>
    </w:p>
    <w:p>
      <w:pPr>
        <w:pStyle w:val="ListBullet"/>
      </w:pPr>
      <w:r>
        <w:t>**US leadership**: 15-17 operating facilities located in United States (representing North America's capture capacity of approximately 26.5 million tonnes per annum)</w:t>
      </w:r>
    </w:p>
    <w:p>
      <w:pPr>
        <w:pStyle w:val="ListBullet"/>
      </w:pPr>
      <w:r>
        <w:t>**Primary use**: Majority of US facilities use captured CO2 for Enhanced Oil Recovery (EOR), while over 60% of global operational capture capacity is at natural gas processing facilities</w:t>
      </w:r>
    </w:p>
    <w:p>
      <w:pPr>
        <w:pStyle w:val="Heading2"/>
      </w:pPr>
      <w:r>
        <w:t>5. Tax Policy and CCUS</w:t>
      </w:r>
    </w:p>
    <w:p>
      <w:pPr>
        <w:pStyle w:val="Heading3"/>
      </w:pPr>
      <w:r>
        <w:t>5.1 Tax Incentives for CCUS Deployment</w:t>
      </w:r>
    </w:p>
    <w:p>
      <w:r>
        <w:t>Governments have introduced substantial tax incentives to accelerate CCUS deployment:</w:t>
      </w:r>
    </w:p>
    <w:p>
      <w:pPr>
        <w:pStyle w:val="Heading4"/>
      </w:pPr>
      <w:r>
        <w:t>5.1.1 United States Section 45Q Tax Credit</w:t>
      </w:r>
    </w:p>
    <w:p>
      <w:r>
        <w:t>The **Inflation Reduction Act of 2022 (IRA)**, enacted August 16, 2022, significantly expanded the Section 45Q tax credit to accelerate CCUS deployment and support decarbonization of industrial sectors. The policy rationale is to bridge the economic viability gap for CCUS technologies by providing substantial financial incentives that make carbon capture competitive with unabated emissions:</w:t>
      </w:r>
    </w:p>
    <w:p>
      <w:r>
        <w:t>**Credit Values (per tonne CO2)**:</w:t>
      </w:r>
    </w:p>
    <w:p>
      <w:pPr>
        <w:pStyle w:val="ListBullet"/>
      </w:pPr>
      <w:r>
        <w:t>**Saline geological storage**: $85/tonne</w:t>
      </w:r>
    </w:p>
    <w:p>
      <w:pPr>
        <w:pStyle w:val="ListBullet"/>
      </w:pPr>
      <w:r>
        <w:t>**Enhanced Oil Recovery (EOR)**: $60/tonne</w:t>
      </w:r>
    </w:p>
    <w:p>
      <w:pPr>
        <w:pStyle w:val="ListBullet"/>
      </w:pPr>
      <w:r>
        <w:t>**Direct Air Capture (DAC) with storage**: $180/tonne</w:t>
      </w:r>
    </w:p>
    <w:p>
      <w:pPr>
        <w:pStyle w:val="ListBullet"/>
      </w:pPr>
      <w:r>
        <w:t>**Direct Air Capture (DAC) with EOR**: $130/tonne</w:t>
      </w:r>
    </w:p>
    <w:p>
      <w:r>
        <w:t>**Key Provisions**:</w:t>
      </w:r>
    </w:p>
    <w:p>
      <w:pPr>
        <w:pStyle w:val="ListBullet"/>
      </w:pPr>
      <w:r>
        <w:t>**Eligibility period**: Projects beginning construction before January 1, 2033</w:t>
      </w:r>
    </w:p>
    <w:p>
      <w:pPr>
        <w:pStyle w:val="ListBullet"/>
      </w:pPr>
      <w:r>
        <w:t>**Credit duration**: 12 years once facility is operational</w:t>
      </w:r>
    </w:p>
    <w:p>
      <w:pPr>
        <w:pStyle w:val="ListBullet"/>
      </w:pPr>
      <w:r>
        <w:t>**Capture thresholds**: Reduced to 12,500 tonnes/year (previously 100,000)</w:t>
      </w:r>
    </w:p>
    <w:p>
      <w:pPr>
        <w:pStyle w:val="ListBullet"/>
      </w:pPr>
      <w:r>
        <w:t>**Direct pay option**: Entities can receive credit as direct payment for first 5 years</w:t>
      </w:r>
    </w:p>
    <w:p>
      <w:pPr>
        <w:pStyle w:val="ListBullet"/>
      </w:pPr>
      <w:r>
        <w:t>**Transferability**: Credits can be transferred to third parties</w:t>
      </w:r>
    </w:p>
    <w:p>
      <w:r>
        <w:t>**Estimated Impact**: US Energy Information Administration projects CO2 capture at power and industrial facilities will increase substantially through the 2030s, driven primarily by enhanced 45Q credits [EIA, 2024].</w:t>
      </w:r>
    </w:p>
    <w:p>
      <w:pPr>
        <w:pStyle w:val="Heading4"/>
      </w:pPr>
      <w:r>
        <w:t>5.1.2 Other Jurisdictions</w:t>
      </w:r>
    </w:p>
    <w:p>
      <w:r>
        <w:t>**Canada**: Investment Tax Credit for CCUS providing 50-60% of project capital costs. The credit aims to position Canada as a leader in CCUS technology while supporting emission reductions in hard-to-abate sectors.</w:t>
      </w:r>
    </w:p>
    <w:p>
      <w:r>
        <w:t>**United Kingdom**: Business models under development including contracts for difference for CCUS projects to provide revenue certainty and accelerate deployment of industrial carbon capture clusters.</w:t>
      </w:r>
    </w:p>
    <w:p>
      <w:r>
        <w:t>**European Union**: Innovation Fund providing €38 billion (2020-2030) for low-carbon technology deployment including CCUS, funded through EU ETS allowance auctions.</w:t>
      </w:r>
    </w:p>
    <w:p>
      <w:r>
        <w:t>**Norway**: Longstanding support through state investment in the Longship project, which represents a full-chain CCUS demonstration including transport and offshore storage infrastructure.</w:t>
      </w:r>
    </w:p>
    <w:p>
      <w:pPr>
        <w:pStyle w:val="Heading3"/>
      </w:pPr>
      <w:r>
        <w:t>5.2 Interaction with Carbon Pricing</w:t>
      </w:r>
    </w:p>
    <w:p>
      <w:r>
        <w:t>CCUS and carbon pricing mechanisms interact in several important ways:</w:t>
      </w:r>
    </w:p>
    <w:p>
      <w:pPr>
        <w:pStyle w:val="ListBullet"/>
      </w:pPr>
      <w:r>
        <w:t>**Economic viability**: Higher carbon prices improve CCUS project economics</w:t>
      </w:r>
    </w:p>
    <w:p>
      <w:r>
        <w:t xml:space="preserve">   - Break-even carbon price for CCUS: typically $40-100/tonne CO2</w:t>
      </w:r>
    </w:p>
    <w:p>
      <w:r>
        <w:t xml:space="preserve">   - EU ETS price (2023): €80-90/tonne, making CCUS economically competitive</w:t>
      </w:r>
    </w:p>
    <w:p>
      <w:pPr>
        <w:pStyle w:val="ListBullet"/>
      </w:pPr>
      <w:r>
        <w:t>**Compliance mechanism**: Under some ETS designs, CCUS can generate offset credits</w:t>
      </w:r>
    </w:p>
    <w:p>
      <w:r>
        <w:t xml:space="preserve">   - Companies deploying CCUS receive allowances/credits</w:t>
      </w:r>
    </w:p>
    <w:p>
      <w:r>
        <w:t xml:space="preserve">   - Credits can be sold to entities needing compliance</w:t>
      </w:r>
    </w:p>
    <w:p>
      <w:pPr>
        <w:pStyle w:val="ListBullet"/>
      </w:pPr>
      <w:r>
        <w:t>**Double benefit**: Projects can receive both tax credits (45Q) and carbon credit revenues</w:t>
      </w:r>
    </w:p>
    <w:p>
      <w:pPr>
        <w:pStyle w:val="ListBullet"/>
      </w:pPr>
      <w:r>
        <w:t>**Revenue recycling**: Carbon tax revenues can fund CCUS demonstration projects</w:t>
      </w:r>
    </w:p>
    <w:p>
      <w:pPr>
        <w:pStyle w:val="Heading2"/>
      </w:pPr>
      <w:r>
        <w:t>6. International Tax Implications</w:t>
      </w:r>
    </w:p>
    <w:p>
      <w:pPr>
        <w:pStyle w:val="Heading3"/>
      </w:pPr>
      <w:r>
        <w:t>6.1 Cross-Border Investment Considerations</w:t>
      </w:r>
    </w:p>
    <w:p>
      <w:r>
        <w:t>Carbon pricing and CCUS tax incentives significantly impact international investment decisions in the oil and gas sector:</w:t>
      </w:r>
    </w:p>
    <w:p>
      <w:r>
        <w:t>**Investment Location Decisions**:</w:t>
      </w:r>
    </w:p>
    <w:p>
      <w:pPr>
        <w:pStyle w:val="ListBullet"/>
      </w:pPr>
      <w:r>
        <w:t>Companies consider carbon price levels when selecting project locations</w:t>
      </w:r>
    </w:p>
    <w:p>
      <w:pPr>
        <w:pStyle w:val="ListBullet"/>
      </w:pPr>
      <w:r>
        <w:t>High carbon prices incentivize investment in jurisdictions with CCUS support</w:t>
      </w:r>
    </w:p>
    <w:p>
      <w:pPr>
        <w:pStyle w:val="ListBullet"/>
      </w:pPr>
      <w:r>
        <w:t>Risk of carbon leakage where pricing is uneven across jurisdictions</w:t>
      </w:r>
    </w:p>
    <w:p>
      <w:r>
        <w:t>**Tax Treaty Implications**:</w:t>
      </w:r>
    </w:p>
    <w:p>
      <w:pPr>
        <w:pStyle w:val="ListBullet"/>
      </w:pPr>
      <w:r>
        <w:t>Classification of carbon tax payments (income tax vs. regulatory fee) affects foreign tax credit eligibility</w:t>
      </w:r>
    </w:p>
    <w:p>
      <w:pPr>
        <w:pStyle w:val="ListBullet"/>
      </w:pPr>
      <w:r>
        <w:t>Some tax treaties specifically address environmental taxes</w:t>
      </w:r>
    </w:p>
    <w:p>
      <w:pPr>
        <w:pStyle w:val="ListBullet"/>
      </w:pPr>
      <w:r>
        <w:t>OECD Model Tax Convention does not yet provide specific guidance on carbon taxes</w:t>
      </w:r>
    </w:p>
    <w:p>
      <w:r>
        <w:t>**Transfer Pricing Considerations**:</w:t>
      </w:r>
    </w:p>
    <w:p>
      <w:pPr>
        <w:pStyle w:val="ListBullet"/>
      </w:pPr>
      <w:r>
        <w:t>Carbon costs must be appropriately allocated in related-party transactions</w:t>
      </w:r>
    </w:p>
    <w:p>
      <w:pPr>
        <w:pStyle w:val="ListBullet"/>
      </w:pPr>
      <w:r>
        <w:t>CCUS infrastructure services between group entities require arm's length pricing</w:t>
      </w:r>
    </w:p>
    <w:p>
      <w:pPr>
        <w:pStyle w:val="ListBullet"/>
      </w:pPr>
      <w:r>
        <w:t>CO2 trading between affiliates raises transfer pricing questions</w:t>
      </w:r>
    </w:p>
    <w:p>
      <w:pPr>
        <w:pStyle w:val="Heading3"/>
      </w:pPr>
      <w:r>
        <w:t>6.2 Carbon Border Adjustment Mechanisms (CBAM)</w:t>
      </w:r>
    </w:p>
    <w:p>
      <w:r>
        <w:t>The **EU Carbon Border Adjustment Mechanism (CBAM)**, with transitional phase from October 2023 to December 2025 and full implementation from January 2026, addresses carbon leakage by imposing charges on imports from jurisdictions without equivalent carbon pricing. During the transitional phase, importers must report embedded emissions without making financial payments; from 2026 onwards, they must purchase and surrender CBAM certificates:</w:t>
      </w:r>
    </w:p>
    <w:p>
      <w:r>
        <w:t>**Covered Sectors**: Cement, iron and steel, aluminum, fertilizers, electricity, and hydrogen (as of 2024)</w:t>
      </w:r>
    </w:p>
    <w:p>
      <w:r>
        <w:t>**Mechanism**:</w:t>
      </w:r>
    </w:p>
    <w:p>
      <w:pPr>
        <w:pStyle w:val="ListBullet"/>
      </w:pPr>
      <w:r>
        <w:t>Importers must purchase CBAM certificates reflecting embedded emissions</w:t>
      </w:r>
    </w:p>
    <w:p>
      <w:pPr>
        <w:pStyle w:val="ListBullet"/>
      </w:pPr>
      <w:r>
        <w:t>Price linked to EU ETS allowance price</w:t>
      </w:r>
    </w:p>
    <w:p>
      <w:pPr>
        <w:pStyle w:val="ListBullet"/>
      </w:pPr>
      <w:r>
        <w:t>Credits provided for carbon costs already paid in country of origin</w:t>
      </w:r>
    </w:p>
    <w:p>
      <w:r>
        <w:t>**Implications for Oil and Gas**:</w:t>
      </w:r>
    </w:p>
    <w:p>
      <w:pPr>
        <w:pStyle w:val="ListBullet"/>
      </w:pPr>
      <w:r>
        <w:t>Refined petroleum products not initially covered but may be added</w:t>
      </w:r>
    </w:p>
    <w:p>
      <w:pPr>
        <w:pStyle w:val="ListBullet"/>
      </w:pPr>
      <w:r>
        <w:t>Drives need for globally harmonized carbon pricing</w:t>
      </w:r>
    </w:p>
    <w:p>
      <w:pPr>
        <w:pStyle w:val="ListBullet"/>
      </w:pPr>
      <w:r>
        <w:t>Creates pressure for exporting nations to implement carbon pricing</w:t>
      </w:r>
    </w:p>
    <w:p>
      <w:pPr>
        <w:pStyle w:val="Heading3"/>
      </w:pPr>
      <w:r>
        <w:t>6.3 Permanent Establishment and Withholding Tax Issues</w:t>
      </w:r>
    </w:p>
    <w:p>
      <w:r>
        <w:t>CCUS projects may create tax presence issues:</w:t>
      </w:r>
    </w:p>
    <w:p>
      <w:r>
        <w:t>**Permanent Establishment (PE) Risk**:</w:t>
      </w:r>
    </w:p>
    <w:p>
      <w:pPr>
        <w:pStyle w:val="ListBullet"/>
      </w:pPr>
      <w:r>
        <w:t>Offshore CO2 injection operations may constitute PE under OECD Model</w:t>
      </w:r>
    </w:p>
    <w:p>
      <w:pPr>
        <w:pStyle w:val="ListBullet"/>
      </w:pPr>
      <w:r>
        <w:t>Cross-border pipeline operations require PE analysis</w:t>
      </w:r>
    </w:p>
    <w:p>
      <w:pPr>
        <w:pStyle w:val="ListBullet"/>
      </w:pPr>
      <w:r>
        <w:t>DAC facilities in foreign jurisdictions create fixed place PE</w:t>
      </w:r>
    </w:p>
    <w:p>
      <w:r>
        <w:t>**Withholding Taxes**:</w:t>
      </w:r>
    </w:p>
    <w:p>
      <w:pPr>
        <w:pStyle w:val="ListBullet"/>
      </w:pPr>
      <w:r>
        <w:t>Payments for CCUS services between jurisdictions may trigger withholding</w:t>
      </w:r>
    </w:p>
    <w:p>
      <w:pPr>
        <w:pStyle w:val="ListBullet"/>
      </w:pPr>
      <w:r>
        <w:t>Classification as royalties (technology license) vs. service fees affects rates</w:t>
      </w:r>
    </w:p>
    <w:p>
      <w:pPr>
        <w:pStyle w:val="ListBullet"/>
      </w:pPr>
      <w:r>
        <w:t>Tax treaty relief often available but requires documentation</w:t>
      </w:r>
    </w:p>
    <w:p>
      <w:r>
        <w:t>---</w:t>
      </w:r>
    </w:p>
    <w:p>
      <w:pPr>
        <w:pStyle w:val="Heading2"/>
      </w:pPr>
      <w:r>
        <w:t>7. Worked Examples</w:t>
      </w:r>
    </w:p>
    <w:p>
      <w:pPr>
        <w:pStyle w:val="Heading3"/>
      </w:pPr>
      <w:r>
        <w:t>WORKED EXAMPLE 1: Carbon Tax Impact on Oil and Gas Production</w:t>
      </w:r>
    </w:p>
    <w:p>
      <w:r>
        <w:t>**Facts**:</w:t>
      </w:r>
    </w:p>
    <w:p>
      <w:r>
        <w:t>GlobalOil Inc., a multinational oil company tax-resident in Country A, operates an offshore oil platform in Country B. The platform produces 10 million barrels of oil annually. Country B implemented a carbon tax of $30 per tonne CO2 in 2024.</w:t>
      </w:r>
    </w:p>
    <w:p>
      <w:r>
        <w:t>Production emissions data:</w:t>
      </w:r>
    </w:p>
    <w:p>
      <w:pPr>
        <w:pStyle w:val="ListBullet"/>
      </w:pPr>
      <w:r>
        <w:t>Upstream production emissions: 15 kg CO2 per barrel</w:t>
      </w:r>
    </w:p>
    <w:p>
      <w:pPr>
        <w:pStyle w:val="ListBullet"/>
      </w:pPr>
      <w:r>
        <w:t>Natural gas flaring: 5 kg CO2 per barrel</w:t>
      </w:r>
    </w:p>
    <w:p>
      <w:pPr>
        <w:pStyle w:val="ListBullet"/>
      </w:pPr>
      <w:r>
        <w:t>Total: 20 kg CO2 per barrel produced</w:t>
      </w:r>
    </w:p>
    <w:p>
      <w:r>
        <w:t>Financial data:</w:t>
      </w:r>
    </w:p>
    <w:p>
      <w:pPr>
        <w:pStyle w:val="ListBullet"/>
      </w:pPr>
      <w:r>
        <w:t>Revenue per barrel: $70</w:t>
      </w:r>
    </w:p>
    <w:p>
      <w:pPr>
        <w:pStyle w:val="ListBullet"/>
      </w:pPr>
      <w:r>
        <w:t>Operating cost per barrel: $35 (excluding carbon tax)</w:t>
      </w:r>
    </w:p>
    <w:p>
      <w:pPr>
        <w:pStyle w:val="ListBullet"/>
      </w:pPr>
      <w:r>
        <w:t>Corporate income tax rate (Country B): 25%</w:t>
      </w:r>
    </w:p>
    <w:p>
      <w:pPr>
        <w:pStyle w:val="ListBullet"/>
      </w:pPr>
      <w:r>
        <w:t>Tax treaty between A and B: Provides foreign tax credit</w:t>
      </w:r>
    </w:p>
    <w:p>
      <w:r>
        <w:t>**Required**:</w:t>
      </w:r>
    </w:p>
    <w:p>
      <w:r>
        <w:t>Calculate the annual carbon tax liability, its impact on project economics, and the total tax burden including corporate income tax.</w:t>
      </w:r>
    </w:p>
    <w:p>
      <w:r>
        <w:t>**Analysis**:</w:t>
      </w:r>
    </w:p>
    <w:p>
      <w:r>
        <w:t>**Step 1: Calculate Total Emissions**</w:t>
      </w:r>
    </w:p>
    <w:p>
      <w:r>
        <w:t>Annual oil production: 10,000,000 barrels</w:t>
      </w:r>
    </w:p>
    <w:p>
      <w:r>
        <w:t>Emissions per barrel: 20 kg CO2 = 0.020 tonnes CO2</w:t>
      </w:r>
    </w:p>
    <w:p>
      <w:r>
        <w:t>Total emissions: 10,000,000 × 0.020 = **200,000 tonnes CO2**</w:t>
      </w:r>
    </w:p>
    <w:p>
      <w:r>
        <w:t>**Step 2: Calculate Carbon Tax Liability**</w:t>
      </w:r>
    </w:p>
    <w:p>
      <w:r>
        <w:t>Carbon tax rate: $30/tonne CO2</w:t>
      </w:r>
    </w:p>
    <w:p>
      <w:r>
        <w:t>Annual carbon tax: 200,000 × $30 = **$6,000,000**</w:t>
      </w:r>
    </w:p>
    <w:p>
      <w:r>
        <w:t>Carbon tax per barrel: $6,000,000 ÷ 10,000,000 = **$0.60 per barrel**</w:t>
      </w:r>
    </w:p>
    <w:p>
      <w:r>
        <w:t>**Step 3: Calculate Project Economics**</w:t>
      </w:r>
    </w:p>
    <w:p>
      <w:r>
        <w:t>| Item | Per Barrel ($) | Annual ($million) |</w:t>
      </w:r>
    </w:p>
    <w:p>
      <w:r>
        <w:t>|------|----------------|-------------------|</w:t>
      </w:r>
    </w:p>
    <w:p>
      <w:r>
        <w:t>| Revenue | 70.00 | 700.0 |</w:t>
      </w:r>
    </w:p>
    <w:p>
      <w:r>
        <w:t>| Operating costs | (35.00) | (350.0) |</w:t>
      </w:r>
    </w:p>
    <w:p>
      <w:r>
        <w:t>| Carbon tax | (0.60) | (6.0) |</w:t>
      </w:r>
    </w:p>
    <w:p>
      <w:r>
        <w:t>| **Profit before corporate tax** | **34.40** | **344.0** |</w:t>
      </w:r>
    </w:p>
    <w:p>
      <w:r>
        <w:t>| Corporate tax @ 25% | (8.60) | (86.0) |</w:t>
      </w:r>
    </w:p>
    <w:p>
      <w:r>
        <w:t>| **Net profit after tax** | **25.80** | **258.0** |</w:t>
      </w:r>
    </w:p>
    <w:p>
      <w:r>
        <w:t>**Step 4: Total Effective Tax Rate**</w:t>
      </w:r>
    </w:p>
    <w:p>
      <w:r>
        <w:t>Total taxes paid in Country B:</w:t>
      </w:r>
    </w:p>
    <w:p>
      <w:pPr>
        <w:pStyle w:val="ListBullet"/>
      </w:pPr>
      <w:r>
        <w:t>Carbon tax: $6.0 million</w:t>
      </w:r>
    </w:p>
    <w:p>
      <w:pPr>
        <w:pStyle w:val="ListBullet"/>
      </w:pPr>
      <w:r>
        <w:t>Corporate income tax: $86.0 million</w:t>
      </w:r>
    </w:p>
    <w:p>
      <w:pPr>
        <w:pStyle w:val="ListBullet"/>
      </w:pPr>
      <w:r>
        <w:t>**Total**: $92.0 million</w:t>
      </w:r>
    </w:p>
    <w:p>
      <w:r>
        <w:t>Effective tax rate on gross profit: $92.0m ÷ $350.0m = **26.3%**</w:t>
      </w:r>
    </w:p>
    <w:p>
      <w:r>
        <w:t>**Step 5: Tax Treaty Considerations**</w:t>
      </w:r>
    </w:p>
    <w:p>
      <w:r>
        <w:t>Under the tax treaty, GlobalOil Inc. can claim foreign tax credit in Country A. However, tax treatment of carbon tax varies:</w:t>
      </w:r>
    </w:p>
    <w:p>
      <w:r>
        <w:t>*Scenario A*: If Country A treats carbon tax as creditable income tax:</w:t>
      </w:r>
    </w:p>
    <w:p>
      <w:pPr>
        <w:pStyle w:val="ListBullet"/>
      </w:pPr>
      <w:r>
        <w:t>Full credit of $92.0 million available against Country A tax liability</w:t>
      </w:r>
    </w:p>
    <w:p>
      <w:r>
        <w:t>*Scenario B*: If Country A treats carbon tax as non-creditable regulatory fee:</w:t>
      </w:r>
    </w:p>
    <w:p>
      <w:pPr>
        <w:pStyle w:val="ListBullet"/>
      </w:pPr>
      <w:r>
        <w:t>Only $86.0 million corporate income tax is creditable</w:t>
      </w:r>
    </w:p>
    <w:p>
      <w:pPr>
        <w:pStyle w:val="ListBullet"/>
      </w:pPr>
      <w:r>
        <w:t>Carbon tax of $6.0 million is a permanent cost increase</w:t>
      </w:r>
    </w:p>
    <w:p>
      <w:r>
        <w:t>**Conclusion**:</w:t>
      </w:r>
    </w:p>
    <w:p>
      <w:r>
        <w:t>The carbon tax increases annual project costs by $6 million ($0.60/barrel), reducing net profit by approximately 2.3%. The treatment of carbon tax for foreign tax credit purposes significantly impacts the group's overall tax position. GlobalOil should structure operations to claim maximum treaty relief and consider emission reduction investments where the cost is below $30/tonne CO2 avoided.</w:t>
      </w:r>
    </w:p>
    <w:p>
      <w:r>
        <w:t>═══════════════════════════════════════════════════════════════</w:t>
      </w:r>
    </w:p>
    <w:p>
      <w:pPr>
        <w:pStyle w:val="Heading3"/>
      </w:pPr>
      <w:r>
        <w:t>WORKED EXAMPLE 2: CCUS Investment with Section 45Q Tax Credit</w:t>
      </w:r>
    </w:p>
    <w:p>
      <w:r>
        <w:t>**Facts**:</w:t>
      </w:r>
    </w:p>
    <w:p>
      <w:r>
        <w:t>US Oil Corp operates a natural gas processing facility in Texas emitting 500,000 tonnes CO2 annually. The company evaluates installing CCUS equipment to capture 90% of emissions for saline geological storage.</w:t>
      </w:r>
    </w:p>
    <w:p>
      <w:r>
        <w:t>**Project Data**:</w:t>
      </w:r>
    </w:p>
    <w:p>
      <w:pPr>
        <w:pStyle w:val="ListBullet"/>
      </w:pPr>
      <w:r>
        <w:t>Capital expenditure for CCUS equipment: $250 million</w:t>
      </w:r>
    </w:p>
    <w:p>
      <w:pPr>
        <w:pStyle w:val="ListBullet"/>
      </w:pPr>
      <w:r>
        <w:t>Annual operating cost: $15 million</w:t>
      </w:r>
    </w:p>
    <w:p>
      <w:pPr>
        <w:pStyle w:val="ListBullet"/>
      </w:pPr>
      <w:r>
        <w:t>CO2 captured and stored: 450,000 tonnes/year (90% × 500,000)</w:t>
      </w:r>
    </w:p>
    <w:p>
      <w:pPr>
        <w:pStyle w:val="ListBullet"/>
      </w:pPr>
      <w:r>
        <w:t>Project life: 25 years</w:t>
      </w:r>
    </w:p>
    <w:p>
      <w:pPr>
        <w:pStyle w:val="ListBullet"/>
      </w:pPr>
      <w:r>
        <w:t>Section 45Q credit: $85/tonne for saline storage</w:t>
      </w:r>
    </w:p>
    <w:p>
      <w:pPr>
        <w:pStyle w:val="ListBullet"/>
      </w:pPr>
      <w:r>
        <w:t>Credit period: 12 years</w:t>
      </w:r>
    </w:p>
    <w:p>
      <w:pPr>
        <w:pStyle w:val="ListBullet"/>
      </w:pPr>
      <w:r>
        <w:t>Discount rate: 8%</w:t>
      </w:r>
    </w:p>
    <w:p>
      <w:pPr>
        <w:pStyle w:val="ListBullet"/>
      </w:pPr>
      <w:r>
        <w:t>US corporate tax rate: 21%</w:t>
      </w:r>
    </w:p>
    <w:p>
      <w:pPr>
        <w:pStyle w:val="ListBullet"/>
      </w:pPr>
      <w:r>
        <w:t>Depreciation: 7-year MACRS (Modified Accelerated Cost Recovery System)</w:t>
      </w:r>
    </w:p>
    <w:p>
      <w:r>
        <w:t>**Required**:</w:t>
      </w:r>
    </w:p>
    <w:p>
      <w:pPr>
        <w:pStyle w:val="ListBullet"/>
      </w:pPr>
      <w:r>
        <w:t>Calculate total Section 45Q tax credits over 12 years</w:t>
      </w:r>
    </w:p>
    <w:p>
      <w:pPr>
        <w:pStyle w:val="ListBullet"/>
      </w:pPr>
      <w:r>
        <w:t>Determine project net present value (NPV) with and without 45Q credits</w:t>
      </w:r>
    </w:p>
    <w:p>
      <w:pPr>
        <w:pStyle w:val="ListBullet"/>
      </w:pPr>
      <w:r>
        <w:t>Assess the breakeven carbon price that would make the project viable without 45Q</w:t>
      </w:r>
    </w:p>
    <w:p>
      <w:pPr>
        <w:pStyle w:val="ListBullet"/>
      </w:pPr>
      <w:r>
        <w:t>Analyze the tax treatment of 45Q credits</w:t>
      </w:r>
    </w:p>
    <w:p>
      <w:r>
        <w:t>**Analysis**:</w:t>
      </w:r>
    </w:p>
    <w:p>
      <w:r>
        <w:t>**Step 1: Calculate Annual and Total Section 45Q Tax Credits**</w:t>
      </w:r>
    </w:p>
    <w:p>
      <w:r>
        <w:t>Annual CO2 captured and stored: 450,000 tonnes</w:t>
      </w:r>
    </w:p>
    <w:p>
      <w:r>
        <w:t>Section 45Q credit rate: $85/tonne</w:t>
      </w:r>
    </w:p>
    <w:p>
      <w:r>
        <w:t>Annual tax credit: 450,000 × $85 = **$38.25 million/year**</w:t>
      </w:r>
    </w:p>
    <w:p>
      <w:r>
        <w:t>Total credits over 12 years (undiscounted): $38.25m × 12 = **$459 million**</w:t>
      </w:r>
    </w:p>
    <w:p>
      <w:r>
        <w:t>Present value of credits @ 8% discount rate:</w:t>
      </w:r>
    </w:p>
    <w:p>
      <w:r>
        <w:t>Using PV annuity formula: PV = PMT × [(1 - (1+r)^-n) / r]</w:t>
      </w:r>
    </w:p>
    <w:p>
      <w:r>
        <w:t>PV = $38.25m × [(1 - 1.08^-12) / 0.08]</w:t>
      </w:r>
    </w:p>
    <w:p>
      <w:r>
        <w:t>PV = $38.25m × 7.536</w:t>
      </w:r>
    </w:p>
    <w:p>
      <w:r>
        <w:t>PV = **$288.3 million**</w:t>
      </w:r>
    </w:p>
    <w:p>
      <w:r>
        <w:t>**Step 2: Project NPV Analysis**</w:t>
      </w:r>
    </w:p>
    <w:p>
      <w:r>
        <w:t>**Without 45Q Credits:**</w:t>
      </w:r>
    </w:p>
    <w:p>
      <w:r>
        <w:t>| Year | Capital | Operating | Depreciation | Tax Savings | Cash Flow |</w:t>
      </w:r>
    </w:p>
    <w:p>
      <w:r>
        <w:t>|------|---------|-----------|--------------|-------------|-----------|</w:t>
      </w:r>
    </w:p>
    <w:p>
      <w:r>
        <w:t>| 0 | (250.0) | - | - | - | (250.0) |</w:t>
      </w:r>
    </w:p>
    <w:p>
      <w:r>
        <w:t>| 1-7 | - | (15.0) | 35.7* | 10.6 | (4.4) |</w:t>
      </w:r>
    </w:p>
    <w:p>
      <w:r>
        <w:t>| 8-25 | - | (15.0) | - | 3.15 | (11.85) |</w:t>
      </w:r>
    </w:p>
    <w:p>
      <w:r>
        <w:t>*MACRS 7-year: Year 1 = 14.29% of $250m = $35.7m; tax savings = $35.7m × 21% = $7.5m plus operating expense tax savings = $15m × 21% = $3.15m</w:t>
      </w:r>
    </w:p>
    <w:p>
      <w:r>
        <w:t>Simplified NPV calculation:</w:t>
      </w:r>
    </w:p>
    <w:p>
      <w:pPr>
        <w:pStyle w:val="ListBullet"/>
      </w:pPr>
      <w:r>
        <w:t>Initial investment: $(250.0)m</w:t>
      </w:r>
    </w:p>
    <w:p>
      <w:pPr>
        <w:pStyle w:val="ListBullet"/>
      </w:pPr>
      <w:r>
        <w:t>PV of tax-adjusted operating costs (years 1-25): $(156.3)m</w:t>
      </w:r>
    </w:p>
    <w:p>
      <w:pPr>
        <w:pStyle w:val="ListBullet"/>
      </w:pPr>
      <w:r>
        <w:t>PV of depreciation tax savings (years 1-7): $23.8m</w:t>
      </w:r>
    </w:p>
    <w:p>
      <w:pPr>
        <w:pStyle w:val="ListBullet"/>
      </w:pPr>
      <w:r>
        <w:t>**NPV without 45Q: $(382.5)m** [Project not viable]</w:t>
      </w:r>
    </w:p>
    <w:p>
      <w:r>
        <w:t>**With 45Q Credits:**</w:t>
      </w:r>
    </w:p>
    <w:p>
      <w:r>
        <w:t>Additional cash flows:</w:t>
      </w:r>
    </w:p>
    <w:p>
      <w:pPr>
        <w:pStyle w:val="ListBullet"/>
      </w:pPr>
      <w:r>
        <w:t>Annual 45Q credit: $38.25m for years 1-12</w:t>
      </w:r>
    </w:p>
    <w:p>
      <w:pPr>
        <w:pStyle w:val="ListBullet"/>
      </w:pPr>
      <w:r>
        <w:t>PV of 45Q credits: $288.3m</w:t>
      </w:r>
    </w:p>
    <w:p>
      <w:pPr>
        <w:pStyle w:val="ListBullet"/>
      </w:pPr>
      <w:r>
        <w:t>**Adjusted NPV: $(382.5)m + $288.3m = $(94.2)m**</w:t>
      </w:r>
    </w:p>
    <w:p>
      <w:r>
        <w:t>**With Direct Pay Option (years 1-5):**</w:t>
      </w:r>
    </w:p>
    <w:p>
      <w:r>
        <w:t>If company elects direct pay for first 5 years:</w:t>
      </w:r>
    </w:p>
    <w:p>
      <w:pPr>
        <w:pStyle w:val="ListBullet"/>
      </w:pPr>
      <w:r>
        <w:t>Direct payment: $38.25m × 5 years = $191.25m</w:t>
      </w:r>
    </w:p>
    <w:p>
      <w:pPr>
        <w:pStyle w:val="ListBullet"/>
      </w:pPr>
      <w:r>
        <w:t>Credits for years 6-12 must be used against tax liability</w:t>
      </w:r>
    </w:p>
    <w:p>
      <w:r>
        <w:t>Modified PV calculation:</w:t>
      </w:r>
    </w:p>
    <w:p>
      <w:pPr>
        <w:pStyle w:val="ListBullet"/>
      </w:pPr>
      <w:r>
        <w:t>PV of direct pay (years 1-5): $38.25m × 3.993 (5-year annuity factor) = $152.7m</w:t>
      </w:r>
    </w:p>
    <w:p>
      <w:pPr>
        <w:pStyle w:val="ListBullet"/>
      </w:pPr>
      <w:r>
        <w:t>PV of credits (years 6-12): $38.25m × [7.536 - 3.993] × 0.681 (discount factor year 5) = $92.1m</w:t>
      </w:r>
    </w:p>
    <w:p>
      <w:pPr>
        <w:pStyle w:val="ListBullet"/>
      </w:pPr>
      <w:r>
        <w:t>Total PV of 45Q: $152.7m + $92.1m = $244.8m</w:t>
      </w:r>
    </w:p>
    <w:p>
      <w:pPr>
        <w:pStyle w:val="ListBullet"/>
      </w:pPr>
      <w:r>
        <w:t>**NPV with direct pay: $(382.5)m + $244.8m = $(137.7)m** [Still negative]</w:t>
      </w:r>
    </w:p>
    <w:p>
      <w:r>
        <w:t>**Step 3: Breakeven Carbon Price Analysis**</w:t>
      </w:r>
    </w:p>
    <w:p>
      <w:r>
        <w:t>For NPV = 0, required PV of benefits must equal $382.5m</w:t>
      </w:r>
    </w:p>
    <w:p>
      <w:r>
        <w:t>Assuming carbon credit revenue for 25 years:</w:t>
      </w:r>
    </w:p>
    <w:p>
      <w:r>
        <w:t>Required annual benefit: $382.5m / 15.622 (25-year annuity factor @ 8%) = $24.5m</w:t>
      </w:r>
    </w:p>
    <w:p>
      <w:r>
        <w:t>Annual tonnes captured: 450,000</w:t>
      </w:r>
    </w:p>
    <w:p>
      <w:r>
        <w:t>Required price per tonne: $24.5m / 450,000 = **$54.4/tonne CO2**</w:t>
      </w:r>
    </w:p>
    <w:p>
      <w:r>
        <w:t>Breakeven analysis incorporating 45Q:</w:t>
      </w:r>
    </w:p>
    <w:p>
      <w:pPr>
        <w:pStyle w:val="ListBullet"/>
      </w:pPr>
      <w:r>
        <w:t>Q covers years 1-12: PV = $288.3m</w:t>
      </w:r>
    </w:p>
    <w:p>
      <w:pPr>
        <w:pStyle w:val="ListBullet"/>
      </w:pPr>
      <w:r>
        <w:t>Required additional benefit: $382.5m - $288.3m = $94.2m</w:t>
      </w:r>
    </w:p>
    <w:p>
      <w:pPr>
        <w:pStyle w:val="ListBullet"/>
      </w:pPr>
      <w:r>
        <w:t>Required PV for years 13-25: $94.2m</w:t>
      </w:r>
    </w:p>
    <w:p>
      <w:pPr>
        <w:pStyle w:val="ListBullet"/>
      </w:pPr>
      <w:r>
        <w:t>Annual revenue needed (years 13-25): $94.2m / 7.367 (discount factor) = $12.8m</w:t>
      </w:r>
    </w:p>
    <w:p>
      <w:pPr>
        <w:pStyle w:val="ListBullet"/>
      </w:pPr>
      <w:r>
        <w:t>Carbon price required (years 13-25): $12.8m / 450,000 = **$28.4/tonne**</w:t>
      </w:r>
    </w:p>
    <w:p>
      <w:r>
        <w:t>**Step 4: Tax Treatment Analysis**</w:t>
      </w:r>
    </w:p>
    <w:p>
      <w:r>
        <w:t>**Tax Classification of 45Q Credits:**</w:t>
      </w:r>
    </w:p>
    <w:p>
      <w:pPr>
        <w:pStyle w:val="ListBullet"/>
      </w:pPr>
      <w:r>
        <w:t>Credits reduce tax liability dollar-for-dollar (non-refundable credit)</w:t>
      </w:r>
    </w:p>
    <w:p>
      <w:pPr>
        <w:pStyle w:val="ListBullet"/>
      </w:pPr>
      <w:r>
        <w:t>Excess credits can be carried forward 20 years</w:t>
      </w:r>
    </w:p>
    <w:p>
      <w:pPr>
        <w:pStyle w:val="ListBullet"/>
      </w:pPr>
      <w:r>
        <w:t>Direct pay option allows cash payment regardless of tax position</w:t>
      </w:r>
    </w:p>
    <w:p>
      <w:pPr>
        <w:pStyle w:val="ListBullet"/>
      </w:pPr>
      <w:r>
        <w:t>Credits not includable in gross income under IRC Section 61</w:t>
      </w:r>
    </w:p>
    <w:p>
      <w:r>
        <w:t>**Book-Tax Differences:**</w:t>
      </w:r>
    </w:p>
    <w:p>
      <w:pPr>
        <w:pStyle w:val="ListBullet"/>
      </w:pPr>
      <w:r>
        <w:t>GAAP accounting: Credits recognized as grant income over credit period</w:t>
      </w:r>
    </w:p>
    <w:p>
      <w:pPr>
        <w:pStyle w:val="ListBullet"/>
      </w:pPr>
      <w:r>
        <w:t>Tax accounting: Credits reduce current tax liability</w:t>
      </w:r>
    </w:p>
    <w:p>
      <w:pPr>
        <w:pStyle w:val="ListBullet"/>
      </w:pPr>
      <w:r>
        <w:t>Creates deferred tax assets/liabilities requiring ASC 740 analysis</w:t>
      </w:r>
    </w:p>
    <w:p>
      <w:r>
        <w:t>**State Tax Treatment:**</w:t>
      </w:r>
    </w:p>
    <w:p>
      <w:pPr>
        <w:pStyle w:val="ListBullet"/>
      </w:pPr>
      <w:r>
        <w:t>Federal 45Q credits generally not subject to state income tax</w:t>
      </w:r>
    </w:p>
    <w:p>
      <w:pPr>
        <w:pStyle w:val="ListBullet"/>
      </w:pPr>
      <w:r>
        <w:t>Some states conform to federal treatment; others do not</w:t>
      </w:r>
    </w:p>
    <w:p>
      <w:pPr>
        <w:pStyle w:val="ListBullet"/>
      </w:pPr>
      <w:r>
        <w:t>Texas: No state income tax, thus no state tax impact</w:t>
      </w:r>
    </w:p>
    <w:p>
      <w:r>
        <w:t>**Conclusion**:</w:t>
      </w:r>
    </w:p>
    <w:p>
      <w:r>
        <w:t>The Section 45Q tax credit substantially improves CCUS project economics but does not alone make this project viable (NPV remains negative even with credits). The project requires either:</w:t>
      </w:r>
    </w:p>
    <w:p>
      <w:pPr>
        <w:pStyle w:val="ListBullet"/>
      </w:pPr>
      <w:r>
        <w:t>A carbon price of $28.4/tonne for years 13-25 after 45Q credits expire, OR</w:t>
      </w:r>
    </w:p>
    <w:p>
      <w:pPr>
        <w:pStyle w:val="ListBullet"/>
      </w:pPr>
      <w:r>
        <w:t>Reduction in capital/operating costs, OR</w:t>
      </w:r>
    </w:p>
    <w:p>
      <w:pPr>
        <w:pStyle w:val="ListBullet"/>
      </w:pPr>
      <w:r>
        <w:t>Additional policy support</w:t>
      </w:r>
    </w:p>
    <w:p>
      <w:r>
        <w:t>The direct pay option provides important cash flow benefits in early years but reduces overall PV due to discounting. US Oil Corp should consider:</w:t>
      </w:r>
    </w:p>
    <w:p>
      <w:pPr>
        <w:pStyle w:val="ListBullet"/>
      </w:pPr>
      <w:r>
        <w:t>Phased implementation to reduce capital costs</w:t>
      </w:r>
    </w:p>
    <w:p>
      <w:pPr>
        <w:pStyle w:val="ListBullet"/>
      </w:pPr>
      <w:r>
        <w:t>Partnership with CO2 purchasers (EOR operators)</w:t>
      </w:r>
    </w:p>
    <w:p>
      <w:pPr>
        <w:pStyle w:val="ListBullet"/>
      </w:pPr>
      <w:r>
        <w:t>Combination with low-carbon fuel standards generating additional credits</w:t>
      </w:r>
    </w:p>
    <w:p>
      <w:pPr>
        <w:pStyle w:val="ListBullet"/>
      </w:pPr>
      <w:r>
        <w:t>Optimization of capture rate (90% vs. lower percentage)</w:t>
      </w:r>
    </w:p>
    <w:p>
      <w:r>
        <w:t>**Tax Planning Recommendations:**</w:t>
      </w:r>
    </w:p>
    <w:p>
      <w:pPr>
        <w:pStyle w:val="ListBullet"/>
      </w:pPr>
      <w:r>
        <w:t>Elect direct pay for years 1-5 if tax position uncertain</w:t>
      </w:r>
    </w:p>
    <w:p>
      <w:pPr>
        <w:pStyle w:val="ListBullet"/>
      </w:pPr>
      <w:r>
        <w:t>Structure as standalone entity to isolate credits</w:t>
      </w:r>
    </w:p>
    <w:p>
      <w:pPr>
        <w:pStyle w:val="ListBullet"/>
      </w:pPr>
      <w:r>
        <w:t>Consider transferring credits to partners with higher tax capacity</w:t>
      </w:r>
    </w:p>
    <w:p>
      <w:pPr>
        <w:pStyle w:val="ListBullet"/>
      </w:pPr>
      <w:r>
        <w:t>Ensure proper documentation for IRS compliance</w:t>
      </w:r>
    </w:p>
    <w:p>
      <w:pPr>
        <w:pStyle w:val="ListBullet"/>
      </w:pPr>
      <w:r>
        <w:t>Coordinate with state tax authorities on treatment</w:t>
      </w:r>
    </w:p>
    <w:p>
      <w:r>
        <w:t>═══════════════════════════════════════════════════════════════</w:t>
      </w:r>
    </w:p>
    <w:p>
      <w:pPr>
        <w:pStyle w:val="Heading3"/>
      </w:pPr>
      <w:r>
        <w:t>WORKED EXAMPLE 3: EU ETS Compliance and International Tax Considerations</w:t>
      </w:r>
    </w:p>
    <w:p>
      <w:r>
        <w:t>**Facts**:</w:t>
      </w:r>
    </w:p>
    <w:p>
      <w:r>
        <w:t>PetroEurope SA, a French oil and gas company, operates a refinery in France and a petrochemical plant in Germany, both covered by the EU ETS. The corporate group structure includes:</w:t>
      </w:r>
    </w:p>
    <w:p>
      <w:pPr>
        <w:pStyle w:val="ListBullet"/>
      </w:pPr>
      <w:r>
        <w:t>Parent: PetroEurope SA (France) - 30% French corporate income tax</w:t>
      </w:r>
    </w:p>
    <w:p>
      <w:pPr>
        <w:pStyle w:val="ListBullet"/>
      </w:pPr>
      <w:r>
        <w:t>Subsidiary: PetroGermany GmbH (Germany) - 30% German corporate income tax</w:t>
      </w:r>
    </w:p>
    <w:p>
      <w:pPr>
        <w:pStyle w:val="ListBullet"/>
      </w:pPr>
      <w:r>
        <w:t>Trading company: PetroTrade AG (Switzerland) - 11.5% effective tax rate</w:t>
      </w:r>
    </w:p>
    <w:p>
      <w:r>
        <w:t>**2024 EU ETS Data**:</w:t>
      </w:r>
    </w:p>
    <w:p>
      <w:r>
        <w:t>| Facility | Free Allocation | Actual Emissions | Allowance Price |</w:t>
      </w:r>
    </w:p>
    <w:p>
      <w:r>
        <w:t>|----------|----------------|------------------|-----------------|</w:t>
      </w:r>
    </w:p>
    <w:p>
      <w:r>
        <w:t>| France Refinery | 800,000 tonnes | 1,200,000 tonnes | €80/tonne |</w:t>
      </w:r>
    </w:p>
    <w:p>
      <w:r>
        <w:t>| Germany Plant | 500,000 tonnes | 600,000 tonnes | €80/tonne |</w:t>
      </w:r>
    </w:p>
    <w:p>
      <w:r>
        <w:t>**Additional Information**:</w:t>
      </w:r>
    </w:p>
    <w:p>
      <w:pPr>
        <w:pStyle w:val="ListBullet"/>
      </w:pPr>
      <w:r>
        <w:t>PetroEurope SA purchases 600,000 additional allowances in market</w:t>
      </w:r>
    </w:p>
    <w:p>
      <w:pPr>
        <w:pStyle w:val="ListBullet"/>
      </w:pPr>
      <w:r>
        <w:t>EU ETS compliance deadline: April 30, 2025</w:t>
      </w:r>
    </w:p>
    <w:p>
      <w:pPr>
        <w:pStyle w:val="ListBullet"/>
      </w:pPr>
      <w:r>
        <w:t>France-Germany tax treaty: Eliminates double taxation via exemption method</w:t>
      </w:r>
    </w:p>
    <w:p>
      <w:pPr>
        <w:pStyle w:val="ListBullet"/>
      </w:pPr>
      <w:r>
        <w:t>France-Switzerland treaty: Credit method with underlying tax credit on dividends</w:t>
      </w:r>
    </w:p>
    <w:p>
      <w:r>
        <w:t>**Required**:</w:t>
      </w:r>
    </w:p>
    <w:p>
      <w:pPr>
        <w:pStyle w:val="ListBullet"/>
      </w:pPr>
      <w:r>
        <w:t>Calculate EU ETS compliance cost for 2024</w:t>
      </w:r>
    </w:p>
    <w:p>
      <w:pPr>
        <w:pStyle w:val="ListBullet"/>
      </w:pPr>
      <w:r>
        <w:t>Determine tax treatment of ETS costs in France and Germany</w:t>
      </w:r>
    </w:p>
    <w:p>
      <w:pPr>
        <w:pStyle w:val="ListBullet"/>
      </w:pPr>
      <w:r>
        <w:t>Analyze optimal group structure for purchasing and allocating allowances</w:t>
      </w:r>
    </w:p>
    <w:p>
      <w:pPr>
        <w:pStyle w:val="ListBullet"/>
      </w:pPr>
      <w:r>
        <w:t>Assess transfer pricing implications of intragroup allowance transfers</w:t>
      </w:r>
    </w:p>
    <w:p>
      <w:pPr>
        <w:pStyle w:val="ListBullet"/>
      </w:pPr>
      <w:r>
        <w:t>Calculate effective tax rate impact across the group</w:t>
      </w:r>
    </w:p>
    <w:p>
      <w:r>
        <w:t>**Analysis**:</w:t>
      </w:r>
    </w:p>
    <w:p>
      <w:r>
        <w:t>**Step 1: Calculate EU ETS Compliance Requirements**</w:t>
      </w:r>
    </w:p>
    <w:p>
      <w:r>
        <w:t>**France Refinery:**</w:t>
      </w:r>
    </w:p>
    <w:p>
      <w:pPr>
        <w:pStyle w:val="ListBullet"/>
      </w:pPr>
      <w:r>
        <w:t>Actual emissions: 1,200,000 tonnes CO2</w:t>
      </w:r>
    </w:p>
    <w:p>
      <w:pPr>
        <w:pStyle w:val="ListBullet"/>
      </w:pPr>
      <w:r>
        <w:t>Free allocation: 800,000 tonnes</w:t>
      </w:r>
    </w:p>
    <w:p>
      <w:pPr>
        <w:pStyle w:val="ListBullet"/>
      </w:pPr>
      <w:r>
        <w:t>**Deficit: 400,000 tonnes**</w:t>
      </w:r>
    </w:p>
    <w:p>
      <w:pPr>
        <w:pStyle w:val="ListBullet"/>
      </w:pPr>
      <w:r>
        <w:t>Required purchase: 400,000 allowances</w:t>
      </w:r>
    </w:p>
    <w:p>
      <w:r>
        <w:t>**Germany Plant:**</w:t>
      </w:r>
    </w:p>
    <w:p>
      <w:pPr>
        <w:pStyle w:val="ListBullet"/>
      </w:pPr>
      <w:r>
        <w:t>Actual emissions: 600,000 tonnes CO2</w:t>
      </w:r>
    </w:p>
    <w:p>
      <w:pPr>
        <w:pStyle w:val="ListBullet"/>
      </w:pPr>
      <w:r>
        <w:t>Free allocation: 500,000 tonnes</w:t>
      </w:r>
    </w:p>
    <w:p>
      <w:pPr>
        <w:pStyle w:val="ListBullet"/>
      </w:pPr>
      <w:r>
        <w:t>**Deficit: 100,000 tonnes**</w:t>
      </w:r>
    </w:p>
    <w:p>
      <w:pPr>
        <w:pStyle w:val="ListBullet"/>
      </w:pPr>
      <w:r>
        <w:t>Required purchase: 100,000 allowances</w:t>
      </w:r>
    </w:p>
    <w:p>
      <w:r>
        <w:t>**Total Group Requirement:**</w:t>
      </w:r>
    </w:p>
    <w:p>
      <w:pPr>
        <w:pStyle w:val="ListBullet"/>
      </w:pPr>
      <w:r>
        <w:t>Total deficit: 500,000 tonnes</w:t>
      </w:r>
    </w:p>
    <w:p>
      <w:pPr>
        <w:pStyle w:val="ListBullet"/>
      </w:pPr>
      <w:r>
        <w:t>Allowance price: €80/tonne</w:t>
      </w:r>
    </w:p>
    <w:p>
      <w:pPr>
        <w:pStyle w:val="ListBullet"/>
      </w:pPr>
      <w:r>
        <w:t>**Total compliance cost: €40 million**</w:t>
      </w:r>
    </w:p>
    <w:p>
      <w:r>
        <w:t>**Step 2: Direct Purchase Scenario**</w:t>
      </w:r>
    </w:p>
    <w:p>
      <w:r>
        <w:t>Each entity purchases allowances independently:</w:t>
      </w:r>
    </w:p>
    <w:p>
      <w:r>
        <w:t>**France Refinery**:</w:t>
      </w:r>
    </w:p>
    <w:p>
      <w:pPr>
        <w:pStyle w:val="ListBullet"/>
      </w:pPr>
      <w:r>
        <w:t>Purchase cost: 400,000 × €80 = **€32 million**</w:t>
      </w:r>
    </w:p>
    <w:p>
      <w:pPr>
        <w:pStyle w:val="ListBullet"/>
      </w:pPr>
      <w:r>
        <w:t>Tax treatment: Deductible expense under French tax law</w:t>
      </w:r>
    </w:p>
    <w:p>
      <w:pPr>
        <w:pStyle w:val="ListBullet"/>
      </w:pPr>
      <w:r>
        <w:t>Tax savings: €32m × 30% = **€9.6 million**</w:t>
      </w:r>
    </w:p>
    <w:p>
      <w:pPr>
        <w:pStyle w:val="ListBullet"/>
      </w:pPr>
      <w:r>
        <w:t>Net after-tax cost: €32m - €9.6m = **€22.4 million**</w:t>
      </w:r>
    </w:p>
    <w:p>
      <w:r>
        <w:t>**Germany Plant**:</w:t>
      </w:r>
    </w:p>
    <w:p>
      <w:pPr>
        <w:pStyle w:val="ListBullet"/>
      </w:pPr>
      <w:r>
        <w:t>Purchase cost: 100,000 × €80 = **€8 million**</w:t>
      </w:r>
    </w:p>
    <w:p>
      <w:pPr>
        <w:pStyle w:val="ListBullet"/>
      </w:pPr>
      <w:r>
        <w:t>Tax treatment: Deductible under German tax law</w:t>
      </w:r>
    </w:p>
    <w:p>
      <w:pPr>
        <w:pStyle w:val="ListBullet"/>
      </w:pPr>
      <w:r>
        <w:t>Tax savings: €8m × 30% = **€2.4 million**</w:t>
      </w:r>
    </w:p>
    <w:p>
      <w:pPr>
        <w:pStyle w:val="ListBullet"/>
      </w:pPr>
      <w:r>
        <w:t>Net after-tax cost: €8m - €2.4m = **€5.6 million**</w:t>
      </w:r>
    </w:p>
    <w:p>
      <w:r>
        <w:t>**Total Group Cost**:</w:t>
      </w:r>
    </w:p>
    <w:p>
      <w:pPr>
        <w:pStyle w:val="ListBullet"/>
      </w:pPr>
      <w:r>
        <w:t>Gross cost: €40 million</w:t>
      </w:r>
    </w:p>
    <w:p>
      <w:pPr>
        <w:pStyle w:val="ListBullet"/>
      </w:pPr>
      <w:r>
        <w:t>Tax savings: €12 million</w:t>
      </w:r>
    </w:p>
    <w:p>
      <w:pPr>
        <w:pStyle w:val="ListBullet"/>
      </w:pPr>
      <w:r>
        <w:t>**Net cost: €28 million**</w:t>
      </w:r>
    </w:p>
    <w:p>
      <w:r>
        <w:t>**Step 3: Centralized Purchase via Swiss Trading Company**</w:t>
      </w:r>
    </w:p>
    <w:p>
      <w:r>
        <w:t>Alternative structure: PetroTrade AG purchases all allowances and allocates to operating entities.</w:t>
      </w:r>
    </w:p>
    <w:p>
      <w:r>
        <w:t>**Swiss Trading Company Economics**:</w:t>
      </w:r>
    </w:p>
    <w:p>
      <w:pPr>
        <w:pStyle w:val="ListBullet"/>
      </w:pPr>
      <w:r>
        <w:t>Purchase 500,000 allowances: €40 million</w:t>
      </w:r>
    </w:p>
    <w:p>
      <w:pPr>
        <w:pStyle w:val="ListBullet"/>
      </w:pPr>
      <w:r>
        <w:t>On-sell to French refinery: 400,000 @ €82/tonne = €32.8 million</w:t>
      </w:r>
    </w:p>
    <w:p>
      <w:pPr>
        <w:pStyle w:val="ListBullet"/>
      </w:pPr>
      <w:r>
        <w:t>On-sell to German plant: 100,000 @ €82/tonne = €8.2 million</w:t>
      </w:r>
    </w:p>
    <w:p>
      <w:pPr>
        <w:pStyle w:val="ListBullet"/>
      </w:pPr>
      <w:r>
        <w:t>**Total revenue: €41 million**</w:t>
      </w:r>
    </w:p>
    <w:p>
      <w:pPr>
        <w:pStyle w:val="ListBullet"/>
      </w:pPr>
      <w:r>
        <w:t>**Gross margin: €1 million**</w:t>
      </w:r>
    </w:p>
    <w:p>
      <w:pPr>
        <w:pStyle w:val="ListBullet"/>
      </w:pPr>
      <w:r>
        <w:t>Swiss tax @ 11.5%: €115,000</w:t>
      </w:r>
    </w:p>
    <w:p>
      <w:pPr>
        <w:pStyle w:val="ListBullet"/>
      </w:pPr>
      <w:r>
        <w:t>**Net profit: €885,000**</w:t>
      </w:r>
    </w:p>
    <w:p>
      <w:r>
        <w:t>**Tax Efficiency Analysis**:</w:t>
      </w:r>
    </w:p>
    <w:p>
      <w:r>
        <w:t>French Refinery:</w:t>
      </w:r>
    </w:p>
    <w:p>
      <w:pPr>
        <w:pStyle w:val="ListBullet"/>
      </w:pPr>
      <w:r>
        <w:t>Cost: €32.8 million (vs. €32m direct)</w:t>
      </w:r>
    </w:p>
    <w:p>
      <w:pPr>
        <w:pStyle w:val="ListBullet"/>
      </w:pPr>
      <w:r>
        <w:t>Tax deduction: €32.8m × 30% = €9.84m</w:t>
      </w:r>
    </w:p>
    <w:p>
      <w:pPr>
        <w:pStyle w:val="ListBullet"/>
      </w:pPr>
      <w:r>
        <w:t>Net cost: €22.96 million</w:t>
      </w:r>
    </w:p>
    <w:p>
      <w:r>
        <w:t>German Plant:</w:t>
      </w:r>
    </w:p>
    <w:p>
      <w:pPr>
        <w:pStyle w:val="ListBullet"/>
      </w:pPr>
      <w:r>
        <w:t>Cost: €8.2 million (vs. €8m direct)</w:t>
      </w:r>
    </w:p>
    <w:p>
      <w:pPr>
        <w:pStyle w:val="ListBullet"/>
      </w:pPr>
      <w:r>
        <w:t>Tax deduction: €8.2m × 30% = €2.46m</w:t>
      </w:r>
    </w:p>
    <w:p>
      <w:pPr>
        <w:pStyle w:val="ListBullet"/>
      </w:pPr>
      <w:r>
        <w:t>Net cost: €5.74 million</w:t>
      </w:r>
    </w:p>
    <w:p>
      <w:r>
        <w:t>Swiss Company:</w:t>
      </w:r>
    </w:p>
    <w:p>
      <w:pPr>
        <w:pStyle w:val="ListBullet"/>
      </w:pPr>
      <w:r>
        <w:t>Margin: €1 million</w:t>
      </w:r>
    </w:p>
    <w:p>
      <w:pPr>
        <w:pStyle w:val="ListBullet"/>
      </w:pPr>
      <w:r>
        <w:t>Tax: €115,000</w:t>
      </w:r>
    </w:p>
    <w:p>
      <w:pPr>
        <w:pStyle w:val="ListBullet"/>
      </w:pPr>
      <w:r>
        <w:t>Profit after tax: €885,000</w:t>
      </w:r>
    </w:p>
    <w:p>
      <w:r>
        <w:t>**Group Economic Comparison**:</w:t>
      </w:r>
    </w:p>
    <w:p>
      <w:r>
        <w:t>| Scenario | Gross Cost | Tax Benefit | Net Cost | Swiss Profit | **Total Impact** |</w:t>
      </w:r>
    </w:p>
    <w:p>
      <w:r>
        <w:t>|----------|------------|-------------|----------|--------------|------------------|</w:t>
      </w:r>
    </w:p>
    <w:p>
      <w:r>
        <w:t>| Direct Purchase | €40.0m | €12.0m | €28.0m | - | €28.0m |</w:t>
      </w:r>
    </w:p>
    <w:p>
      <w:r>
        <w:t>| Swiss Centralized | €41.0m | €12.3m | €28.7m | €0.885m | €27.815m |</w:t>
      </w:r>
    </w:p>
    <w:p>
      <w:r>
        <w:t>**Net group saving**: €28.0m - €27.815m = **€185,000**</w:t>
      </w:r>
    </w:p>
    <w:p>
      <w:r>
        <w:t>**Step 4: Transfer Pricing Considerations**</w:t>
      </w:r>
    </w:p>
    <w:p>
      <w:r>
        <w:t>The intragroup allowance transfers must satisfy arm's length requirements:</w:t>
      </w:r>
    </w:p>
    <w:p>
      <w:r>
        <w:t>**Arm's Length Price Determination**:</w:t>
      </w:r>
    </w:p>
    <w:p>
      <w:pPr>
        <w:pStyle w:val="ListBullet"/>
      </w:pPr>
      <w:r>
        <w:t>Market price on purchase date: €80/tonne</w:t>
      </w:r>
    </w:p>
    <w:p>
      <w:pPr>
        <w:pStyle w:val="ListBullet"/>
      </w:pPr>
      <w:r>
        <w:t>Market price on transfer date: €82/tonne (assumed)</w:t>
      </w:r>
    </w:p>
    <w:p>
      <w:pPr>
        <w:pStyle w:val="ListBullet"/>
      </w:pPr>
      <w:r>
        <w:t>Transaction costs: €0.50/tonne</w:t>
      </w:r>
    </w:p>
    <w:p>
      <w:pPr>
        <w:pStyle w:val="ListBullet"/>
      </w:pPr>
      <w:r>
        <w:t>Appropriate arm's length range: €80.50 - €82.50/tonne</w:t>
      </w:r>
    </w:p>
    <w:p>
      <w:r>
        <w:t>**Transfer Pricing Documentation Requirements**:</w:t>
      </w:r>
    </w:p>
    <w:p>
      <w:pPr>
        <w:pStyle w:val="ListBullet"/>
      </w:pPr>
      <w:r>
        <w:t>Functional analysis showing PetroTrade AG:</w:t>
      </w:r>
    </w:p>
    <w:p>
      <w:r>
        <w:t xml:space="preserve">   - Bears market timing risk</w:t>
      </w:r>
    </w:p>
    <w:p>
      <w:r>
        <w:t xml:space="preserve">   - Provides procurement and logistics services</w:t>
      </w:r>
    </w:p>
    <w:p>
      <w:r>
        <w:t xml:space="preserve">   - Maintains trading expertise</w:t>
      </w:r>
    </w:p>
    <w:p>
      <w:r>
        <w:t xml:space="preserve">   - Uses working capital</w:t>
      </w:r>
    </w:p>
    <w:p>
      <w:pPr>
        <w:pStyle w:val="ListBullet"/>
      </w:pPr>
      <w:r>
        <w:t>Benchmarking of markup:</w:t>
      </w:r>
    </w:p>
    <w:p>
      <w:r>
        <w:t xml:space="preserve">   - €2/tonne markup = 2.5% on cost</w:t>
      </w:r>
    </w:p>
    <w:p>
      <w:r>
        <w:t xml:space="preserve">   - Comparable commodity trading margins: 1-4%</w:t>
      </w:r>
    </w:p>
    <w:p>
      <w:r>
        <w:t xml:space="preserve">   - **Conclusion**: €2/tonne margin defensible within range</w:t>
      </w:r>
    </w:p>
    <w:p>
      <w:pPr>
        <w:pStyle w:val="ListBullet"/>
      </w:pPr>
      <w:r>
        <w:t>Economic substance requirements:</w:t>
      </w:r>
    </w:p>
    <w:p>
      <w:r>
        <w:t xml:space="preserve">   - Swiss company must have adequate staff</w:t>
      </w:r>
    </w:p>
    <w:p>
      <w:r>
        <w:t xml:space="preserve">   - Decision-making must occur in Switzerland</w:t>
      </w:r>
    </w:p>
    <w:p>
      <w:r>
        <w:t xml:space="preserve">   - Real trading operations, not mere booking center</w:t>
      </w:r>
    </w:p>
    <w:p>
      <w:r>
        <w:t>**Step 5: Tax Authority Challenges**</w:t>
      </w:r>
    </w:p>
    <w:p>
      <w:r>
        <w:t>**Potential French Tax Authority Position**:</w:t>
      </w:r>
    </w:p>
    <w:p>
      <w:pPr>
        <w:pStyle w:val="ListBullet"/>
      </w:pPr>
      <w:r>
        <w:t>Challenge substance of Swiss company</w:t>
      </w:r>
    </w:p>
    <w:p>
      <w:pPr>
        <w:pStyle w:val="ListBullet"/>
      </w:pPr>
      <w:r>
        <w:t>Argue transactions lack commercial rationale</w:t>
      </w:r>
    </w:p>
    <w:p>
      <w:pPr>
        <w:pStyle w:val="ListBullet"/>
      </w:pPr>
      <w:r>
        <w:t>Recharacterize as direct purchase: assess €800,000 (€32.8m - €32m)</w:t>
      </w:r>
    </w:p>
    <w:p>
      <w:pPr>
        <w:pStyle w:val="ListBullet"/>
      </w:pPr>
      <w:r>
        <w:t>Disallow €240,000 tax deduction (€800,000 × 30%)</w:t>
      </w:r>
    </w:p>
    <w:p>
      <w:r>
        <w:t>**Defense**:</w:t>
      </w:r>
    </w:p>
    <w:p>
      <w:pPr>
        <w:pStyle w:val="ListBullet"/>
      </w:pPr>
      <w:r>
        <w:t>Swiss company provides genuine service (market monitoring, bulk purchasing)</w:t>
      </w:r>
    </w:p>
    <w:p>
      <w:pPr>
        <w:pStyle w:val="ListBullet"/>
      </w:pPr>
      <w:r>
        <w:t>Margin is within arm's length range</w:t>
      </w:r>
    </w:p>
    <w:p>
      <w:pPr>
        <w:pStyle w:val="ListBullet"/>
      </w:pPr>
      <w:r>
        <w:t>Economic substance demonstrated by personnel and infrastructure</w:t>
      </w:r>
    </w:p>
    <w:p>
      <w:pPr>
        <w:pStyle w:val="ListBullet"/>
      </w:pPr>
      <w:r>
        <w:t>Group benefits from centralized risk management</w:t>
      </w:r>
    </w:p>
    <w:p>
      <w:r>
        <w:t>**German Tax Authority Considerations**:</w:t>
      </w:r>
    </w:p>
    <w:p>
      <w:pPr>
        <w:pStyle w:val="ListBullet"/>
      </w:pPr>
      <w:r>
        <w:t>Similar analysis as France</w:t>
      </w:r>
    </w:p>
    <w:p>
      <w:pPr>
        <w:pStyle w:val="ListBullet"/>
      </w:pPr>
      <w:r>
        <w:t>Additional scrutiny on interest barrier rules if Swiss entity debt-financed purchases</w:t>
      </w:r>
    </w:p>
    <w:p>
      <w:pPr>
        <w:pStyle w:val="ListBullet"/>
      </w:pPr>
      <w:r>
        <w:t>Document that allowance purchases are not financial instruments under German tax law</w:t>
      </w:r>
    </w:p>
    <w:p>
      <w:r>
        <w:t>**Step 6: Withholding Tax Implications**</w:t>
      </w:r>
    </w:p>
    <w:p>
      <w:r>
        <w:t>**Dividend Repatriation**:</w:t>
      </w:r>
    </w:p>
    <w:p>
      <w:r>
        <w:t>PetroTrade AG distributes €885,000 profit to PetroEurope SA (France):</w:t>
      </w:r>
    </w:p>
    <w:p>
      <w:r>
        <w:t>Under France-Switzerland tax treaty:</w:t>
      </w:r>
    </w:p>
    <w:p>
      <w:pPr>
        <w:pStyle w:val="ListBullet"/>
      </w:pPr>
      <w:r>
        <w:t>Withholding tax rate on dividends: 5% (substantial participation)</w:t>
      </w:r>
    </w:p>
    <w:p>
      <w:pPr>
        <w:pStyle w:val="ListBullet"/>
      </w:pPr>
      <w:r>
        <w:t>Swiss withholding: €885,000 × 5% = **€44,250**</w:t>
      </w:r>
    </w:p>
    <w:p>
      <w:pPr>
        <w:pStyle w:val="ListBullet"/>
      </w:pPr>
      <w:r>
        <w:t>French tax on dividend income:</w:t>
      </w:r>
    </w:p>
    <w:p>
      <w:r>
        <w:t xml:space="preserve">  - Gross dividend: €885,000</w:t>
      </w:r>
    </w:p>
    <w:p>
      <w:r>
        <w:t xml:space="preserve">  - Underlying Swiss tax: €115,000</w:t>
      </w:r>
    </w:p>
    <w:p>
      <w:r>
        <w:t xml:space="preserve">  - Total income: €1,000,000</w:t>
      </w:r>
    </w:p>
    <w:p>
      <w:r>
        <w:t xml:space="preserve">  - French tax @ 30%: €300,000</w:t>
      </w:r>
    </w:p>
    <w:p>
      <w:r>
        <w:t xml:space="preserve">  - Credit for Swiss taxes: €115,000 + €44,250 = €159,250</w:t>
      </w:r>
    </w:p>
    <w:p>
      <w:r>
        <w:t xml:space="preserve">  - **Net French tax due: €140,750**</w:t>
      </w:r>
    </w:p>
    <w:p>
      <w:r>
        <w:t>**Total Group Tax**:</w:t>
      </w:r>
    </w:p>
    <w:p>
      <w:pPr>
        <w:pStyle w:val="ListBullet"/>
      </w:pPr>
      <w:r>
        <w:t>Swiss corporate tax: €115,000</w:t>
      </w:r>
    </w:p>
    <w:p>
      <w:pPr>
        <w:pStyle w:val="ListBullet"/>
      </w:pPr>
      <w:r>
        <w:t>Swiss withholding tax: €44,250</w:t>
      </w:r>
    </w:p>
    <w:p>
      <w:pPr>
        <w:pStyle w:val="ListBullet"/>
      </w:pPr>
      <w:r>
        <w:t>French tax on dividend: €140,750</w:t>
      </w:r>
    </w:p>
    <w:p>
      <w:pPr>
        <w:pStyle w:val="ListBullet"/>
      </w:pPr>
      <w:r>
        <w:t>**Total additional tax on Swiss profits: €300,000** (= 30% of €1m, full French rate)</w:t>
      </w:r>
    </w:p>
    <w:p>
      <w:r>
        <w:t>**Conclusion**: Tax deferral benefit only; ultimate tax rate equals French rate.</w:t>
      </w:r>
    </w:p>
    <w:p>
      <w:r>
        <w:t>**Step 7: Effective Tax Rate Impact**</w:t>
      </w:r>
    </w:p>
    <w:p>
      <w:r>
        <w:t>**Group Consolidated Analysis**:</w:t>
      </w:r>
    </w:p>
    <w:p>
      <w:r>
        <w:t>Pre-ETS Profits:</w:t>
      </w:r>
    </w:p>
    <w:p>
      <w:pPr>
        <w:pStyle w:val="ListBullet"/>
      </w:pPr>
      <w:r>
        <w:t>France Refinery: €50 million</w:t>
      </w:r>
    </w:p>
    <w:p>
      <w:pPr>
        <w:pStyle w:val="ListBullet"/>
      </w:pPr>
      <w:r>
        <w:t>Germany Plant: €20 million</w:t>
      </w:r>
    </w:p>
    <w:p>
      <w:pPr>
        <w:pStyle w:val="ListBullet"/>
      </w:pPr>
      <w:r>
        <w:t>**Total: €70 million**</w:t>
      </w:r>
    </w:p>
    <w:p>
      <w:r>
        <w:t>After ETS Compliance:</w:t>
      </w:r>
    </w:p>
    <w:p>
      <w:pPr>
        <w:pStyle w:val="ListBullet"/>
      </w:pPr>
      <w:r>
        <w:t>France: €50m - €32.8m = €17.2m</w:t>
      </w:r>
    </w:p>
    <w:p>
      <w:pPr>
        <w:pStyle w:val="ListBullet"/>
      </w:pPr>
      <w:r>
        <w:t>Germany: €20m - €8.2m = €11.8m</w:t>
      </w:r>
    </w:p>
    <w:p>
      <w:pPr>
        <w:pStyle w:val="ListBullet"/>
      </w:pPr>
      <w:r>
        <w:t>Switzerland (trading): €1.0m</w:t>
      </w:r>
    </w:p>
    <w:p>
      <w:pPr>
        <w:pStyle w:val="ListBullet"/>
      </w:pPr>
      <w:r>
        <w:t>**Total: €30 million**</w:t>
      </w:r>
    </w:p>
    <w:p>
      <w:r>
        <w:t>Tax Computation:</w:t>
      </w:r>
    </w:p>
    <w:p>
      <w:pPr>
        <w:pStyle w:val="ListBullet"/>
      </w:pPr>
      <w:r>
        <w:t>France: €17.2m × 30% = €5.16m</w:t>
      </w:r>
    </w:p>
    <w:p>
      <w:pPr>
        <w:pStyle w:val="ListBullet"/>
      </w:pPr>
      <w:r>
        <w:t>Germany: €11.8m × 30% = €3.54m</w:t>
      </w:r>
    </w:p>
    <w:p>
      <w:pPr>
        <w:pStyle w:val="ListBullet"/>
      </w:pPr>
      <w:r>
        <w:t>Switzerland: €1.0m × 11.5% = €0.115m</w:t>
      </w:r>
    </w:p>
    <w:p>
      <w:pPr>
        <w:pStyle w:val="ListBullet"/>
      </w:pPr>
      <w:r>
        <w:t>**Total tax: €8.815 million**</w:t>
      </w:r>
    </w:p>
    <w:p>
      <w:r>
        <w:t>**Effective Tax Rate**: €8.815m / €30m = **29.4%**</w:t>
      </w:r>
    </w:p>
    <w:p>
      <w:r>
        <w:t>Without Swiss structure:</w:t>
      </w:r>
    </w:p>
    <w:p>
      <w:pPr>
        <w:pStyle w:val="ListBullet"/>
      </w:pPr>
      <w:r>
        <w:t>Taxes: (€17.6m × 30%) + (€12m × 30%) = €5.28m + €3.6m = €8.88m</w:t>
      </w:r>
    </w:p>
    <w:p>
      <w:pPr>
        <w:pStyle w:val="ListBullet"/>
      </w:pPr>
      <w:r>
        <w:t>ETR: €8.88m / €28m = **31.7%**</w:t>
      </w:r>
    </w:p>
    <w:p>
      <w:r>
        <w:t>**ETR Benefit**: 31.7% - 29.4% = **2.3 percentage points**</w:t>
      </w:r>
    </w:p>
    <w:p>
      <w:r>
        <w:t>**Final Recommendations**:</w:t>
      </w:r>
    </w:p>
    <w:p>
      <w:pPr>
        <w:pStyle w:val="ListBullet"/>
      </w:pPr>
      <w:r>
        <w:t>**Implement centralized allowance purchasing** through well-substantiated Swiss entity</w:t>
      </w:r>
    </w:p>
    <w:p>
      <w:pPr>
        <w:pStyle w:val="ListBullet"/>
      </w:pPr>
      <w:r>
        <w:t>**Maintain robust transfer pricing documentation** demonstrating arm's length pricing</w:t>
      </w:r>
    </w:p>
    <w:p>
      <w:pPr>
        <w:pStyle w:val="ListBullet"/>
      </w:pPr>
      <w:r>
        <w:t>**Ensure Swiss entity has adequate economic substance** to withstand tax authority scrutiny</w:t>
      </w:r>
    </w:p>
    <w:p>
      <w:pPr>
        <w:pStyle w:val="ListBullet"/>
      </w:pPr>
      <w:r>
        <w:t>**Monitor EU ETS price developments** to optimize timing of purchases</w:t>
      </w:r>
    </w:p>
    <w:p>
      <w:pPr>
        <w:pStyle w:val="ListBullet"/>
      </w:pPr>
      <w:r>
        <w:t>**Consider long-term allowance contracts** to hedge price volatility and improve certainty</w:t>
      </w:r>
    </w:p>
    <w:p>
      <w:pPr>
        <w:pStyle w:val="ListBullet"/>
      </w:pPr>
      <w:r>
        <w:t>**Coordinate tax and treasury functions** to optimize cash flow and tax timing</w:t>
      </w:r>
    </w:p>
    <w:p>
      <w:pPr>
        <w:pStyle w:val="ListBullet"/>
      </w:pPr>
      <w:r>
        <w:t>**Evaluate CBAM implications** for products exported outside EU</w:t>
      </w:r>
    </w:p>
    <w:p>
      <w:pPr>
        <w:pStyle w:val="ListBullet"/>
      </w:pPr>
      <w:r>
        <w:t>**Assess carbon leakage provisions** that may provide additional free allocations</w:t>
      </w:r>
    </w:p>
    <w:p>
      <w:r>
        <w:t>**Risk Assessment**:</w:t>
      </w:r>
    </w:p>
    <w:p>
      <w:pPr>
        <w:pStyle w:val="ListBullet"/>
      </w:pPr>
      <w:r>
        <w:t>**High risk**: Transfer pricing challenge if Swiss entity lacks substance</w:t>
      </w:r>
    </w:p>
    <w:p>
      <w:pPr>
        <w:pStyle w:val="ListBullet"/>
      </w:pPr>
      <w:r>
        <w:t>**Medium risk**: Withholding tax challenges on intragroup payments</w:t>
      </w:r>
    </w:p>
    <w:p>
      <w:pPr>
        <w:pStyle w:val="ListBullet"/>
      </w:pPr>
      <w:r>
        <w:t>**Low risk**: Deductibility of ETS compliance costs (established practice)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