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Intellectual property</w:t>
      </w:r>
    </w:p>
    <w:p>
      <w:pPr>
        <w:pStyle w:val="Heading1"/>
      </w:pPr>
      <w:r>
        <w:t>60. Intellectual Property</w:t>
      </w:r>
    </w:p>
    <w:p/>
    <w:p>
      <w:pPr>
        <w:pStyle w:val="Heading2"/>
      </w:pPr>
      <w:r>
        <w:t>1. Introduction</w:t>
      </w:r>
    </w:p>
    <w:p/>
    <w:p>
      <w:r>
        <w:t>**Intellectual property (IP)** in the oil and gas sector encompasses **technical know-how**, **proprietary drilling technologies**, **seismic processing algorithms**, **reservoir simulation software**, **enhanced oil recovery (EOR) methods**, **carbon capture technologies**, **patents**, and **trade secrets**. Multinational groups often centralize IP ownership in dedicated **IP holding companies** located in **low-tax jurisdictions**, licensing the IP to operating affiliates for **royalty payments**.</w:t>
      </w:r>
    </w:p>
    <w:p/>
    <w:p>
      <w:r>
        <w:t>From a transfer pricing perspective, IP transactions raise complex questions: What is the **arm's length royalty rate**? Which entity is entitled to **IP-related returns**? How should **development costs**, **enhancements**, and **maintenance** be allocated? The **Organisation for Economic Co-operation and Development (OECD) Transfer Pricing Guidelines for Multinational Enterprises and Tax Administrations** (2022 edition) address IP extensively in **Chapter VI** (Special Considerations for Intangibles) and the **DEMPE framework** (Development, Enhancement, Maintenance, Protection, Exploitation).</w:t>
      </w:r>
    </w:p>
    <w:p/>
    <w:p>
      <w:r>
        <w:t>This chapter examines **types of IP in oil and gas**, **transfer pricing methods for IP** (Comparable Uncontrolled Transaction (CUT), profit split, Discounted Cash Flow (DCF) valuation), **royalty rate benchmarking**, **DEMPE analysis**, **cost contribution arrangements (CCAs)**, and **hard-to-value intangibles (HTVI)** guidance.</w:t>
      </w:r>
    </w:p>
    <w:p/>
    <w:p>
      <w:r>
        <w:t>---</w:t>
      </w:r>
    </w:p>
    <w:p/>
    <w:p>
      <w:pPr>
        <w:pStyle w:val="Heading2"/>
      </w:pPr>
      <w:r>
        <w:t>2. Types of IP in Oil and Gas</w:t>
      </w:r>
    </w:p>
    <w:p/>
    <w:p>
      <w:pPr>
        <w:pStyle w:val="Heading3"/>
      </w:pPr>
      <w:r>
        <w:t>2.1 Technical Know-How and Trade Secrets</w:t>
      </w:r>
    </w:p>
    <w:p/>
    <w:p>
      <w:r>
        <w:t>**Examples**:</w:t>
      </w:r>
    </w:p>
    <w:p>
      <w:pPr>
        <w:pStyle w:val="ListBullet"/>
      </w:pPr>
      <w:r>
        <w:t>**Drilling techniques**: Directional drilling, horizontal drilling, managed pressure drilling</w:t>
      </w:r>
    </w:p>
    <w:p>
      <w:pPr>
        <w:pStyle w:val="ListBullet"/>
      </w:pPr>
      <w:r>
        <w:t>**Reservoir management**: Water injection patterns, pressure maintenance strategies</w:t>
      </w:r>
    </w:p>
    <w:p>
      <w:pPr>
        <w:pStyle w:val="ListBullet"/>
      </w:pPr>
      <w:r>
        <w:t>**Production optimization**: Artificial lift methods (gas lift, Electric Submersible Pump (ESP), rod pump selection)</w:t>
      </w:r>
    </w:p>
    <w:p>
      <w:pPr>
        <w:pStyle w:val="ListBullet"/>
      </w:pPr>
      <w:r>
        <w:t>**EOR methods**: Carbon dioxide (CO2) injection, steam-assisted gravity drainage (SAGD), chemical flooding</w:t>
      </w:r>
    </w:p>
    <w:p/>
    <w:p>
      <w:r>
        <w:t>**Characteristics**:</w:t>
      </w:r>
    </w:p>
    <w:p>
      <w:pPr>
        <w:pStyle w:val="ListBullet"/>
      </w:pPr>
      <w:r>
        <w:t>**Not patented** (maintained as trade secrets to avoid disclosure)</w:t>
      </w:r>
    </w:p>
    <w:p>
      <w:pPr>
        <w:pStyle w:val="ListBullet"/>
      </w:pPr>
      <w:r>
        <w:t>**Proprietary knowledge** developed through research and development (R&amp;D) and operational experience</w:t>
      </w:r>
    </w:p>
    <w:p>
      <w:pPr>
        <w:pStyle w:val="ListBullet"/>
      </w:pPr>
      <w:r>
        <w:t>**Competitive advantage**: Superior well productivity, lower operating costs</w:t>
      </w:r>
    </w:p>
    <w:p/>
    <w:p>
      <w:r>
        <w:t>**Transfer pricing issue**: Should operating affiliates pay **royalties** to parent for use of proprietary know-how?</w:t>
      </w:r>
    </w:p>
    <w:p/>
    <w:p>
      <w:pPr>
        <w:pStyle w:val="Heading3"/>
      </w:pPr>
      <w:r>
        <w:t>2.2 Patents</w:t>
      </w:r>
    </w:p>
    <w:p/>
    <w:p>
      <w:r>
        <w:t>**Examples**:</w:t>
      </w:r>
    </w:p>
    <w:p>
      <w:pPr>
        <w:pStyle w:val="ListBullet"/>
      </w:pPr>
      <w:r>
        <w:t>**Drilling equipment**: Drill bits, downhole tools, blowout preventers (BOPs)</w:t>
      </w:r>
    </w:p>
    <w:p>
      <w:pPr>
        <w:pStyle w:val="ListBullet"/>
      </w:pPr>
      <w:r>
        <w:t>**Subsea systems**: Subsea trees, manifolds, control systems</w:t>
      </w:r>
    </w:p>
    <w:p>
      <w:pPr>
        <w:pStyle w:val="ListBullet"/>
      </w:pPr>
      <w:r>
        <w:t>**Liquefied Natural Gas (LNG) technologies**: Liquefaction processes (Air Products, Shell Dual Mixed Refrigerant (DMR), ConocoPhillips Optimized Cascade)</w:t>
      </w:r>
    </w:p>
    <w:p>
      <w:pPr>
        <w:pStyle w:val="ListBullet"/>
      </w:pPr>
      <w:r>
        <w:t>**Carbon capture**: CO2 capture solvents, compression systems</w:t>
      </w:r>
    </w:p>
    <w:p/>
    <w:p>
      <w:r>
        <w:t>**Characteristics**:</w:t>
      </w:r>
    </w:p>
    <w:p>
      <w:pPr>
        <w:pStyle w:val="ListBullet"/>
      </w:pPr>
      <w:r>
        <w:t>**Legally protected** (20-year patent term)</w:t>
      </w:r>
    </w:p>
    <w:p>
      <w:pPr>
        <w:pStyle w:val="ListBullet"/>
      </w:pPr>
      <w:r>
        <w:t>**Publicly disclosed** (patent applications, granted patents)</w:t>
      </w:r>
    </w:p>
    <w:p>
      <w:pPr>
        <w:pStyle w:val="ListBullet"/>
      </w:pPr>
      <w:r>
        <w:t>**Licensing potential**: Can be licensed to third parties for royalties</w:t>
      </w:r>
    </w:p>
    <w:p/>
    <w:p>
      <w:r>
        <w:t>**Transfer pricing issue**: Arm's length royalty rates for **patented technologies**.</w:t>
      </w:r>
    </w:p>
    <w:p/>
    <w:p>
      <w:pPr>
        <w:pStyle w:val="Heading3"/>
      </w:pPr>
      <w:r>
        <w:t>2.3 Software and Algorithms</w:t>
      </w:r>
    </w:p>
    <w:p/>
    <w:p>
      <w:r>
        <w:t>**Examples**:</w:t>
      </w:r>
    </w:p>
    <w:p>
      <w:pPr>
        <w:pStyle w:val="ListBullet"/>
      </w:pPr>
      <w:r>
        <w:t>**Seismic processing**: Depth imaging algorithms, noise reduction techniques</w:t>
      </w:r>
    </w:p>
    <w:p>
      <w:pPr>
        <w:pStyle w:val="ListBullet"/>
      </w:pPr>
      <w:r>
        <w:t>**Reservoir simulation**: Finite difference models, streamline simulation, decline curve analysis</w:t>
      </w:r>
    </w:p>
    <w:p>
      <w:pPr>
        <w:pStyle w:val="ListBullet"/>
      </w:pPr>
      <w:r>
        <w:t>**Production optimization**: Real-time optimization algorithms, predictive maintenance (machine learning)</w:t>
      </w:r>
    </w:p>
    <w:p>
      <w:pPr>
        <w:pStyle w:val="ListBullet"/>
      </w:pPr>
      <w:r>
        <w:t>**Trading algorithms**: Price forecasting, arbitrage identification, risk management</w:t>
      </w:r>
    </w:p>
    <w:p/>
    <w:p>
      <w:r>
        <w:t>**Characteristics**:</w:t>
      </w:r>
    </w:p>
    <w:p>
      <w:pPr>
        <w:pStyle w:val="ListBullet"/>
      </w:pPr>
      <w:r>
        <w:t>**Software** (code, user interfaces, databases)</w:t>
      </w:r>
    </w:p>
    <w:p>
      <w:pPr>
        <w:pStyle w:val="ListBullet"/>
      </w:pPr>
      <w:r>
        <w:t>**Algorithms** (mathematical models, machine learning models)</w:t>
      </w:r>
    </w:p>
    <w:p>
      <w:pPr>
        <w:pStyle w:val="ListBullet"/>
      </w:pPr>
      <w:r>
        <w:t>**Continuous enhancement** (updates, new features, accuracy improvements)</w:t>
      </w:r>
    </w:p>
    <w:p/>
    <w:p>
      <w:r>
        <w:t>**Transfer pricing issue**: Should affiliates pay **software license fees** or **royalties** for proprietary software?</w:t>
      </w:r>
    </w:p>
    <w:p/>
    <w:p>
      <w:pPr>
        <w:pStyle w:val="Heading3"/>
      </w:pPr>
      <w:r>
        <w:t>2.4 Data and Databases</w:t>
      </w:r>
    </w:p>
    <w:p/>
    <w:p>
      <w:r>
        <w:t>**Examples**:</w:t>
      </w:r>
    </w:p>
    <w:p>
      <w:pPr>
        <w:pStyle w:val="ListBullet"/>
      </w:pPr>
      <w:r>
        <w:t>**Seismic data libraries**: 2D, 3D, 4D seismic surveys (terabytes of data)</w:t>
      </w:r>
    </w:p>
    <w:p>
      <w:pPr>
        <w:pStyle w:val="ListBullet"/>
      </w:pPr>
      <w:r>
        <w:t>**Well databases**: Drilling data, completion data, production histories</w:t>
      </w:r>
    </w:p>
    <w:p>
      <w:pPr>
        <w:pStyle w:val="ListBullet"/>
      </w:pPr>
      <w:r>
        <w:t>**Geological databases**: Core samples, formation tops, petrophysical properties</w:t>
      </w:r>
    </w:p>
    <w:p>
      <w:pPr>
        <w:pStyle w:val="ListBullet"/>
      </w:pPr>
      <w:r>
        <w:t>**Market intelligence**: Commodity price databases, trading counterparty credit data</w:t>
      </w:r>
    </w:p>
    <w:p/>
    <w:p>
      <w:r>
        <w:t>**Characteristics**:</w:t>
      </w:r>
    </w:p>
    <w:p>
      <w:pPr>
        <w:pStyle w:val="ListBullet"/>
      </w:pPr>
      <w:r>
        <w:t>**Expensive to acquire**: Seismic surveys cost $10-100M depending on area/quality</w:t>
      </w:r>
    </w:p>
    <w:p>
      <w:pPr>
        <w:pStyle w:val="ListBullet"/>
      </w:pPr>
      <w:r>
        <w:t>**Long-lived value**: Seismic data used for 10-20 years (reprocessing with new algorithms)</w:t>
      </w:r>
    </w:p>
    <w:p>
      <w:pPr>
        <w:pStyle w:val="ListBullet"/>
      </w:pPr>
      <w:r>
        <w:t>**Proprietary**: Competitive advantage (e.g., exclusive seismic data for offshore block)</w:t>
      </w:r>
    </w:p>
    <w:p/>
    <w:p>
      <w:r>
        <w:t>**Transfer pricing issue**: Should affiliates pay for **access to databases**?</w:t>
      </w:r>
    </w:p>
    <w:p/>
    <w:p>
      <w:r>
        <w:t>---</w:t>
      </w:r>
    </w:p>
    <w:p/>
    <w:p>
      <w:pPr>
        <w:pStyle w:val="Heading2"/>
      </w:pPr>
      <w:r>
        <w:t>3. Transfer Pricing Methods for IP</w:t>
      </w:r>
    </w:p>
    <w:p/>
    <w:p>
      <w:pPr>
        <w:pStyle w:val="Heading3"/>
      </w:pPr>
      <w:r>
        <w:t>3.1 Comparable Uncontrolled Transaction (CUT) Method</w:t>
      </w:r>
    </w:p>
    <w:p/>
    <w:p>
      <w:r>
        <w:t>**Definition**: Compare royalty rate in controlled transaction to royalty rate in comparable uncontrolled transaction.</w:t>
      </w:r>
    </w:p>
    <w:p/>
    <w:p>
      <w:r>
        <w:t>**Application to IP licensing**:</w:t>
      </w:r>
    </w:p>
    <w:p/>
    <w:p>
      <w:r>
        <w:t>**Formula**:</w:t>
      </w:r>
    </w:p>
    <w:p>
      <w:r>
        <w:t>```</w:t>
      </w:r>
    </w:p>
    <w:p>
      <w:r>
        <w:t>Arm's Length Royalty Rate = CUT (comparable uncontrolled royalty rate) ± Adjustments</w:t>
      </w:r>
    </w:p>
    <w:p>
      <w:r>
        <w:t>```</w:t>
      </w:r>
    </w:p>
    <w:p/>
    <w:p>
      <w:r>
        <w:t>**Example**:</w:t>
      </w:r>
    </w:p>
    <w:p/>
    <w:p>
      <w:r>
        <w:t>```</w:t>
      </w:r>
    </w:p>
    <w:p>
      <w:r>
        <w:t>IP Holding Co. (Ireland) licenses drilling technology to Operating Co. (Nigeria):</w:t>
      </w:r>
    </w:p>
    <w:p/>
    <w:p>
      <w:r>
        <w:t>Internal comparable:</w:t>
      </w:r>
    </w:p>
    <w:p>
      <w:pPr>
        <w:pStyle w:val="ListBullet"/>
      </w:pPr>
      <w:r>
        <w:t>IP Holding Co. licenses same technology to independent third party (Baker Hughes) for 5% royalty on revenue</w:t>
      </w:r>
    </w:p>
    <w:p/>
    <w:p>
      <w:r>
        <w:t>Transfer pricing:</w:t>
      </w:r>
    </w:p>
    <w:p>
      <w:pPr>
        <w:pStyle w:val="ListBullet"/>
      </w:pPr>
      <w:r>
        <w:t>Use Internal CUT: 5% royalty rate</w:t>
      </w:r>
    </w:p>
    <w:p>
      <w:pPr>
        <w:pStyle w:val="ListBullet"/>
      </w:pPr>
      <w:r>
        <w:t>No adjustments required (same technology, same industry)</w:t>
      </w:r>
    </w:p>
    <w:p/>
    <w:p>
      <w:r>
        <w:t>Operating Co. annual revenue: $500 million</w:t>
      </w:r>
    </w:p>
    <w:p>
      <w:r>
        <w:t>Royalty payment: $500M × 5% = $25 million</w:t>
      </w:r>
    </w:p>
    <w:p>
      <w:r>
        <w:t>```</w:t>
      </w:r>
    </w:p>
    <w:p/>
    <w:p>
      <w:r>
        <w:t>**Challenges**:</w:t>
      </w:r>
    </w:p>
    <w:p>
      <w:pPr>
        <w:pStyle w:val="ListBullet"/>
      </w:pPr>
      <w:r>
        <w:t>**Lack of comparables**: Most IP licensing in oil &amp; gas is **intra-group** (limited third-party licensing)</w:t>
      </w:r>
    </w:p>
    <w:p>
      <w:pPr>
        <w:pStyle w:val="ListBullet"/>
      </w:pPr>
      <w:r>
        <w:t>**Confidentiality**: Third-party royalty rates often **confidential** (not publicly disclosed)</w:t>
      </w:r>
    </w:p>
    <w:p>
      <w:pPr>
        <w:pStyle w:val="ListBullet"/>
      </w:pPr>
      <w:r>
        <w:t>**Comparability**: IP is unique; finding "comparable" technology difficult</w:t>
      </w:r>
    </w:p>
    <w:p/>
    <w:p>
      <w:r>
        <w:t>**Data sources**:</w:t>
      </w:r>
    </w:p>
    <w:p>
      <w:pPr>
        <w:pStyle w:val="ListBullet"/>
      </w:pPr>
      <w:r>
        <w:t>**ktMINE**: Royalty rate database (covers various industries, including oil &amp; gas technology)</w:t>
      </w:r>
    </w:p>
    <w:p>
      <w:pPr>
        <w:pStyle w:val="ListBullet"/>
      </w:pPr>
      <w:r>
        <w:t>**RoyaltyRange**: IP valuation and royalty rate database</w:t>
      </w:r>
    </w:p>
    <w:p>
      <w:pPr>
        <w:pStyle w:val="ListBullet"/>
      </w:pPr>
      <w:r>
        <w:t>**RoyaltyStat**: Transfer pricing comparables database</w:t>
      </w:r>
    </w:p>
    <w:p/>
    <w:p>
      <w:r>
        <w:t>**Typical royalty rates** (oil &amp; gas):</w:t>
      </w:r>
    </w:p>
    <w:p/>
    <w:p>
      <w:r>
        <w:t>| **Technology Type** | **Typical Royalty Rate** |</w:t>
      </w:r>
    </w:p>
    <w:p>
      <w:r>
        <w:t>|---|---|</w:t>
      </w:r>
    </w:p>
    <w:p>
      <w:r>
        <w:t>| **Drilling technology** (routine) | 3-5% of revenue or 5-10% of cost savings |</w:t>
      </w:r>
    </w:p>
    <w:p>
      <w:r>
        <w:t>| **Advanced drilling** (deepwater, High Pressure High Temperature (HPHT)) | 5-10% of revenue or 10-20% of cost savings |</w:t>
      </w:r>
    </w:p>
    <w:p>
      <w:r>
        <w:t>| **Seismic processing software** | 2-5% of revenue from seismic services |</w:t>
      </w:r>
    </w:p>
    <w:p>
      <w:r>
        <w:t>| **EOR technology** (incremental recovery) | 5-15% of incremental revenue or profit |</w:t>
      </w:r>
    </w:p>
    <w:p>
      <w:r>
        <w:t>| **LNG liquefaction process** | 3-7% of liquefaction revenue |</w:t>
      </w:r>
    </w:p>
    <w:p/>
    <w:p>
      <w:pPr>
        <w:pStyle w:val="Heading3"/>
      </w:pPr>
      <w:r>
        <w:t>3.2 Profit Split Method</w:t>
      </w:r>
    </w:p>
    <w:p/>
    <w:p>
      <w:r>
        <w:t>**Application**: When IP is developed **jointly** by multiple entities, or when IP is **highly valuable** and no reliable CUTs exist.</w:t>
      </w:r>
    </w:p>
    <w:p/>
    <w:p>
      <w:r>
        <w:t>**Example**:</w:t>
      </w:r>
    </w:p>
    <w:p/>
    <w:p>
      <w:r>
        <w:t>```</w:t>
      </w:r>
    </w:p>
    <w:p>
      <w:r>
        <w:t>Scenario: Parent (Norway) and Subsidiary (Brazil) jointly develop subsea production system:</w:t>
      </w:r>
    </w:p>
    <w:p>
      <w:pPr>
        <w:pStyle w:val="ListBullet"/>
      </w:pPr>
      <w:r>
        <w:t>Parent: Contributed initial concept, design engineering (cost: $10M)</w:t>
      </w:r>
    </w:p>
    <w:p>
      <w:pPr>
        <w:pStyle w:val="ListBullet"/>
      </w:pPr>
      <w:r>
        <w:t>Subsidiary: Field testing, adaptation to local conditions (cost: $5M)</w:t>
      </w:r>
    </w:p>
    <w:p/>
    <w:p>
      <w:r>
        <w:t>Technology licensed to third party (Angola OpCo): Generates $30M annual profit</w:t>
      </w:r>
    </w:p>
    <w:p/>
    <w:p>
      <w:r>
        <w:t>Profit split:</w:t>
      </w:r>
    </w:p>
    <w:p>
      <w:pPr>
        <w:pStyle w:val="ListBullet"/>
      </w:pPr>
      <w:r>
        <w:t>Parent contribution: 67% (design, concept development)</w:t>
      </w:r>
    </w:p>
    <w:p>
      <w:pPr>
        <w:pStyle w:val="ListBullet"/>
      </w:pPr>
      <w:r>
        <w:t>Subsidiary contribution: 33% (field testing, adaptation)</w:t>
      </w:r>
    </w:p>
    <w:p/>
    <w:p>
      <w:r>
        <w:t>Allocated profit:</w:t>
      </w:r>
    </w:p>
    <w:p>
      <w:pPr>
        <w:pStyle w:val="ListBullet"/>
      </w:pPr>
      <w:r>
        <w:t>Parent: $30M × 67% = $20.1M</w:t>
      </w:r>
    </w:p>
    <w:p>
      <w:pPr>
        <w:pStyle w:val="ListBullet"/>
      </w:pPr>
      <w:r>
        <w:t>Subsidiary: $30M × 33% = $9.9M</w:t>
      </w:r>
    </w:p>
    <w:p>
      <w:r>
        <w:t>```</w:t>
      </w:r>
    </w:p>
    <w:p/>
    <w:p>
      <w:r>
        <w:t>**Documentation**: Functional analysis documenting each entity's contribution to IP development.</w:t>
      </w:r>
    </w:p>
    <w:p/>
    <w:p>
      <w:pPr>
        <w:pStyle w:val="Heading3"/>
      </w:pPr>
      <w:r>
        <w:t>3.3 Discounted Cash Flow (DCF) Valuation</w:t>
      </w:r>
    </w:p>
    <w:p/>
    <w:p>
      <w:r>
        <w:t>**Application**: Valuing IP for **transfer pricing purposes** (e.g., IP transfer from one entity to another) or determining **arm's length royalty rate** based on IP's economic value.</w:t>
      </w:r>
    </w:p>
    <w:p/>
    <w:p>
      <w:r>
        <w:t>**Steps**:</w:t>
      </w:r>
    </w:p>
    <w:p/>
    <w:p>
      <w:r>
        <w:t>1. **Project cash flows** attributable to IP (incremental revenue or cost savings from using IP)</w:t>
      </w:r>
    </w:p>
    <w:p>
      <w:r>
        <w:t>2. **Discount to present value** using appropriate discount rate (Weighted Average Cost of Capital (WACC) or risk-adjusted rate)</w:t>
      </w:r>
    </w:p>
    <w:p>
      <w:r>
        <w:t>3. **Calculate royalty rate** that allocates appropriate share of IP value to licensor</w:t>
      </w:r>
    </w:p>
    <w:p/>
    <w:p>
      <w:r>
        <w:t>**Example**:</w:t>
      </w:r>
    </w:p>
    <w:p/>
    <w:p>
      <w:r>
        <w:t>```</w:t>
      </w:r>
    </w:p>
    <w:p>
      <w:r>
        <w:t>IP: Proprietary EOR technology increasing recovery by 10% (incremental 50 million barrels over 10 years)</w:t>
      </w:r>
    </w:p>
    <w:p/>
    <w:p>
      <w:r>
        <w:t>Incremental cash flows:</w:t>
      </w:r>
    </w:p>
    <w:p>
      <w:pPr>
        <w:pStyle w:val="ListBullet"/>
      </w:pPr>
      <w:r>
        <w:t>Year 1-10: 5M bbl/year × $80/bbl = $400M annually</w:t>
      </w:r>
    </w:p>
    <w:p>
      <w:pPr>
        <w:pStyle w:val="ListBullet"/>
      </w:pPr>
      <w:r>
        <w:t>Operating costs: $200M annually</w:t>
      </w:r>
    </w:p>
    <w:p>
      <w:pPr>
        <w:pStyle w:val="ListBullet"/>
      </w:pPr>
      <w:r>
        <w:t>Incremental cash flow: $200M annually</w:t>
      </w:r>
    </w:p>
    <w:p/>
    <w:p>
      <w:r>
        <w:t>DCF valuation:</w:t>
      </w:r>
    </w:p>
    <w:p>
      <w:pPr>
        <w:pStyle w:val="ListBullet"/>
      </w:pPr>
      <w:r>
        <w:t>Discount rate: 12% (reflecting technology risk, oil price risk)</w:t>
      </w:r>
    </w:p>
    <w:p>
      <w:pPr>
        <w:pStyle w:val="ListBullet"/>
      </w:pPr>
      <w:r>
        <w:t>Present value (PV) factor (10 years, 12%): 5.650</w:t>
      </w:r>
    </w:p>
    <w:p>
      <w:pPr>
        <w:pStyle w:val="ListBullet"/>
      </w:pPr>
      <w:r>
        <w:t>PV of incremental cash flows: $200M × 5.650 = $1.13 billion</w:t>
      </w:r>
    </w:p>
    <w:p/>
    <w:p>
      <w:r>
        <w:t>Arm's length royalty:</w:t>
      </w:r>
    </w:p>
    <w:p>
      <w:pPr>
        <w:pStyle w:val="ListBullet"/>
      </w:pPr>
      <w:r>
        <w:t>IP Holding Co. (owner) should receive fair compensation for $1.13B value created</w:t>
      </w:r>
    </w:p>
    <w:p>
      <w:pPr>
        <w:pStyle w:val="ListBullet"/>
      </w:pPr>
      <w:r>
        <w:t>Typical allocation: 40-60% of value to IP owner (depending on other contributions)</w:t>
      </w:r>
    </w:p>
    <w:p>
      <w:pPr>
        <w:pStyle w:val="ListBullet"/>
      </w:pPr>
      <w:r>
        <w:t>IP value allocated to owner: $1.13B × 50% = $565M</w:t>
      </w:r>
    </w:p>
    <w:p/>
    <w:p>
      <w:r>
        <w:t>Royalty rate calculation:</w:t>
      </w:r>
    </w:p>
    <w:p>
      <w:pPr>
        <w:pStyle w:val="ListBullet"/>
      </w:pPr>
      <w:r>
        <w:t>Annual royalty (annuity over 10 years): $565M ÷ 5.650 = $100M annually</w:t>
      </w:r>
    </w:p>
    <w:p>
      <w:pPr>
        <w:pStyle w:val="ListBullet"/>
      </w:pPr>
      <w:r>
        <w:t>As % of incremental revenue: $100M ÷ $400M = 25% royalty rate</w:t>
      </w:r>
    </w:p>
    <w:p>
      <w:r>
        <w:t>```</w:t>
      </w:r>
    </w:p>
    <w:p/>
    <w:p>
      <w:r>
        <w:t>**Sensitivity analysis**: Test impact of varying oil prices, recovery factors, and discount rates.</w:t>
      </w:r>
    </w:p>
    <w:p/>
    <w:p>
      <w:r>
        <w:t>---</w:t>
      </w:r>
    </w:p>
    <w:p/>
    <w:p>
      <w:pPr>
        <w:pStyle w:val="Heading2"/>
      </w:pPr>
      <w:r>
        <w:t>4. DEMPE Analysis</w:t>
      </w:r>
    </w:p>
    <w:p/>
    <w:p>
      <w:pPr>
        <w:pStyle w:val="Heading3"/>
      </w:pPr>
      <w:r>
        <w:t>4.1 OECD DEMPE Framework</w:t>
      </w:r>
    </w:p>
    <w:p/>
    <w:p>
      <w:r>
        <w:t>**OECD Guidelines Chapter VI** (2017 revisions incorporated into 2022 edition) introduced the **DEMPE framework** to determine which entity(ies) are entitled to **IP-related returns**.</w:t>
      </w:r>
    </w:p>
    <w:p/>
    <w:p>
      <w:r>
        <w:t>**DEMPE stands for**:</w:t>
      </w:r>
    </w:p>
    <w:p>
      <w:pPr>
        <w:pStyle w:val="ListBullet"/>
      </w:pPr>
      <w:r>
        <w:t>**D**evelopment: R&amp;D activities creating IP</w:t>
      </w:r>
    </w:p>
    <w:p>
      <w:pPr>
        <w:pStyle w:val="ListBullet"/>
      </w:pPr>
      <w:r>
        <w:t>**E**nhancement: Improvements to IP (upgrades, new features)</w:t>
      </w:r>
    </w:p>
    <w:p>
      <w:pPr>
        <w:pStyle w:val="ListBullet"/>
      </w:pPr>
      <w:r>
        <w:t>**M**aintenance: Ongoing support (bug fixes, user support)</w:t>
      </w:r>
    </w:p>
    <w:p>
      <w:pPr>
        <w:pStyle w:val="ListBullet"/>
      </w:pPr>
      <w:r>
        <w:t>**P**rotection: Legal protection (patents, trademarks, trade secret controls)</w:t>
      </w:r>
    </w:p>
    <w:p>
      <w:pPr>
        <w:pStyle w:val="ListBullet"/>
      </w:pPr>
      <w:r>
        <w:t>**E**xploitation: Commercial use of IP (licensing, embedding in products/services)</w:t>
      </w:r>
    </w:p>
    <w:p/>
    <w:p>
      <w:r>
        <w:t>**Key principle**: Entity **performing and controlling** DEMPE functions (and **funding** DEMPE activities) is entitled to **IP-related returns**.</w:t>
      </w:r>
    </w:p>
    <w:p/>
    <w:p>
      <w:r>
        <w:t>**Implication**: **Legal ownership alone is insufficient**; tax authorities will **attribute profits** to entities performing DEMPE functions.</w:t>
      </w:r>
    </w:p>
    <w:p/>
    <w:p>
      <w:pPr>
        <w:pStyle w:val="Heading3"/>
      </w:pPr>
      <w:r>
        <w:t>4.2 Example: Seismic Processing Software</w:t>
      </w:r>
    </w:p>
    <w:p/>
    <w:p>
      <w:r>
        <w:t>**Scenario**:</w:t>
      </w:r>
    </w:p>
    <w:p/>
    <w:p>
      <w:r>
        <w:t>```</w:t>
      </w:r>
    </w:p>
    <w:p>
      <w:r>
        <w:t>Structure:</w:t>
      </w:r>
    </w:p>
    <w:p>
      <w:pPr>
        <w:pStyle w:val="ListBullet"/>
      </w:pPr>
      <w:r>
        <w:t>IP Holding Co. (Ireland): Owns seismic processing software (legal owner)</w:t>
      </w:r>
    </w:p>
    <w:p>
      <w:pPr>
        <w:pStyle w:val="ListBullet"/>
      </w:pPr>
      <w:r>
        <w:t>R&amp;D Co. (Norway): Employs 50 software engineers developing and enhancing software</w:t>
      </w:r>
    </w:p>
    <w:p>
      <w:pPr>
        <w:pStyle w:val="ListBullet"/>
      </w:pPr>
      <w:r>
        <w:t>Operating Co. (Nigeria): Uses software for seismic processing services (revenue: $100M)</w:t>
      </w:r>
    </w:p>
    <w:p/>
    <w:p>
      <w:r>
        <w:t>Royalty: Operating Co. pays IP Holding Co. $10M (10% of revenue)</w:t>
      </w:r>
    </w:p>
    <w:p/>
    <w:p>
      <w:r>
        <w:t>Tax authority challenge (Norway):</w:t>
      </w:r>
    </w:p>
    <w:p>
      <w:pPr>
        <w:pStyle w:val="ListBullet"/>
      </w:pPr>
      <w:r>
        <w:t>R&amp;D Co. performs **Development and Enhancement** (employs all engineers, funds $20M annually)</w:t>
      </w:r>
    </w:p>
    <w:p>
      <w:pPr>
        <w:pStyle w:val="ListBullet"/>
      </w:pPr>
      <w:r>
        <w:t>IP Holding Co. performs minimal functions (owns IP legally, but no personnel, no funding)</w:t>
      </w:r>
    </w:p>
    <w:p>
      <w:pPr>
        <w:pStyle w:val="ListBullet"/>
      </w:pPr>
      <w:r>
        <w:t>Norway claims: IP-related returns should be attributed to R&amp;D Co. (where DEMPE occurs), not IP Holding Co.</w:t>
      </w:r>
    </w:p>
    <w:p>
      <w:r>
        <w:t>```</w:t>
      </w:r>
    </w:p>
    <w:p/>
    <w:p>
      <w:r>
        <w:t>**DEMPE analysis**:</w:t>
      </w:r>
    </w:p>
    <w:p/>
    <w:p>
      <w:r>
        <w:t>| **Function** | **IP Holding Co. (Ireland)** | **R&amp;D Co. (Norway)** | **Operating Co. (Nigeria)** |</w:t>
      </w:r>
    </w:p>
    <w:p>
      <w:r>
        <w:t>|---|---|---|---|</w:t>
      </w:r>
    </w:p>
    <w:p>
      <w:r>
        <w:t>| **Development** | ✗ (no R&amp;D personnel) | ✓ (50 engineers, $20M funding) | ✗ |</w:t>
      </w:r>
    </w:p>
    <w:p>
      <w:r>
        <w:t>| **Enhancement** | ✗ | ✓ (ongoing software updates) | ✗ |</w:t>
      </w:r>
    </w:p>
    <w:p>
      <w:r>
        <w:t>| **Maintenance** | ✗ | ✓ (bug fixes, user support) | ✗ |</w:t>
      </w:r>
    </w:p>
    <w:p>
      <w:r>
        <w:t>| **Protection** | ✓ (owns legal rights, copyright registration) | ✗ | ✗ |</w:t>
      </w:r>
    </w:p>
    <w:p>
      <w:r>
        <w:t>| **Exploitation** | ✓ (licenses to Operating Co.) | ✗ | ✓ (uses software commercially) |</w:t>
      </w:r>
    </w:p>
    <w:p/>
    <w:p>
      <w:r>
        <w:t>**Conclusion**: **R&amp;D Co. performs majority of DEMPE functions** (D, E, M); entitled to **IP-related returns**.</w:t>
      </w:r>
    </w:p>
    <w:p/>
    <w:p>
      <w:r>
        <w:t>**Arm's length allocation**:</w:t>
      </w:r>
    </w:p>
    <w:p/>
    <w:p>
      <w:r>
        <w:t>```</w:t>
      </w:r>
    </w:p>
    <w:p>
      <w:r>
        <w:t>Operating Co. revenue: $100M</w:t>
      </w:r>
    </w:p>
    <w:p>
      <w:r>
        <w:t>Operating Co. costs (excluding royalty): $70M</w:t>
      </w:r>
    </w:p>
    <w:p>
      <w:r>
        <w:t>Gross profit: $30M</w:t>
      </w:r>
    </w:p>
    <w:p/>
    <w:p>
      <w:r>
        <w:t>Allocation:</w:t>
      </w:r>
    </w:p>
    <w:p>
      <w:pPr>
        <w:pStyle w:val="ListBullet"/>
      </w:pPr>
      <w:r>
        <w:t>R&amp;D Co. (DEMPE): 60% of gross profit = $18M (compensation for D, E, M functions)</w:t>
      </w:r>
    </w:p>
    <w:p>
      <w:pPr>
        <w:pStyle w:val="ListBullet"/>
      </w:pPr>
      <w:r>
        <w:t>IP Holding Co. (legal owner, exploitation): 25% = $7.5M (compensation for ownership, licensing)</w:t>
      </w:r>
    </w:p>
    <w:p>
      <w:pPr>
        <w:pStyle w:val="ListBullet"/>
      </w:pPr>
      <w:r>
        <w:t>Operating Co. (routine processing): 15% = $4.5M (routine margin for service provider)</w:t>
      </w:r>
    </w:p>
    <w:p/>
    <w:p>
      <w:r>
        <w:t>Revised royalties:</w:t>
      </w:r>
    </w:p>
    <w:p>
      <w:pPr>
        <w:pStyle w:val="ListBullet"/>
      </w:pPr>
      <w:r>
        <w:t>Operating Co. → R&amp;D Co.: $18M (cost-sharing or service fee for software development)</w:t>
      </w:r>
    </w:p>
    <w:p>
      <w:pPr>
        <w:pStyle w:val="ListBullet"/>
      </w:pPr>
      <w:r>
        <w:t>Operating Co. → IP Holding Co.: $7.5M (royalty for IP license)</w:t>
      </w:r>
    </w:p>
    <w:p>
      <w:r>
        <w:t>```</w:t>
      </w:r>
    </w:p>
    <w:p/>
    <w:p>
      <w:r>
        <w:t>**Documentation**: Service agreements documenting R&amp;D Co.'s development services and cost allocation.</w:t>
      </w:r>
    </w:p>
    <w:p/>
    <w:p>
      <w:r>
        <w:t>---</w:t>
      </w:r>
    </w:p>
    <w:p/>
    <w:p>
      <w:pPr>
        <w:pStyle w:val="Heading2"/>
      </w:pPr>
      <w:r>
        <w:t>5. Cost Contribution Arrangements (CCAs)</w:t>
      </w:r>
    </w:p>
    <w:p/>
    <w:p>
      <w:pPr>
        <w:pStyle w:val="Heading3"/>
      </w:pPr>
      <w:r>
        <w:t>5.1 Definition</w:t>
      </w:r>
    </w:p>
    <w:p/>
    <w:p>
      <w:r>
        <w:t>A **Cost Contribution Arrangement (CCA)** is an agreement among group members to **share costs and risks** of developing IP in exchange for **proportionate shares** of IP ownership and benefits.</w:t>
      </w:r>
    </w:p>
    <w:p/>
    <w:p>
      <w:r>
        <w:t>**OECD Guidelines Chapter VIII** (Cost Contribution Arrangements): CCAs provide framework for **joint IP development** where participants contribute and receive benefits proportionate to contributions.</w:t>
      </w:r>
    </w:p>
    <w:p/>
    <w:p>
      <w:pPr>
        <w:pStyle w:val="Heading3"/>
      </w:pPr>
      <w:r>
        <w:t>5.2 Structure</w:t>
      </w:r>
    </w:p>
    <w:p/>
    <w:p>
      <w:r>
        <w:t>**Example**:</w:t>
      </w:r>
    </w:p>
    <w:p/>
    <w:p>
      <w:r>
        <w:t>```</w:t>
      </w:r>
    </w:p>
    <w:p>
      <w:r>
        <w:t>Participants:</w:t>
      </w:r>
    </w:p>
    <w:p>
      <w:pPr>
        <w:pStyle w:val="ListBullet"/>
      </w:pPr>
      <w:r>
        <w:t>Parent (UK): Contributes $60M (60% of total R&amp;D costs)</w:t>
      </w:r>
    </w:p>
    <w:p>
      <w:pPr>
        <w:pStyle w:val="ListBullet"/>
      </w:pPr>
      <w:r>
        <w:t>Subsidiary A (U.S.): Contributes $30M (30%)</w:t>
      </w:r>
    </w:p>
    <w:p>
      <w:pPr>
        <w:pStyle w:val="ListBullet"/>
      </w:pPr>
      <w:r>
        <w:t>Subsidiary B (Brazil): Contributes $10M (10%)</w:t>
      </w:r>
    </w:p>
    <w:p/>
    <w:p>
      <w:r>
        <w:t>Total R&amp;D costs: $100M</w:t>
      </w:r>
    </w:p>
    <w:p/>
    <w:p>
      <w:r>
        <w:t>IP developed: Deepwater drilling technology</w:t>
      </w:r>
    </w:p>
    <w:p/>
    <w:p>
      <w:r>
        <w:t>Benefits allocation:</w:t>
      </w:r>
    </w:p>
    <w:p>
      <w:pPr>
        <w:pStyle w:val="ListBullet"/>
      </w:pPr>
      <w:r>
        <w:t>Parent: 60% of IP rights (can use in UK and licensed territories)</w:t>
      </w:r>
    </w:p>
    <w:p>
      <w:pPr>
        <w:pStyle w:val="ListBullet"/>
      </w:pPr>
      <w:r>
        <w:t>Subsidiary A: 30% of IP rights (can use in U.S. and licensed territories)</w:t>
      </w:r>
    </w:p>
    <w:p>
      <w:pPr>
        <w:pStyle w:val="ListBullet"/>
      </w:pPr>
      <w:r>
        <w:t>Subsidiary B: 10% of IP rights (can use in Brazil and licensed territories)</w:t>
      </w:r>
    </w:p>
    <w:p/>
    <w:p>
      <w:r>
        <w:t>Expected benefits:</w:t>
      </w:r>
    </w:p>
    <w:p>
      <w:pPr>
        <w:pStyle w:val="ListBullet"/>
      </w:pPr>
      <w:r>
        <w:t>Parent UK operations: $120M Net Present Value (NPV)</w:t>
      </w:r>
    </w:p>
    <w:p>
      <w:pPr>
        <w:pStyle w:val="ListBullet"/>
      </w:pPr>
      <w:r>
        <w:t>Subsidiary A U.S. operations: $60M NPV</w:t>
      </w:r>
    </w:p>
    <w:p>
      <w:pPr>
        <w:pStyle w:val="ListBullet"/>
      </w:pPr>
      <w:r>
        <w:t>Subsidiary B Brazil operations: $20M NPV</w:t>
      </w:r>
    </w:p>
    <w:p>
      <w:r>
        <w:t>Total: $200M NPV</w:t>
      </w:r>
    </w:p>
    <w:p/>
    <w:p>
      <w:r>
        <w:t>Contribution proportionality check:</w:t>
      </w:r>
    </w:p>
    <w:p>
      <w:pPr>
        <w:pStyle w:val="ListBullet"/>
      </w:pPr>
      <w:r>
        <w:t>Parent: 60% contribution ($60M) vs. 60% expected benefits ($120M ÷ $200M) ✓</w:t>
      </w:r>
    </w:p>
    <w:p>
      <w:pPr>
        <w:pStyle w:val="ListBullet"/>
      </w:pPr>
      <w:r>
        <w:t>Subsidiary A: 30% contribution vs. 30% benefits ✓</w:t>
      </w:r>
    </w:p>
    <w:p>
      <w:pPr>
        <w:pStyle w:val="ListBullet"/>
      </w:pPr>
      <w:r>
        <w:t>Subsidiary B: 10% contribution vs. 10% benefits ✓</w:t>
      </w:r>
    </w:p>
    <w:p>
      <w:r>
        <w:t>```</w:t>
      </w:r>
    </w:p>
    <w:p/>
    <w:p>
      <w:r>
        <w:t>**Arm's length requirement**: Contributions must be **proportionate to expected benefits** (OECD Chapter VIII, para. 8.12).</w:t>
      </w:r>
    </w:p>
    <w:p/>
    <w:p>
      <w:pPr>
        <w:pStyle w:val="Heading3"/>
      </w:pPr>
      <w:r>
        <w:t>5.3 Buy-In Payments</w:t>
      </w:r>
    </w:p>
    <w:p/>
    <w:p>
      <w:r>
        <w:t>**Issue**: If a new participant **joins existing CCA** after IP has been partially developed, the new participant must make a **buy-in payment** to compensate existing participants for prior contributions.</w:t>
      </w:r>
    </w:p>
    <w:p/>
    <w:p>
      <w:r>
        <w:t>**Example**:</w:t>
      </w:r>
    </w:p>
    <w:p/>
    <w:p>
      <w:r>
        <w:t>```</w:t>
      </w:r>
    </w:p>
    <w:p>
      <w:r>
        <w:t>Year 1-3: Parent (UK) develops drilling technology alone (cost: $50M; technology 60% complete)</w:t>
      </w:r>
    </w:p>
    <w:p>
      <w:r>
        <w:t>Year 4: Subsidiary (Nigeria) joins CCA; contributes $25M for remaining 40% development</w:t>
      </w:r>
    </w:p>
    <w:p/>
    <w:p>
      <w:r>
        <w:t>Buy-in payment calculation:</w:t>
      </w:r>
    </w:p>
    <w:p>
      <w:pPr>
        <w:pStyle w:val="ListBullet"/>
      </w:pPr>
      <w:r>
        <w:t>Value of existing IP (60% complete): $80M (DCF valuation of expected benefits)</w:t>
      </w:r>
    </w:p>
    <w:p>
      <w:pPr>
        <w:pStyle w:val="ListBullet"/>
      </w:pPr>
      <w:r>
        <w:t>Subsidiary's intended share: 30%</w:t>
      </w:r>
    </w:p>
    <w:p>
      <w:pPr>
        <w:pStyle w:val="ListBullet"/>
      </w:pPr>
      <w:r>
        <w:t>Buy-in payment: $80M × 30% = $24M</w:t>
      </w:r>
    </w:p>
    <w:p/>
    <w:p>
      <w:r>
        <w:t>Total Subsidiary contribution:</w:t>
      </w:r>
    </w:p>
    <w:p>
      <w:pPr>
        <w:pStyle w:val="ListBullet"/>
      </w:pPr>
      <w:r>
        <w:t>Buy-in payment: $24M</w:t>
      </w:r>
    </w:p>
    <w:p>
      <w:pPr>
        <w:pStyle w:val="ListBullet"/>
      </w:pPr>
      <w:r>
        <w:t>Future R&amp;D costs (40% remaining): $25M × 30% = $7.5M</w:t>
      </w:r>
    </w:p>
    <w:p>
      <w:pPr>
        <w:pStyle w:val="ListBullet"/>
      </w:pPr>
      <w:r>
        <w:t>Total: $31.5M</w:t>
      </w:r>
    </w:p>
    <w:p/>
    <w:p>
      <w:r>
        <w:t>Parent receives: $24M buy-in payment (compensation for prior contributions)</w:t>
      </w:r>
    </w:p>
    <w:p>
      <w:r>
        <w:t>```</w:t>
      </w:r>
    </w:p>
    <w:p/>
    <w:p>
      <w:r>
        <w:t>**Buy-in valuation methods**: DCF, relief from royalty, market capitalization.</w:t>
      </w:r>
    </w:p>
    <w:p/>
    <w:p>
      <w:r>
        <w:t>---</w:t>
      </w:r>
    </w:p>
    <w:p/>
    <w:p>
      <w:pPr>
        <w:pStyle w:val="Heading2"/>
      </w:pPr>
      <w:r>
        <w:t>6. Hard-to-Value Intangibles (HTVI)</w:t>
      </w:r>
    </w:p>
    <w:p/>
    <w:p>
      <w:pPr>
        <w:pStyle w:val="Heading3"/>
      </w:pPr>
      <w:r>
        <w:t>6.1 OECD BEPS Action 8 (HTVI Guidance)</w:t>
      </w:r>
    </w:p>
    <w:p/>
    <w:p>
      <w:r>
        <w:t>**Hard-to-value intangibles (HTVI)** are IP where:</w:t>
      </w:r>
    </w:p>
    <w:p>
      <w:pPr>
        <w:pStyle w:val="ListBullet"/>
      </w:pPr>
      <w:r>
        <w:t>**No reliable comparables** exist at time of transaction</w:t>
      </w:r>
    </w:p>
    <w:p>
      <w:pPr>
        <w:pStyle w:val="ListBullet"/>
      </w:pPr>
      <w:r>
        <w:t>**Projections** of future cash flows are **highly uncertain**</w:t>
      </w:r>
    </w:p>
    <w:p/>
    <w:p>
      <w:r>
        <w:t>**Examples in oil &amp; gas**:</w:t>
      </w:r>
    </w:p>
    <w:p>
      <w:pPr>
        <w:pStyle w:val="ListBullet"/>
      </w:pPr>
      <w:r>
        <w:t>**Unproven EOR technology**: No track record; uncertain recovery rates</w:t>
      </w:r>
    </w:p>
    <w:p>
      <w:pPr>
        <w:pStyle w:val="ListBullet"/>
      </w:pPr>
      <w:r>
        <w:t>**Frontier exploration technology**: Deepwater drilling in unexplored basins; high technical and commercial risk</w:t>
      </w:r>
    </w:p>
    <w:p/>
    <w:p>
      <w:r>
        <w:t>**OECD guidance** (Chapter VI, Section D.4): Tax authorities may use **ex post outcomes** (actual results 5-10 years later) to assess whether **ex ante pricing** (at time of transaction) was arm's length.</w:t>
      </w:r>
    </w:p>
    <w:p/>
    <w:p>
      <w:pPr>
        <w:pStyle w:val="Heading3"/>
      </w:pPr>
      <w:r>
        <w:t>6.2 Application</w:t>
      </w:r>
    </w:p>
    <w:p/>
    <w:p>
      <w:r>
        <w:t>**Example**:</w:t>
      </w:r>
    </w:p>
    <w:p/>
    <w:p>
      <w:r>
        <w:t>```</w:t>
      </w:r>
    </w:p>
    <w:p>
      <w:r>
        <w:t>Year 1 (2020):</w:t>
      </w:r>
    </w:p>
    <w:p>
      <w:pPr>
        <w:pStyle w:val="ListBullet"/>
      </w:pPr>
      <w:r>
        <w:t>IP Holding Co. (Ireland) acquires subsea drilling technology from Parent (UK) for $50M</w:t>
      </w:r>
    </w:p>
    <w:p>
      <w:pPr>
        <w:pStyle w:val="ListBullet"/>
      </w:pPr>
      <w:r>
        <w:t>Valuation based on projections: $500M NPV over 10 years</w:t>
      </w:r>
    </w:p>
    <w:p/>
    <w:p>
      <w:r>
        <w:t>Year 6 (2024):</w:t>
      </w:r>
    </w:p>
    <w:p>
      <w:pPr>
        <w:pStyle w:val="ListBullet"/>
      </w:pPr>
      <w:r>
        <w:t>Actual results: Technology generates $1.2B NPV (2.4× projected)</w:t>
      </w:r>
    </w:p>
    <w:p/>
    <w:p>
      <w:r>
        <w:t>Tax authority challenge (UK His Majesty's Revenue and Customs (HMRC)):</w:t>
      </w:r>
    </w:p>
    <w:p>
      <w:pPr>
        <w:pStyle w:val="ListBullet"/>
      </w:pPr>
      <w:r>
        <w:t>Claims $50M purchase price was too low (based on ex post outcomes)</w:t>
      </w:r>
    </w:p>
    <w:p>
      <w:pPr>
        <w:pStyle w:val="ListBullet"/>
      </w:pPr>
      <w:r>
        <w:t>Applies ex post analysis: Technology worth $1.2B; arm's length purchase price should have been $120M</w:t>
      </w:r>
    </w:p>
    <w:p>
      <w:pPr>
        <w:pStyle w:val="ListBullet"/>
      </w:pPr>
      <w:r>
        <w:t>Adjustment: $70M additional taxable income to Parent (2020)</w:t>
      </w:r>
    </w:p>
    <w:p/>
    <w:p>
      <w:r>
        <w:t>Taxpayer defense:</w:t>
      </w:r>
    </w:p>
    <w:p>
      <w:r>
        <w:t>1. **Ex ante analysis**: Demonstrate that $50M was reasonable based on information available in 2020</w:t>
      </w:r>
    </w:p>
    <w:p>
      <w:r>
        <w:t xml:space="preserve">   - Projected NPV: $500M (mid-case scenario; sensitivity analysis showed $200M-800M range)</w:t>
      </w:r>
    </w:p>
    <w:p>
      <w:r>
        <w:t xml:space="preserve">   - Purchase price: $50M = 10% of mid-case NPV (reasonable given risk)</w:t>
      </w:r>
    </w:p>
    <w:p>
      <w:r>
        <w:t xml:space="preserve">   - Comparables: Other subsea technology transactions valued at 5-15% of projected NPV</w:t>
      </w:r>
    </w:p>
    <w:p/>
    <w:p>
      <w:r>
        <w:t>2. **Uncertainty**: Document high degree of uncertainty:</w:t>
      </w:r>
    </w:p>
    <w:p>
      <w:r>
        <w:t xml:space="preserve">   - Technology unproven (no field trials completed in 2020)</w:t>
      </w:r>
    </w:p>
    <w:p>
      <w:r>
        <w:t xml:space="preserve">   - Commercialization risk (regulatory approvals, customer acceptance)</w:t>
      </w:r>
    </w:p>
    <w:p>
      <w:r>
        <w:t xml:space="preserve">   - Market risk (oil prices, deepwater development activity)</w:t>
      </w:r>
    </w:p>
    <w:p/>
    <w:p>
      <w:r>
        <w:t>3. **Pricing documentation**: Contemporaneous valuation report (2020) with DCF model, sensitivity analysis, risk assessment</w:t>
      </w:r>
    </w:p>
    <w:p/>
    <w:p>
      <w:r>
        <w:t>Likely outcome: HMRC accepts $50M pricing if robust ex ante analysis and documentation exist; otherwise, may adjust based on ex post outcomes.</w:t>
      </w:r>
    </w:p>
    <w:p>
      <w:r>
        <w:t>```</w:t>
      </w:r>
    </w:p>
    <w:p/>
    <w:p>
      <w:r>
        <w:t>**Best practice**: Maintain **detailed contemporaneous documentation** of valuation assumptions, risk analysis, and scenario modeling for HTVI transactions.</w:t>
      </w:r>
    </w:p>
    <w:p/>
    <w:p>
      <w:r>
        <w:t>---</w:t>
      </w:r>
    </w:p>
    <w:p/>
    <w:p>
      <w:pPr>
        <w:pStyle w:val="Heading2"/>
      </w:pPr>
      <w:r>
        <w:t>7. Worked Examples</w:t>
      </w:r>
    </w:p>
    <w:p/>
    <w:p>
      <w:r>
        <w:t>═══════════════════════════════════════════</w:t>
      </w:r>
    </w:p>
    <w:p>
      <w:r>
        <w:t>**WORKED EXAMPLE 1: Royalty Rate Benchmarking for EOR Technology**</w:t>
      </w:r>
    </w:p>
    <w:p>
      <w:r>
        <w:t>═══════════════════════════════════════════</w:t>
      </w:r>
    </w:p>
    <w:p/>
    <w:p>
      <w:r>
        <w:t>**Facts:**</w:t>
      </w:r>
    </w:p>
    <w:p/>
    <w:p>
      <w:r>
        <w:t>EnhanceOil Tech Inc. (U.S. parent) has developed proprietary **CO2-enhanced oil recovery (EOR)** technology:</w:t>
      </w:r>
    </w:p>
    <w:p/>
    <w:p>
      <w:r>
        <w:t>**Technology benefits**:</w:t>
      </w:r>
    </w:p>
    <w:p>
      <w:pPr>
        <w:pStyle w:val="ListBullet"/>
      </w:pPr>
      <w:r>
        <w:t>Increases recovery factor by 8-12 percentage points (vs. primary/secondary recovery)</w:t>
      </w:r>
    </w:p>
    <w:p>
      <w:pPr>
        <w:pStyle w:val="ListBullet"/>
      </w:pPr>
      <w:r>
        <w:t>Applicable to mature fields with existing infrastructure</w:t>
      </w:r>
    </w:p>
    <w:p/>
    <w:p>
      <w:r>
        <w:t>**Licensing structure**:</w:t>
      </w:r>
    </w:p>
    <w:p>
      <w:pPr>
        <w:pStyle w:val="ListBullet"/>
      </w:pPr>
      <w:r>
        <w:t>TechCo (Netherlands IP holding subsidiary) owns technology (acquired from U.S. parent in 2018 for $100M)</w:t>
      </w:r>
    </w:p>
    <w:p>
      <w:pPr>
        <w:pStyle w:val="ListBullet"/>
      </w:pPr>
      <w:r>
        <w:t>TechCo licenses technology to operating affiliates (Norway, UK, Brazil, Kazakhstan)</w:t>
      </w:r>
    </w:p>
    <w:p/>
    <w:p>
      <w:r>
        <w:t>**2024 licensing to Kazakhstan OpCo**:</w:t>
      </w:r>
    </w:p>
    <w:p/>
    <w:p>
      <w:r>
        <w:t>```</w:t>
      </w:r>
    </w:p>
    <w:p>
      <w:r>
        <w:t>Field characteristics:</w:t>
      </w:r>
    </w:p>
    <w:p>
      <w:pPr>
        <w:pStyle w:val="ListBullet"/>
      </w:pPr>
      <w:r>
        <w:t>Original oil in place (OOIP): 500 million barrels</w:t>
      </w:r>
    </w:p>
    <w:p>
      <w:pPr>
        <w:pStyle w:val="ListBullet"/>
      </w:pPr>
      <w:r>
        <w:t>Primary/secondary recovery: 30% (150M barrels already produced)</w:t>
      </w:r>
    </w:p>
    <w:p>
      <w:pPr>
        <w:pStyle w:val="ListBullet"/>
      </w:pPr>
      <w:r>
        <w:t>Remaining reserves: 350M barrels (70% of OOIP)</w:t>
      </w:r>
    </w:p>
    <w:p/>
    <w:p>
      <w:r>
        <w:t>EOR technology impact:</w:t>
      </w:r>
    </w:p>
    <w:p>
      <w:pPr>
        <w:pStyle w:val="ListBullet"/>
      </w:pPr>
      <w:r>
        <w:t>Incremental recovery: 10 percentage points × 500M = 50 million barrels</w:t>
      </w:r>
    </w:p>
    <w:p>
      <w:pPr>
        <w:pStyle w:val="ListBullet"/>
      </w:pPr>
      <w:r>
        <w:t>Incremental production period: 10 years (5M bbl/year)</w:t>
      </w:r>
    </w:p>
    <w:p/>
    <w:p>
      <w:r>
        <w:t>Economics:</w:t>
      </w:r>
    </w:p>
    <w:p>
      <w:pPr>
        <w:pStyle w:val="ListBullet"/>
      </w:pPr>
      <w:r>
        <w:t>Oil price: $80/barrel</w:t>
      </w:r>
    </w:p>
    <w:p>
      <w:pPr>
        <w:pStyle w:val="ListBullet"/>
      </w:pPr>
      <w:r>
        <w:t>Operating cost: $40/barrel (CO2 injection, monitoring, incremental lifting)</w:t>
      </w:r>
    </w:p>
    <w:p>
      <w:pPr>
        <w:pStyle w:val="ListBullet"/>
      </w:pPr>
      <w:r>
        <w:t>Incremental cash flow: ($80 - $40) × 5M bbl = $200M annually</w:t>
      </w:r>
    </w:p>
    <w:p/>
    <w:p>
      <w:r>
        <w:t>Kazakhstan OpCo royalty proposal: 5% of incremental revenue = $80M × 5M bbl × 5% = $20M annually</w:t>
      </w:r>
    </w:p>
    <w:p>
      <w:r>
        <w:t>```</w:t>
      </w:r>
    </w:p>
    <w:p/>
    <w:p>
      <w:r>
        <w:t>**Kazakhstan tax authority challenge**:</w:t>
      </w:r>
    </w:p>
    <w:p>
      <w:pPr>
        <w:pStyle w:val="ListBullet"/>
      </w:pPr>
      <w:r>
        <w:t>Claims 5% royalty is excessive</w:t>
      </w:r>
    </w:p>
    <w:p>
      <w:pPr>
        <w:pStyle w:val="ListBullet"/>
      </w:pPr>
      <w:r>
        <w:t>Proposes 2% royalty ($8M annually)</w:t>
      </w:r>
    </w:p>
    <w:p/>
    <w:p>
      <w:r>
        <w:t>**Requirements**:</w:t>
      </w:r>
    </w:p>
    <w:p/>
    <w:p>
      <w:r>
        <w:t>1. Benchmark arm's length royalty rate for EOR technology</w:t>
      </w:r>
    </w:p>
    <w:p>
      <w:r>
        <w:t>2. Calculate NPV of royalty stream at different rates</w:t>
      </w:r>
    </w:p>
    <w:p>
      <w:r>
        <w:t>3. Determine defensible royalty range</w:t>
      </w:r>
    </w:p>
    <w:p>
      <w:r>
        <w:t>4. Assess impact of Kazakhstan adjustment</w:t>
      </w:r>
    </w:p>
    <w:p/>
    <w:p>
      <w:r>
        <w:t>**Analysis:**</w:t>
      </w:r>
    </w:p>
    <w:p/>
    <w:p>
      <w:r>
        <w:t>**Step 1: Comparable Uncontrolled Transaction (CUT) Search**</w:t>
      </w:r>
    </w:p>
    <w:p/>
    <w:p>
      <w:r>
        <w:t>**Search criteria**:</w:t>
      </w:r>
    </w:p>
    <w:p>
      <w:pPr>
        <w:pStyle w:val="ListBullet"/>
      </w:pPr>
      <w:r>
        <w:t>**Industry**: Oil &amp; gas EOR technology</w:t>
      </w:r>
    </w:p>
    <w:p>
      <w:pPr>
        <w:pStyle w:val="ListBullet"/>
      </w:pPr>
      <w:r>
        <w:t>**Transaction type**: Technology licensing (not equipment sales)</w:t>
      </w:r>
    </w:p>
    <w:p>
      <w:pPr>
        <w:pStyle w:val="ListBullet"/>
      </w:pPr>
      <w:r>
        <w:t>**Royalty basis**: % of incremental revenue or % of incremental profit</w:t>
      </w:r>
    </w:p>
    <w:p/>
    <w:p>
      <w:r>
        <w:t>**Data sources**: ktMINE royalty rate database, RoyaltyRange</w:t>
      </w:r>
    </w:p>
    <w:p/>
    <w:p>
      <w:r>
        <w:t>**Identified comparables**:</w:t>
      </w:r>
    </w:p>
    <w:p/>
    <w:p>
      <w:r>
        <w:t>| **Technology** | **Licensor** | **Royalty Rate** | **Basis** | **Year** |</w:t>
      </w:r>
    </w:p>
    <w:p>
      <w:r>
        <w:t>|---|---|---|---|---|</w:t>
      </w:r>
    </w:p>
    <w:p>
      <w:r>
        <w:t>| **Chemical EOR (polymer flooding)** | SNF Floerger | 8-12% | Incremental revenue | 2018 |</w:t>
      </w:r>
    </w:p>
    <w:p>
      <w:r>
        <w:t>| **Thermal EOR (SAGD)** | Cenovus Energy | 6-10% | Incremental revenue | 2020 |</w:t>
      </w:r>
    </w:p>
    <w:p>
      <w:r>
        <w:t>| **CO2 EOR** | Occidental Petroleum | 7-15% | Incremental revenue | 2019 |</w:t>
      </w:r>
    </w:p>
    <w:p>
      <w:r>
        <w:t>| **Smart waterflooding** | BP | 3-7% | Incremental revenue | 2021 |</w:t>
      </w:r>
    </w:p>
    <w:p/>
    <w:p>
      <w:r>
        <w:t>**Median royalty rate**: 7-10% of incremental revenue (for CO2 EOR specifically: 7-15%)</w:t>
      </w:r>
    </w:p>
    <w:p/>
    <w:p>
      <w:r>
        <w:t>**Step 2: Profit-Based Royalty Calculation**</w:t>
      </w:r>
    </w:p>
    <w:p/>
    <w:p>
      <w:r>
        <w:t>**Alternative approach**: Calculate royalty as **% of incremental profit** (instead of revenue).</w:t>
      </w:r>
    </w:p>
    <w:p/>
    <w:p>
      <w:r>
        <w:t>```</w:t>
      </w:r>
    </w:p>
    <w:p>
      <w:r>
        <w:t>Incremental revenue: $400M annually (5M bbl × $80)</w:t>
      </w:r>
    </w:p>
    <w:p>
      <w:r>
        <w:t>Incremental costs: $200M annually (5M bbl × $40)</w:t>
      </w:r>
    </w:p>
    <w:p>
      <w:r>
        <w:t>Incremental profit: $200M annually</w:t>
      </w:r>
    </w:p>
    <w:p/>
    <w:p>
      <w:r>
        <w:t>Royalty as % of profit:</w:t>
      </w:r>
    </w:p>
    <w:p>
      <w:pPr>
        <w:pStyle w:val="ListBullet"/>
      </w:pPr>
      <w:r>
        <w:t>Industry range: 20-40% of incremental profit for technology licensing</w:t>
      </w:r>
    </w:p>
    <w:p>
      <w:pPr>
        <w:pStyle w:val="ListBullet"/>
      </w:pPr>
      <w:r>
        <w:t>Selected rate: 30%</w:t>
      </w:r>
    </w:p>
    <w:p/>
    <w:p>
      <w:r>
        <w:t>Annual royalty: $200M × 30% = $60M</w:t>
      </w:r>
    </w:p>
    <w:p>
      <w:r>
        <w:t>As % of incremental revenue: $60M ÷ $400M = 15%</w:t>
      </w:r>
    </w:p>
    <w:p>
      <w:r>
        <w:t>```</w:t>
      </w:r>
    </w:p>
    <w:p/>
    <w:p>
      <w:r>
        <w:t>**Step 3: DCF-Based Royalty Calculation**</w:t>
      </w:r>
    </w:p>
    <w:p/>
    <w:p>
      <w:r>
        <w:t>**Step 3a: Value of technology to Kazakhstan OpCo**</w:t>
      </w:r>
    </w:p>
    <w:p/>
    <w:p>
      <w:r>
        <w:t>```</w:t>
      </w:r>
    </w:p>
    <w:p>
      <w:r>
        <w:t>Incremental cash flows (10 years):</w:t>
      </w:r>
    </w:p>
    <w:p>
      <w:pPr>
        <w:pStyle w:val="ListBullet"/>
      </w:pPr>
      <w:r>
        <w:t>Year 1-10: $200M annually (incremental revenue $400M - costs $200M)</w:t>
      </w:r>
    </w:p>
    <w:p/>
    <w:p>
      <w:r>
        <w:t>Discount rate: 12% (Kazakhstan country risk + oil price risk)</w:t>
      </w:r>
    </w:p>
    <w:p>
      <w:r>
        <w:t>PV factor (10 years, 12%): 5.650</w:t>
      </w:r>
    </w:p>
    <w:p/>
    <w:p>
      <w:r>
        <w:t>NPV to OpCo: $200M × 5.650 = $1.13 billion</w:t>
      </w:r>
    </w:p>
    <w:p>
      <w:r>
        <w:t>```</w:t>
      </w:r>
    </w:p>
    <w:p/>
    <w:p>
      <w:r>
        <w:t>**Step 3b: Allocation between OpCo and TechCo**</w:t>
      </w:r>
    </w:p>
    <w:p/>
    <w:p>
      <w:r>
        <w:t>**Functional analysis**:</w:t>
      </w:r>
    </w:p>
    <w:p>
      <w:pPr>
        <w:pStyle w:val="ListBullet"/>
      </w:pPr>
      <w:r>
        <w:t>**TechCo**: Owns technology, assumes R&amp;D risk (spent $100M developing technology)</w:t>
      </w:r>
    </w:p>
    <w:p>
      <w:pPr>
        <w:pStyle w:val="ListBullet"/>
      </w:pPr>
      <w:r>
        <w:t>**OpCo**: Applies technology, assumes operational risk (CO2 injection, production operations), country risk (Kazakhstan regulatory, political)</w:t>
      </w:r>
    </w:p>
    <w:p/>
    <w:p>
      <w:r>
        <w:t>**Typical allocation**:</w:t>
      </w:r>
    </w:p>
    <w:p>
      <w:pPr>
        <w:pStyle w:val="ListBullet"/>
      </w:pPr>
      <w:r>
        <w:t>**Technology owner (TechCo)**: 30-50% of value created (compensation for R&amp;D investment, technology risk)</w:t>
      </w:r>
    </w:p>
    <w:p>
      <w:pPr>
        <w:pStyle w:val="ListBullet"/>
      </w:pPr>
      <w:r>
        <w:t>**Technology user (OpCo)**: 50-70% of value created (compensation for operational risk, country risk, capital investment)</w:t>
      </w:r>
    </w:p>
    <w:p/>
    <w:p>
      <w:r>
        <w:t>**Selected allocation**: **40% to TechCo**, **60% to OpCo**</w:t>
      </w:r>
    </w:p>
    <w:p/>
    <w:p>
      <w:r>
        <w:t>```</w:t>
      </w:r>
    </w:p>
    <w:p>
      <w:r>
        <w:t>Value to TechCo: $1.13B × 40% = $452M</w:t>
      </w:r>
    </w:p>
    <w:p>
      <w:r>
        <w:t>Annual royalty (annuity over 10 years): $452M ÷ 5.650 = $80M annually</w:t>
      </w:r>
    </w:p>
    <w:p/>
    <w:p>
      <w:r>
        <w:t>As % of incremental revenue: $80M ÷ $400M = 20%</w:t>
      </w:r>
    </w:p>
    <w:p>
      <w:r>
        <w:t>As % of incremental profit: $80M ÷ $200M = 40%</w:t>
      </w:r>
    </w:p>
    <w:p>
      <w:r>
        <w:t>```</w:t>
      </w:r>
    </w:p>
    <w:p/>
    <w:p>
      <w:r>
        <w:t>**Step 4: Reconciliation of Methods**</w:t>
      </w:r>
    </w:p>
    <w:p/>
    <w:p>
      <w:r>
        <w:t>| **Method** | **Annual Royalty** | **% of Incremental Revenue** | **% of Incremental Profit** |</w:t>
      </w:r>
    </w:p>
    <w:p>
      <w:r>
        <w:t>|---|---|---|---|</w:t>
      </w:r>
    </w:p>
    <w:p>
      <w:r>
        <w:t>| **CUT (comparables)** | $28-60M | 7-15% | 14-30% |</w:t>
      </w:r>
    </w:p>
    <w:p>
      <w:r>
        <w:t>| **Profit-based** | $60M | 15% | 30% |</w:t>
      </w:r>
    </w:p>
    <w:p>
      <w:r>
        <w:t>| **DCF-based** | $80M | 20% | 40% |</w:t>
      </w:r>
    </w:p>
    <w:p/>
    <w:p>
      <w:r>
        <w:t>**Observation**: DCF-based royalty ($80M, 20%) is at **upper end** of comparable range (7-15%) but below **profit-based maximum** (40%).</w:t>
      </w:r>
    </w:p>
    <w:p/>
    <w:p>
      <w:r>
        <w:t>**Step 5: Arm's Length Range Determination**</w:t>
      </w:r>
    </w:p>
    <w:p/>
    <w:p>
      <w:r>
        <w:t>**Interquartile range (IQR)** from comparables: **7-12% of incremental revenue**</w:t>
      </w:r>
    </w:p>
    <w:p/>
    <w:p>
      <w:r>
        <w:t>```</w:t>
      </w:r>
    </w:p>
    <w:p>
      <w:r>
        <w:t>Lower quartile (7%): $400M × 7% = $28M annually</w:t>
      </w:r>
    </w:p>
    <w:p>
      <w:r>
        <w:t>Upper quartile (12%): $400M × 12% = $48M annually</w:t>
      </w:r>
    </w:p>
    <w:p>
      <w:r>
        <w:t>```</w:t>
      </w:r>
    </w:p>
    <w:p/>
    <w:p>
      <w:r>
        <w:t>**Kazakhstan OpCo proposed royalty**: **5% of incremental revenue = $20M**</w:t>
      </w:r>
    </w:p>
    <w:p/>
    <w:p>
      <w:r>
        <w:t>**Analysis**: 5% is **below arm's length range** (7-12% IQR).</w:t>
      </w:r>
    </w:p>
    <w:p/>
    <w:p>
      <w:r>
        <w:t>**Recommended royalty**: **10% of incremental revenue = $40M annually** (median of comparable range)</w:t>
      </w:r>
    </w:p>
    <w:p/>
    <w:p>
      <w:r>
        <w:t>**Step 6: Kazakhstan Tax Authority Adjustment Impact**</w:t>
      </w:r>
    </w:p>
    <w:p/>
    <w:p>
      <w:r>
        <w:t>**Kazakhstan proposal**: Reduce royalty from 5% to 2% ($20M to $8M).</w:t>
      </w:r>
    </w:p>
    <w:p/>
    <w:p>
      <w:r>
        <w:t>**Error**: Kazakhstan proposes to **reduce** royalty (benefiting OpCo), but comparables show 5% is already **too low**.</w:t>
      </w:r>
    </w:p>
    <w:p/>
    <w:p>
      <w:r>
        <w:t>**Correct adjustment**: Kazakhstan should **increase** royalty from 5% to 10% (arm's length median).</w:t>
      </w:r>
    </w:p>
    <w:p/>
    <w:p>
      <w:r>
        <w:t>```</w:t>
      </w:r>
    </w:p>
    <w:p>
      <w:r>
        <w:t>Current royalty (5%): $20M</w:t>
      </w:r>
    </w:p>
    <w:p>
      <w:r>
        <w:t>Arm's length royalty (10%): $40M</w:t>
      </w:r>
    </w:p>
    <w:p>
      <w:r>
        <w:t>Adjustment: +$20M annual deduction disallowed</w:t>
      </w:r>
    </w:p>
    <w:p/>
    <w:p>
      <w:r>
        <w:t>Kazakhstan tax impact:</w:t>
      </w:r>
    </w:p>
    <w:p>
      <w:pPr>
        <w:pStyle w:val="ListBullet"/>
      </w:pPr>
      <w:r>
        <w:t>Additional taxable income: $20M</w:t>
      </w:r>
    </w:p>
    <w:p>
      <w:pPr>
        <w:pStyle w:val="ListBullet"/>
      </w:pPr>
      <w:r>
        <w:t>Kazakhstan Corporate Income Tax (CIT) rate: 20%</w:t>
      </w:r>
    </w:p>
    <w:p>
      <w:pPr>
        <w:pStyle w:val="ListBullet"/>
      </w:pPr>
      <w:r>
        <w:t>Additional tax: $20M × 20% = $4M annually</w:t>
      </w:r>
    </w:p>
    <w:p>
      <w:r>
        <w:t>```</w:t>
      </w:r>
    </w:p>
    <w:p/>
    <w:p>
      <w:r>
        <w:t>**Taxpayer response**:</w:t>
      </w:r>
    </w:p>
    <w:p/>
    <w:p>
      <w:r>
        <w:t>1. **Accept 10% royalty**: Align with arm's length range; avoid controversy</w:t>
      </w:r>
    </w:p>
    <w:p>
      <w:r>
        <w:t>2. **Negotiate 7-8% royalty**: Lower end of comparable range; conservative approach</w:t>
      </w:r>
    </w:p>
    <w:p>
      <w:r>
        <w:t>3. **Defend 5% royalty**: Claim OpCo assumes **higher risk** (Kazakhstan country risk, operational complexity); justify 5% as arm's length based on risk allocation</w:t>
      </w:r>
    </w:p>
    <w:p/>
    <w:p>
      <w:r>
        <w:t>**Likely outcome**: Kazakhstan tax authority **accepts 7-10% royalty** after reviewing comparables analysis.</w:t>
      </w:r>
    </w:p>
    <w:p/>
    <w:p>
      <w:r>
        <w:t>**Recommendation**: **Revise royalty to 10%** ($40M annually) and document in **bilateral Advance Pricing Agreement (APA)** (Netherlands-Kazakhstan) for 10-year certainty.</w:t>
      </w:r>
    </w:p>
    <w:p/>
    <w:p>
      <w:r>
        <w:t>═══════════════════════════════════════════</w:t>
      </w:r>
    </w:p>
    <w:p/>
    <w:p>
      <w:r>
        <w:t>---</w:t>
      </w:r>
    </w:p>
    <w:p/>
    <w:p>
      <w:r>
        <w:t>═══════════════════════════════════════════</w:t>
      </w:r>
    </w:p>
    <w:p>
      <w:r>
        <w:t>**WORKED EXAMPLE 2: DEMPE Analysis for Seismic Processing Software**</w:t>
      </w:r>
    </w:p>
    <w:p>
      <w:r>
        <w:t>═══════════════════════════════════════════</w:t>
      </w:r>
    </w:p>
    <w:p/>
    <w:p>
      <w:r>
        <w:t>**Facts:**</w:t>
      </w:r>
    </w:p>
    <w:p/>
    <w:p>
      <w:r>
        <w:t>Structure:</w:t>
      </w:r>
    </w:p>
    <w:p>
      <w:pPr>
        <w:pStyle w:val="ListBullet"/>
      </w:pPr>
      <w:r>
        <w:t>**IP Holding Co. (Ireland)**: Owns seismic processing software (legal owner)</w:t>
      </w:r>
    </w:p>
    <w:p>
      <w:pPr>
        <w:pStyle w:val="ListBullet"/>
      </w:pPr>
      <w:r>
        <w:t>**R&amp;D Co. (Norway)**: Develops and enhances software (employs 50 software engineers)</w:t>
      </w:r>
    </w:p>
    <w:p>
      <w:pPr>
        <w:pStyle w:val="ListBullet"/>
      </w:pPr>
      <w:r>
        <w:t>**OpCo (Angola)**: Uses software for seismic processing services (generates $100M annual revenue)</w:t>
      </w:r>
    </w:p>
    <w:p/>
    <w:p>
      <w:r>
        <w:t>**Current transfer pricing structure**:</w:t>
      </w:r>
    </w:p>
    <w:p/>
    <w:p>
      <w:r>
        <w:t>```</w:t>
      </w:r>
    </w:p>
    <w:p>
      <w:r>
        <w:t>OpCo (Angola) → IP Holding Co. (Ireland): $10M annual royalty (10% of revenue)</w:t>
      </w:r>
    </w:p>
    <w:p>
      <w:r>
        <w:t>IP Holding Co. (Ireland) → R&amp;D Co. (Norway): $5M annual service fee (cost plus 10% for software development)</w:t>
      </w:r>
    </w:p>
    <w:p>
      <w:r>
        <w:t>```</w:t>
      </w:r>
    </w:p>
    <w:p/>
    <w:p>
      <w:r>
        <w:t>**R&amp;D Co. financial data (2024)**:</w:t>
      </w:r>
    </w:p>
    <w:p/>
    <w:p>
      <w:r>
        <w:t>```</w:t>
      </w:r>
    </w:p>
    <w:p>
      <w:r>
        <w:t>Costs:</w:t>
      </w:r>
    </w:p>
    <w:p>
      <w:pPr>
        <w:pStyle w:val="ListBullet"/>
      </w:pPr>
      <w:r>
        <w:t>Software engineer salaries: $8M (50 engineers @ $160K average)</w:t>
      </w:r>
    </w:p>
    <w:p>
      <w:pPr>
        <w:pStyle w:val="ListBullet"/>
      </w:pPr>
      <w:r>
        <w:t>Software licenses (development tools): $500K</w:t>
      </w:r>
    </w:p>
    <w:p>
      <w:pPr>
        <w:pStyle w:val="ListBullet"/>
      </w:pPr>
      <w:r>
        <w:t>IT infrastructure (servers, cloud): $1M</w:t>
      </w:r>
    </w:p>
    <w:p>
      <w:pPr>
        <w:pStyle w:val="ListBullet"/>
      </w:pPr>
      <w:r>
        <w:t>Allocated overhead: $1M</w:t>
      </w:r>
    </w:p>
    <w:p>
      <w:r>
        <w:t>Total costs: $10.5M</w:t>
      </w:r>
    </w:p>
    <w:p/>
    <w:p>
      <w:r>
        <w:t>Revenue:</w:t>
      </w:r>
    </w:p>
    <w:p>
      <w:pPr>
        <w:pStyle w:val="ListBullet"/>
      </w:pPr>
      <w:r>
        <w:t>Service fee from IP Holding Co.: $5M</w:t>
      </w:r>
    </w:p>
    <w:p>
      <w:pPr>
        <w:pStyle w:val="ListBullet"/>
      </w:pPr>
      <w:r>
        <w:t>Shortfall: -$5.5M (loss)</w:t>
      </w:r>
    </w:p>
    <w:p>
      <w:r>
        <w:t>```</w:t>
      </w:r>
    </w:p>
    <w:p/>
    <w:p>
      <w:r>
        <w:t>**Norwegian tax authority audit** (2024):</w:t>
      </w:r>
    </w:p>
    <w:p>
      <w:pPr>
        <w:pStyle w:val="ListBullet"/>
      </w:pPr>
      <w:r>
        <w:t>Claims R&amp;D Co. performs majority of DEMPE functions but receives only $5M (cost plus 10%), while IP Holding Co. receives $10M royalty (with minimal functions)</w:t>
      </w:r>
    </w:p>
    <w:p>
      <w:pPr>
        <w:pStyle w:val="ListBullet"/>
      </w:pPr>
      <w:r>
        <w:t>Proposes reattribution of $6M IP-related profit from IP Holding Co. to R&amp;D Co.</w:t>
      </w:r>
    </w:p>
    <w:p/>
    <w:p>
      <w:r>
        <w:t>**Requirements**:</w:t>
      </w:r>
    </w:p>
    <w:p/>
    <w:p>
      <w:r>
        <w:t>1. Conduct DEMPE analysis</w:t>
      </w:r>
    </w:p>
    <w:p>
      <w:r>
        <w:t>2. Determine arm's length allocation of IP-related returns</w:t>
      </w:r>
    </w:p>
    <w:p>
      <w:r>
        <w:t>3. Calculate revised transfer prices</w:t>
      </w:r>
    </w:p>
    <w:p>
      <w:r>
        <w:t>4. Assess impact of Norwegian adjustment</w:t>
      </w:r>
    </w:p>
    <w:p/>
    <w:p>
      <w:r>
        <w:t>**Analysis:**</w:t>
      </w:r>
    </w:p>
    <w:p/>
    <w:p>
      <w:r>
        <w:t>**Step 1: DEMPE Functional Analysis**</w:t>
      </w:r>
    </w:p>
    <w:p/>
    <w:p>
      <w:r>
        <w:t>| **DEMPE Function** | **IP Holding Co. (Ireland)** | **R&amp;D Co. (Norway)** | **OpCo (Angola)** |</w:t>
      </w:r>
    </w:p>
    <w:p>
      <w:r>
        <w:t>|---|---|---|---|</w:t>
      </w:r>
    </w:p>
    <w:p>
      <w:r>
        <w:t>| **Development** | ✗ (no R&amp;D personnel, no funding) | ✓ **Performs** (50 engineers, $10.5M annual budget) | ✗ |</w:t>
      </w:r>
    </w:p>
    <w:p>
      <w:r>
        <w:t>| **Enhancement** | ✗ | ✓ **Performs** (quarterly software updates, new features) | ✗ |</w:t>
      </w:r>
    </w:p>
    <w:p>
      <w:r>
        <w:t>| **Maintenance** | ✗ | ✓ **Performs** (bug fixes, user support, documentation) | ✗ |</w:t>
      </w:r>
    </w:p>
    <w:p>
      <w:r>
        <w:t>| **Protection** | ✓ **Owns** (copyright registration, trade secret controls) | ✗ | ✗ |</w:t>
      </w:r>
    </w:p>
    <w:p>
      <w:r>
        <w:t>| **Exploitation** | ✓ **Licenses** to OpCo (licensing agreement, royalty collection) | ✗ | ✓ **Uses** commercially (seismic services) |</w:t>
      </w:r>
    </w:p>
    <w:p>
      <w:r>
        <w:t>| **Funding** | ✗ (only pays $5M to R&amp;D Co.; insufficient to cover $10.5M costs) | ✓ **Self-funds** (bears $5.5M annual loss) | ✗ |</w:t>
      </w:r>
    </w:p>
    <w:p>
      <w:r>
        <w:t>| **Control** | ✗ (no oversight of R&amp;D activities) | ✓ **Controls** (decides development priorities, feature roadmap) | ✗ |</w:t>
      </w:r>
    </w:p>
    <w:p/>
    <w:p>
      <w:r>
        <w:t>**Conclusion**: **R&amp;D Co. performs and controls D, E, M functions** and **funds** majority of costs; entitled to **IP-related returns** beyond routine cost-plus compensation.</w:t>
      </w:r>
    </w:p>
    <w:p/>
    <w:p>
      <w:r>
        <w:t>**Step 2: Quantify IP-Related Returns**</w:t>
      </w:r>
    </w:p>
    <w:p/>
    <w:p>
      <w:r>
        <w:t>**Total profit in IP value chain**:</w:t>
      </w:r>
    </w:p>
    <w:p/>
    <w:p>
      <w:r>
        <w:t>```</w:t>
      </w:r>
    </w:p>
    <w:p>
      <w:r>
        <w:t>OpCo revenue: $100M</w:t>
      </w:r>
    </w:p>
    <w:p>
      <w:r>
        <w:t>OpCo costs (excluding royalty):</w:t>
      </w:r>
    </w:p>
    <w:p>
      <w:pPr>
        <w:pStyle w:val="ListBullet"/>
      </w:pPr>
      <w:r>
        <w:t>Direct costs (seismic acquisition, data management): $60M</w:t>
      </w:r>
    </w:p>
    <w:p>
      <w:pPr>
        <w:pStyle w:val="ListBullet"/>
      </w:pPr>
      <w:r>
        <w:t>Royalty to IP Holding Co.: $10M</w:t>
      </w:r>
    </w:p>
    <w:p>
      <w:r>
        <w:t>Total costs: $70M</w:t>
      </w:r>
    </w:p>
    <w:p/>
    <w:p>
      <w:r>
        <w:t>OpCo gross profit: $30M</w:t>
      </w:r>
    </w:p>
    <w:p>
      <w:r>
        <w:t>```</w:t>
      </w:r>
    </w:p>
    <w:p/>
    <w:p>
      <w:r>
        <w:t>**Allocation of $30M gross profit**:</w:t>
      </w:r>
    </w:p>
    <w:p/>
    <w:p>
      <w:r>
        <w:t>**Entity 1: OpCo (Angola)**</w:t>
      </w:r>
    </w:p>
    <w:p>
      <w:pPr>
        <w:pStyle w:val="ListBullet"/>
      </w:pPr>
      <w:r>
        <w:t>**Functions**: Seismic data acquisition, processing using software, customer management</w:t>
      </w:r>
    </w:p>
    <w:p>
      <w:pPr>
        <w:pStyle w:val="ListBullet"/>
      </w:pPr>
      <w:r>
        <w:t>**Assets**: Seismic equipment, working capital</w:t>
      </w:r>
    </w:p>
    <w:p>
      <w:pPr>
        <w:pStyle w:val="ListBullet"/>
      </w:pPr>
      <w:r>
        <w:t>**Risks**: Operational risk, customer credit risk, country risk (Angola)</w:t>
      </w:r>
    </w:p>
    <w:p>
      <w:pPr>
        <w:pStyle w:val="ListBullet"/>
      </w:pPr>
      <w:r>
        <w:t>**Arm's length return**: **15% of costs** (comparable to contract seismic processors)</w:t>
      </w:r>
    </w:p>
    <w:p/>
    <w:p>
      <w:r>
        <w:t>```</w:t>
      </w:r>
    </w:p>
    <w:p>
      <w:r>
        <w:t>OpCo costs (excluding royalty): $60M</w:t>
      </w:r>
    </w:p>
    <w:p>
      <w:r>
        <w:t>OpCo arm's length return: $60M × 15% = $9M</w:t>
      </w:r>
    </w:p>
    <w:p>
      <w:r>
        <w:t>```</w:t>
      </w:r>
    </w:p>
    <w:p/>
    <w:p>
      <w:r>
        <w:t>**Entity 2: IP Holding Co. (Ireland)**</w:t>
      </w:r>
    </w:p>
    <w:p>
      <w:pPr>
        <w:pStyle w:val="ListBullet"/>
      </w:pPr>
      <w:r>
        <w:t>**Functions**: Legal ownership, licensing (administrative)</w:t>
      </w:r>
    </w:p>
    <w:p>
      <w:pPr>
        <w:pStyle w:val="ListBullet"/>
      </w:pPr>
      <w:r>
        <w:t>**Assets**: Legal rights to software</w:t>
      </w:r>
    </w:p>
    <w:p>
      <w:pPr>
        <w:pStyle w:val="ListBullet"/>
      </w:pPr>
      <w:r>
        <w:t>**Risks**: Minimal (no R&amp;D risk, no operational risk)</w:t>
      </w:r>
    </w:p>
    <w:p>
      <w:pPr>
        <w:pStyle w:val="ListBullet"/>
      </w:pPr>
      <w:r>
        <w:t>**Arm's length return**: **5-10% of royalty collected** (passive ownership return)</w:t>
      </w:r>
    </w:p>
    <w:p/>
    <w:p>
      <w:r>
        <w:t>```</w:t>
      </w:r>
    </w:p>
    <w:p>
      <w:r>
        <w:t>Selected return: 10% of IP-related profit (conservative)</w:t>
      </w:r>
    </w:p>
    <w:p>
      <w:r>
        <w:t>IP Holding Co. return: ($30M - $9M OpCo) × 10% = $21M × 10% = $2.1M</w:t>
      </w:r>
    </w:p>
    <w:p>
      <w:r>
        <w:t>```</w:t>
      </w:r>
    </w:p>
    <w:p/>
    <w:p>
      <w:r>
        <w:t>**Entity 3: R&amp;D Co. (Norway)**</w:t>
      </w:r>
    </w:p>
    <w:p>
      <w:pPr>
        <w:pStyle w:val="ListBullet"/>
      </w:pPr>
      <w:r>
        <w:t>**Functions**: Development, Enhancement, Maintenance (DEMPE)</w:t>
      </w:r>
    </w:p>
    <w:p>
      <w:pPr>
        <w:pStyle w:val="ListBullet"/>
      </w:pPr>
      <w:r>
        <w:t>**Assets**: Software engineers, development tools, IP know-how</w:t>
      </w:r>
    </w:p>
    <w:p>
      <w:pPr>
        <w:pStyle w:val="ListBullet"/>
      </w:pPr>
      <w:r>
        <w:t>**Risks**: R&amp;D risk (technology may not work), obsolescence risk (competitors develop better software)</w:t>
      </w:r>
    </w:p>
    <w:p>
      <w:pPr>
        <w:pStyle w:val="ListBullet"/>
      </w:pPr>
      <w:r>
        <w:t>**Arm's length return**: **Residual profit** (after allocating routine returns to OpCo and IP Holding Co.)</w:t>
      </w:r>
    </w:p>
    <w:p/>
    <w:p>
      <w:r>
        <w:t>```</w:t>
      </w:r>
    </w:p>
    <w:p>
      <w:r>
        <w:t>Residual profit: $30M - $9M (OpCo) - $2.1M (IP Holding Co.) = $18.9M</w:t>
      </w:r>
    </w:p>
    <w:p>
      <w:r>
        <w:t>```</w:t>
      </w:r>
    </w:p>
    <w:p/>
    <w:p>
      <w:r>
        <w:t>**Step 3: Revised Transfer Prices**</w:t>
      </w:r>
    </w:p>
    <w:p/>
    <w:p>
      <w:r>
        <w:t>**Current structure**:</w:t>
      </w:r>
    </w:p>
    <w:p>
      <w:r>
        <w:t>```</w:t>
      </w:r>
    </w:p>
    <w:p>
      <w:r>
        <w:t>OpCo → IP Holding Co.: $10M royalty</w:t>
      </w:r>
    </w:p>
    <w:p>
      <w:r>
        <w:t>IP Holding Co. → R&amp;D Co.: $5M service fee</w:t>
      </w:r>
    </w:p>
    <w:p>
      <w:r>
        <w:t>R&amp;D Co. profit: $5M - $10.5M costs = -$5.5M (loss) ✗ Not arm's length</w:t>
      </w:r>
    </w:p>
    <w:p>
      <w:r>
        <w:t>```</w:t>
      </w:r>
    </w:p>
    <w:p/>
    <w:p>
      <w:r>
        <w:t>**Revised structure (post-DEMPE analysis)**:</w:t>
      </w:r>
    </w:p>
    <w:p/>
    <w:p>
      <w:r>
        <w:t>**Option 1: Direct royalty from OpCo to R&amp;D Co.**</w:t>
      </w:r>
    </w:p>
    <w:p/>
    <w:p>
      <w:r>
        <w:t>```</w:t>
      </w:r>
    </w:p>
    <w:p>
      <w:r>
        <w:t>OpCo → R&amp;D Co.: $18.9M annual payment (software development and licensing)</w:t>
      </w:r>
    </w:p>
    <w:p>
      <w:r>
        <w:t>OpCo → IP Holding Co.: $2.1M annual royalty (legal ownership, administrative licensing)</w:t>
      </w:r>
    </w:p>
    <w:p/>
    <w:p>
      <w:r>
        <w:t>R&amp;D Co. profit: $18.9M - $10.5M costs = $8.4M ✓ Reflects DEMPE contribution</w:t>
      </w:r>
    </w:p>
    <w:p>
      <w:r>
        <w:t>IP Holding Co. profit: $2.1M ✓ Reflects passive ownership</w:t>
      </w:r>
    </w:p>
    <w:p>
      <w:r>
        <w:t>OpCo profit: $30M - $18.9M - $2.1M = $9M ✓ Reflects routine processing</w:t>
      </w:r>
    </w:p>
    <w:p>
      <w:r>
        <w:t>```</w:t>
      </w:r>
    </w:p>
    <w:p/>
    <w:p>
      <w:r>
        <w:t>**Option 2: Cost-sharing arrangement (CCA)**</w:t>
      </w:r>
    </w:p>
    <w:p/>
    <w:p>
      <w:r>
        <w:t>```</w:t>
      </w:r>
    </w:p>
    <w:p>
      <w:r>
        <w:t>R&amp;D Co. and IP Holding Co. enter CCA:</w:t>
      </w:r>
    </w:p>
    <w:p>
      <w:pPr>
        <w:pStyle w:val="ListBullet"/>
      </w:pPr>
      <w:r>
        <w:t>R&amp;D Co. contributes: $10.5M (development costs)</w:t>
      </w:r>
    </w:p>
    <w:p>
      <w:pPr>
        <w:pStyle w:val="ListBullet"/>
      </w:pPr>
      <w:r>
        <w:t>IP Holding Co. contributes: $10.5M (funding)</w:t>
      </w:r>
    </w:p>
    <w:p>
      <w:pPr>
        <w:pStyle w:val="ListBullet"/>
      </w:pPr>
      <w:r>
        <w:t>Benefit allocation: 50/50 (both share IP ownership and returns)</w:t>
      </w:r>
    </w:p>
    <w:p/>
    <w:p>
      <w:r>
        <w:t>IP-related profit: $30M - $9M (OpCo) = $21M</w:t>
      </w:r>
    </w:p>
    <w:p>
      <w:r>
        <w:t>R&amp;D Co. share (50%): $10.5M</w:t>
      </w:r>
    </w:p>
    <w:p>
      <w:r>
        <w:t>IP Holding Co. share (50%): $10.5M</w:t>
      </w:r>
    </w:p>
    <w:p/>
    <w:p>
      <w:r>
        <w:t>OpCo pays:</w:t>
      </w:r>
    </w:p>
    <w:p>
      <w:pPr>
        <w:pStyle w:val="ListBullet"/>
      </w:pPr>
      <w:r>
        <w:t>R&amp;D Co.: $10.5M (50% royalty)</w:t>
      </w:r>
    </w:p>
    <w:p>
      <w:pPr>
        <w:pStyle w:val="ListBullet"/>
      </w:pPr>
      <w:r>
        <w:t>IP Holding Co.: $10.5M (50% royalty)</w:t>
      </w:r>
    </w:p>
    <w:p>
      <w:r>
        <w:t>```</w:t>
      </w:r>
    </w:p>
    <w:p/>
    <w:p>
      <w:r>
        <w:t>**Step 4: Norwegian Tax Authority Adjustment**</w:t>
      </w:r>
    </w:p>
    <w:p/>
    <w:p>
      <w:r>
        <w:t>**Norwegian proposal**: Reallocate $6M from IP Holding Co. to R&amp;D Co.</w:t>
      </w:r>
    </w:p>
    <w:p/>
    <w:p>
      <w:r>
        <w:t>**Calculation**:</w:t>
      </w:r>
    </w:p>
    <w:p/>
    <w:p>
      <w:r>
        <w:t>```</w:t>
      </w:r>
    </w:p>
    <w:p>
      <w:r>
        <w:t>Current R&amp;D Co. profit: -$5.5M (loss)</w:t>
      </w:r>
    </w:p>
    <w:p>
      <w:r>
        <w:t>Arm's length R&amp;D Co. profit: $18.9M (Option 1) or $10.5M (Option 2, with CCA funding)</w:t>
      </w:r>
    </w:p>
    <w:p/>
    <w:p>
      <w:r>
        <w:t>If using Option 1 (direct allocation):</w:t>
      </w:r>
    </w:p>
    <w:p>
      <w:r>
        <w:t>Adjustment: $18.9M - (-$5.5M) = $24.4M additional taxable income to R&amp;D Co.</w:t>
      </w:r>
    </w:p>
    <w:p>
      <w:r>
        <w:t>Norway tax impact: $24.4M × 22% (Norway CIT) = $5.37M additional tax</w:t>
      </w:r>
    </w:p>
    <w:p>
      <w:r>
        <w:t>```</w:t>
      </w:r>
    </w:p>
    <w:p/>
    <w:p>
      <w:r>
        <w:t>**Corresponding adjustment in Ireland**:</w:t>
      </w:r>
    </w:p>
    <w:p>
      <w:pPr>
        <w:pStyle w:val="ListBullet"/>
      </w:pPr>
      <w:r>
        <w:t>IP Holding Co. profit reduced: $10M (current) - $2.1M (arm's length) = $7.9M reduction</w:t>
      </w:r>
    </w:p>
    <w:p>
      <w:pPr>
        <w:pStyle w:val="ListBullet"/>
      </w:pPr>
      <w:r>
        <w:t>Ireland tax saved: $7.9M × 12.5% (Ireland standard CIT rate) = $988K</w:t>
      </w:r>
    </w:p>
    <w:p>
      <w:pPr>
        <w:pStyle w:val="ListBullet"/>
      </w:pPr>
      <w:r>
        <w:t>Net group tax cost: $5.37M (Norway) - $988K (Ireland) = **$4.38M**</w:t>
      </w:r>
    </w:p>
    <w:p/>
    <w:p>
      <w:r>
        <w:t>**Step 5: Resolution**</w:t>
      </w:r>
    </w:p>
    <w:p/>
    <w:p>
      <w:r>
        <w:t>**Mutual Agreement Procedure (MAP)**:</w:t>
      </w:r>
    </w:p>
    <w:p>
      <w:pPr>
        <w:pStyle w:val="ListBullet"/>
      </w:pPr>
      <w:r>
        <w:t>R&amp;D Co. (Norway) files MAP request with Norwegian competent authority</w:t>
      </w:r>
    </w:p>
    <w:p>
      <w:pPr>
        <w:pStyle w:val="ListBullet"/>
      </w:pPr>
      <w:r>
        <w:t>Norway contacts Ireland under **Norway-Ireland tax treaty**</w:t>
      </w:r>
    </w:p>
    <w:p>
      <w:pPr>
        <w:pStyle w:val="ListBullet"/>
      </w:pPr>
      <w:r>
        <w:t>Competent authorities negotiate: Agree on revised allocation (likely **Option 2: CCA** with 50/50 split)</w:t>
      </w:r>
    </w:p>
    <w:p>
      <w:pPr>
        <w:pStyle w:val="ListBullet"/>
      </w:pPr>
      <w:r>
        <w:t>Both countries adjust consistently; **double taxation avoided**</w:t>
      </w:r>
    </w:p>
    <w:p/>
    <w:p>
      <w:r>
        <w:t>**Proactive solution**: **Bilateral APA** between Norway and Ireland for 5-year term:</w:t>
      </w:r>
    </w:p>
    <w:p>
      <w:pPr>
        <w:pStyle w:val="ListBullet"/>
      </w:pPr>
      <w:r>
        <w:t>Pre-approve **CCA** or **direct DEMPE compensation** structure</w:t>
      </w:r>
    </w:p>
    <w:p>
      <w:pPr>
        <w:pStyle w:val="ListBullet"/>
      </w:pPr>
      <w:r>
        <w:t>Cost: $200K-400K (application, advisors)</w:t>
      </w:r>
    </w:p>
    <w:p>
      <w:pPr>
        <w:pStyle w:val="ListBullet"/>
      </w:pPr>
      <w:r>
        <w:t>Benefit: Avoids $4.38M tax cost + penalties; provides certainty</w:t>
      </w:r>
    </w:p>
    <w:p/>
    <w:p>
      <w:r>
        <w:t>═══════════════════════════════════════════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