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Acquire target assets or target company shares</w:t>
      </w:r>
    </w:p>
    <w:p>
      <w:pPr>
        <w:pStyle w:val="Heading1"/>
      </w:pPr>
      <w:r>
        <w:t>ADIT Module 3.04 - Energy Resources Option</w:t>
      </w:r>
    </w:p>
    <w:p>
      <w:pPr>
        <w:pStyle w:val="Heading2"/>
      </w:pPr>
      <w:r>
        <w:t>Topic 28: Mergers and Acquisitions</w:t>
      </w:r>
    </w:p>
    <w:p>
      <w:pPr>
        <w:pStyle w:val="Heading3"/>
      </w:pPr>
      <w:r>
        <w:t>Acquire Target Assets or Target Company Shares</w:t>
      </w:r>
    </w:p>
    <w:p>
      <w:pPr>
        <w:spacing w:before="120" w:after="120"/>
        <w:pBdr>
          <w:bottom w:val="single" w:sz="6" w:space="1" w:color="auto"/>
        </w:pBdr>
      </w:pPr>
    </w:p>
    <w:p>
      <w:pPr>
        <w:pStyle w:val="Heading2"/>
      </w:pPr>
      <w:r>
        <w:t>1. Introduction</w:t>
      </w:r>
    </w:p>
    <w:p>
      <w:pPr>
        <w:pStyle w:val="Heading3"/>
      </w:pPr>
      <w:r>
        <w:t>1.1 Strategic Structuring Decisions</w:t>
      </w:r>
    </w:p>
    <w:p>
      <w:r>
        <w:t xml:space="preserve">One of the most critical tax planning decisions in oil and gas mergers and acquisitions is whether to structure the transaction as an </w:t>
      </w:r>
      <w:r>
        <w:rPr>
          <w:b/>
        </w:rPr>
        <w:t>asset purchase</w:t>
      </w:r>
      <w:r>
        <w:t xml:space="preserve"> or a </w:t>
      </w:r>
      <w:r>
        <w:rPr>
          <w:b/>
        </w:rPr>
        <w:t>share purchase</w:t>
      </w:r>
      <w:r>
        <w:t>. This fundamental choice has profound implications for tax liability, financing costs, and post-acquisition tax efficiency. The transaction structure affects:</w:t>
      </w:r>
    </w:p>
    <w:p>
      <w:pPr>
        <w:pStyle w:val="ListBullet"/>
      </w:pPr>
      <w:r>
        <w:rPr>
          <w:b/>
        </w:rPr>
        <w:t>Tax basis</w:t>
      </w:r>
      <w:r>
        <w:t xml:space="preserve"> in acquired assets</w:t>
      </w:r>
    </w:p>
    <w:p>
      <w:pPr>
        <w:pStyle w:val="ListBullet"/>
      </w:pPr>
      <w:r>
        <w:t xml:space="preserve">Availability and timing of </w:t>
      </w:r>
      <w:r>
        <w:rPr>
          <w:b/>
        </w:rPr>
        <w:t>depreciation and depletion</w:t>
      </w:r>
      <w:r>
        <w:t xml:space="preserve"> deductions</w:t>
      </w:r>
    </w:p>
    <w:p>
      <w:pPr>
        <w:pStyle w:val="ListBullet"/>
      </w:pPr>
      <w:r>
        <w:rPr>
          <w:b/>
        </w:rPr>
        <w:t>Interest deductibility</w:t>
      </w:r>
      <w:r>
        <w:t xml:space="preserve"> on acquisition financing</w:t>
      </w:r>
    </w:p>
    <w:p>
      <w:pPr>
        <w:pStyle w:val="ListBullet"/>
      </w:pPr>
      <w:r>
        <w:t xml:space="preserve">Treatment of </w:t>
      </w:r>
      <w:r>
        <w:rPr>
          <w:b/>
        </w:rPr>
        <w:t>carry-forward tax losses</w:t>
      </w:r>
    </w:p>
    <w:p>
      <w:pPr>
        <w:pStyle w:val="ListBullet"/>
      </w:pPr>
      <w:r>
        <w:rPr>
          <w:b/>
        </w:rPr>
        <w:t>Capital gains treatment</w:t>
      </w:r>
      <w:r>
        <w:t xml:space="preserve"> for sellers</w:t>
      </w:r>
    </w:p>
    <w:p>
      <w:pPr>
        <w:pStyle w:val="ListBullet"/>
      </w:pPr>
      <w:r>
        <w:rPr>
          <w:b/>
        </w:rPr>
        <w:t>Withholding tax</w:t>
      </w:r>
      <w:r>
        <w:t xml:space="preserve"> obligations</w:t>
      </w:r>
    </w:p>
    <w:p>
      <w:r>
        <w:t xml:space="preserve">In the energy sector, these considerations are amplified by the capital-intensive nature of upstream operations, complex fiscal regimes including </w:t>
      </w:r>
      <w:r>
        <w:rPr>
          <w:b/>
        </w:rPr>
        <w:t>Production Sharing Contracts (PSCs)</w:t>
      </w:r>
      <w:r>
        <w:t>, and the interaction between domestic tax rules and international tax treaties.</w:t>
      </w:r>
    </w:p>
    <w:p>
      <w:pPr>
        <w:pStyle w:val="Heading3"/>
      </w:pPr>
      <w:r>
        <w:t>1.2 Scope and Examination Level</w:t>
      </w:r>
    </w:p>
    <w:p>
      <w:r>
        <w:t xml:space="preserve">This topic requires a </w:t>
      </w:r>
      <w:r>
        <w:rPr>
          <w:b/>
        </w:rPr>
        <w:t>detailed understanding</w:t>
      </w:r>
      <w:r>
        <w:t xml:space="preserve"> (Syllabus Level 2) of the tax implications of different acquisition structures. Candidates must be able to:</w:t>
      </w:r>
    </w:p>
    <w:p>
      <w:pPr>
        <w:pStyle w:val="ListBullet"/>
      </w:pPr>
      <w:r>
        <w:t>Analyze tax consequences from both buyer and seller perspectives</w:t>
      </w:r>
    </w:p>
    <w:p>
      <w:pPr>
        <w:pStyle w:val="ListBullet"/>
      </w:pPr>
      <w:r>
        <w:t>Apply statutory provisions on interest deductibility</w:t>
      </w:r>
    </w:p>
    <w:p>
      <w:pPr>
        <w:pStyle w:val="ListBullet"/>
      </w:pPr>
      <w:r>
        <w:t>Evaluate participation exemption rules</w:t>
      </w:r>
    </w:p>
    <w:p>
      <w:pPr>
        <w:pStyle w:val="ListBullet"/>
      </w:pPr>
      <w:r>
        <w:t>Calculate tax leakage in alternative structures</w:t>
      </w:r>
    </w:p>
    <w:p>
      <w:pPr>
        <w:pStyle w:val="ListBullet"/>
      </w:pPr>
      <w:r>
        <w:t>Recommend optimal transaction structures based on specific fact patterns</w:t>
      </w:r>
    </w:p>
    <w:p>
      <w:pPr>
        <w:spacing w:before="120" w:after="120"/>
        <w:pBdr>
          <w:bottom w:val="single" w:sz="6" w:space="1" w:color="auto"/>
        </w:pBdr>
      </w:pPr>
    </w:p>
    <w:p>
      <w:pPr>
        <w:pStyle w:val="Heading2"/>
      </w:pPr>
      <w:r>
        <w:t>2. Asset Purchase Transactions</w:t>
      </w:r>
    </w:p>
    <w:p>
      <w:pPr>
        <w:pStyle w:val="Heading3"/>
      </w:pPr>
      <w:r>
        <w:t>2.1 Legal and Tax Characteristics</w:t>
      </w:r>
    </w:p>
    <w:p>
      <w:r>
        <w:t xml:space="preserve">An </w:t>
      </w:r>
      <w:r>
        <w:rPr>
          <w:b/>
        </w:rPr>
        <w:t>asset purchase</w:t>
      </w:r>
      <w:r>
        <w:t xml:space="preserve"> involves the direct acquisition of specific oil and gas assets rather than acquiring the shares of the company that owns those assets. In this structure:</w:t>
      </w:r>
    </w:p>
    <w:p>
      <w:pPr>
        <w:pStyle w:val="ListBullet"/>
      </w:pPr>
      <w:r>
        <w:t>The buyer acquires selected assets and liabilities</w:t>
      </w:r>
    </w:p>
    <w:p>
      <w:pPr>
        <w:pStyle w:val="ListBullet"/>
      </w:pPr>
      <w:r>
        <w:t>Legal title to petroleum licenses, production facilities, pipelines, and equipment transfers directly to the buyer</w:t>
      </w:r>
    </w:p>
    <w:p>
      <w:pPr>
        <w:pStyle w:val="ListBullet"/>
      </w:pPr>
      <w:r>
        <w:t>The seller remains a legal entity but divests specific operational assets</w:t>
      </w:r>
    </w:p>
    <w:p>
      <w:pPr>
        <w:pStyle w:val="ListBullet"/>
      </w:pPr>
      <w:r>
        <w:t>Each asset transfer may require regulatory approval under petroleum legislation</w:t>
      </w:r>
    </w:p>
    <w:p>
      <w:r>
        <w:t xml:space="preserve">From a tax perspective, the most significant feature is that </w:t>
      </w:r>
      <w:r>
        <w:rPr>
          <w:b/>
        </w:rPr>
        <w:t>the buyer obtains a stepped-up tax basis</w:t>
      </w:r>
      <w:r>
        <w:t xml:space="preserve"> in the acquired assets equal to the purchase price.</w:t>
      </w:r>
    </w:p>
    <w:p>
      <w:pPr>
        <w:pStyle w:val="Heading3"/>
      </w:pPr>
      <w:r>
        <w:t>2.2 Tax Advantages for Buyers</w:t>
      </w:r>
    </w:p>
    <w:p>
      <w:pPr>
        <w:pStyle w:val="Heading4"/>
      </w:pPr>
      <w:r>
        <w:t>2.2.1 Stepped-Up Tax Basis</w:t>
      </w:r>
    </w:p>
    <w:p>
      <w:r>
        <w:t xml:space="preserve">Under most tax jurisdictions, an asset purchase allows the buyer to establish a </w:t>
      </w:r>
      <w:r>
        <w:rPr>
          <w:b/>
        </w:rPr>
        <w:t>fair market value tax basis</w:t>
      </w:r>
      <w:r>
        <w:t xml:space="preserve"> in the acquired assets. This "step-up" provides enhanced future tax deductions through:</w:t>
      </w:r>
    </w:p>
    <w:p>
      <w:pPr>
        <w:pStyle w:val="ListBullet"/>
      </w:pPr>
      <w:r>
        <w:rPr>
          <w:b/>
        </w:rPr>
        <w:t>Depreciation</w:t>
      </w:r>
      <w:r>
        <w:t xml:space="preserve"> on production facilities, drilling equipment, and infrastructure (typically </w:t>
      </w:r>
      <w:r>
        <w:rPr>
          <w:b/>
        </w:rPr>
        <w:t>straight-line</w:t>
      </w:r>
      <w:r>
        <w:t xml:space="preserve"> over the asset's useful life, ranging from 5-30 years depending on the asset class)</w:t>
      </w:r>
    </w:p>
    <w:p>
      <w:pPr>
        <w:pStyle w:val="ListBullet"/>
      </w:pPr>
      <w:r>
        <w:rPr>
          <w:b/>
        </w:rPr>
        <w:t>Depletion allowances</w:t>
      </w:r>
      <w:r>
        <w:t xml:space="preserve"> on mineral rights and proven reserves (either </w:t>
      </w:r>
      <w:r>
        <w:rPr>
          <w:b/>
        </w:rPr>
        <w:t>cost depletion</w:t>
      </w:r>
      <w:r>
        <w:t xml:space="preserve"> or </w:t>
      </w:r>
      <w:r>
        <w:rPr>
          <w:b/>
        </w:rPr>
        <w:t>percentage depletion</w:t>
      </w:r>
      <w:r>
        <w:t xml:space="preserve"> depending on jurisdiction)</w:t>
      </w:r>
    </w:p>
    <w:p>
      <w:pPr>
        <w:pStyle w:val="ListBullet"/>
      </w:pPr>
      <w:r>
        <w:rPr>
          <w:b/>
        </w:rPr>
        <w:t>Amortization</w:t>
      </w:r>
      <w:r>
        <w:t xml:space="preserve"> of intangible drilling costs (</w:t>
      </w:r>
      <w:r>
        <w:rPr>
          <w:b/>
        </w:rPr>
        <w:t>IDCs</w:t>
      </w:r>
      <w:r>
        <w:t>) and geological and geophysical (</w:t>
      </w:r>
      <w:r>
        <w:rPr>
          <w:b/>
        </w:rPr>
        <w:t>G&amp;G</w:t>
      </w:r>
      <w:r>
        <w:t>) expenditures</w:t>
      </w:r>
    </w:p>
    <w:p>
      <w:r>
        <w:rPr>
          <w:b/>
        </w:rPr>
        <w:t>Example:</w:t>
      </w:r>
      <w:r>
        <w:t xml:space="preserve"> If a buyer acquires producing oil wells for $50 million that had a tax basis of $10 million in the seller's hands, the buyer establishes a new $50 million basis. Assuming a 10-year straight-line depreciation period, the buyer can claim $5 million per year in depreciation deductions, compared to the $1 million per year the seller was claiming.</w:t>
      </w:r>
    </w:p>
    <w:p>
      <w:r>
        <w:t>The present value of these additional deductions can add substantial value to the transaction. Using a 10% discount rate, the incremental $4 million per year in deductions (assuming a 25% tax rate = $1 million annual tax savings) has a present value of approximately $6.14 million.</w:t>
      </w:r>
    </w:p>
    <w:p>
      <w:pPr>
        <w:pStyle w:val="Heading4"/>
      </w:pPr>
      <w:r>
        <w:t>2.2.2 Selective Acquisition of Assets and Liabilities</w:t>
      </w:r>
    </w:p>
    <w:p>
      <w:r>
        <w:t>Asset purchases allow buyers to "cherry-pick" desirable assets while avoiding unwanted liabilities. The buyer can:</w:t>
      </w:r>
    </w:p>
    <w:p>
      <w:pPr>
        <w:pStyle w:val="ListBullet"/>
      </w:pPr>
      <w:r>
        <w:t>Exclude environmental liabilities related to decommissioning or contamination (subject to local laws that may impose successor liability)</w:t>
      </w:r>
    </w:p>
    <w:p>
      <w:pPr>
        <w:pStyle w:val="ListBullet"/>
      </w:pPr>
      <w:r>
        <w:t>Avoid contingent tax liabilities from the seller's historical operations</w:t>
      </w:r>
    </w:p>
    <w:p>
      <w:pPr>
        <w:pStyle w:val="ListBullet"/>
      </w:pPr>
      <w:r>
        <w:t>Refuse to assume unfavorable contracts or commitments</w:t>
      </w:r>
    </w:p>
    <w:p>
      <w:pPr>
        <w:pStyle w:val="ListBullet"/>
      </w:pPr>
      <w:r>
        <w:t>Structure the transaction to exclude non-core assets</w:t>
      </w:r>
    </w:p>
    <w:p>
      <w:pPr>
        <w:pStyle w:val="Heading4"/>
      </w:pPr>
      <w:r>
        <w:t>2.2.3 Interest Deductibility</w:t>
      </w:r>
    </w:p>
    <w:p>
      <w:r>
        <w:t xml:space="preserve">Interest on debt used to finance an asset purchase is </w:t>
      </w:r>
      <w:r>
        <w:rPr>
          <w:b/>
        </w:rPr>
        <w:t>generally deductible</w:t>
      </w:r>
      <w:r>
        <w:t xml:space="preserve"> against the buyer's taxable income. This is because the acquired assets will generate taxable profits in the buyer's hands, and the interest expense has a clear connection to the production of assessable income.</w:t>
      </w:r>
    </w:p>
    <w:p>
      <w:r>
        <w:t>However, buyers must consider:</w:t>
      </w:r>
    </w:p>
    <w:p>
      <w:pPr>
        <w:pStyle w:val="ListBullet"/>
      </w:pPr>
      <w:r>
        <w:rPr>
          <w:b/>
        </w:rPr>
        <w:t>Thin capitalization rules</w:t>
      </w:r>
      <w:r>
        <w:t xml:space="preserve"> that limit debt-to-equity ratios</w:t>
      </w:r>
    </w:p>
    <w:p>
      <w:pPr>
        <w:pStyle w:val="ListBullet"/>
      </w:pPr>
      <w:r>
        <w:rPr>
          <w:b/>
        </w:rPr>
        <w:t>Earnings stripping provisions</w:t>
      </w:r>
      <w:r>
        <w:t xml:space="preserve"> such as </w:t>
      </w:r>
      <w:r>
        <w:rPr>
          <w:b/>
        </w:rPr>
        <w:t>US Internal Revenue Code Section 163(j)</w:t>
      </w:r>
      <w:r>
        <w:t>, which limits interest deductions to 30% of adjusted taxable income. For tax years 2022-2024, ATI was calculated as EBIT (earnings before interest and taxes). For tax years beginning after December 31, 2024, ATI is calculated as EBITDA (adding back depreciation, depletion, and amortization), which is more favorable for capital-intensive oil and gas companies.</w:t>
      </w:r>
    </w:p>
    <w:p>
      <w:pPr>
        <w:pStyle w:val="ListBullet"/>
      </w:pPr>
      <w:r>
        <w:rPr>
          <w:b/>
        </w:rPr>
        <w:t>Transfer pricing</w:t>
      </w:r>
      <w:r>
        <w:t xml:space="preserve"> requirements for related-party debt</w:t>
      </w:r>
    </w:p>
    <w:p>
      <w:pPr>
        <w:pStyle w:val="Heading3"/>
      </w:pPr>
      <w:r>
        <w:t>2.3 Tax Disadvantages for Sellers</w:t>
      </w:r>
    </w:p>
    <w:p>
      <w:pPr>
        <w:pStyle w:val="Heading4"/>
      </w:pPr>
      <w:r>
        <w:t>2.3.1 Higher Tax Liability</w:t>
      </w:r>
    </w:p>
    <w:p>
      <w:r>
        <w:t xml:space="preserve">Sellers in asset transactions typically face </w:t>
      </w:r>
      <w:r>
        <w:rPr>
          <w:b/>
        </w:rPr>
        <w:t>higher overall tax liability</w:t>
      </w:r>
      <w:r>
        <w:t xml:space="preserve"> due to:</w:t>
      </w:r>
    </w:p>
    <w:p>
      <w:pPr>
        <w:pStyle w:val="ListBullet"/>
      </w:pPr>
      <w:r>
        <w:rPr>
          <w:b/>
        </w:rPr>
        <w:t>Ordinary income treatment</w:t>
      </w:r>
      <w:r>
        <w:t xml:space="preserve"> for depreciation recapture and depletion recapture</w:t>
      </w:r>
    </w:p>
    <w:p>
      <w:pPr>
        <w:pStyle w:val="ListBullet"/>
      </w:pPr>
      <w:r>
        <w:rPr>
          <w:b/>
        </w:rPr>
        <w:t>Capital gains tax</w:t>
      </w:r>
      <w:r>
        <w:t xml:space="preserve"> on appreciation above the original basis</w:t>
      </w:r>
    </w:p>
    <w:p>
      <w:pPr>
        <w:pStyle w:val="ListBullet"/>
      </w:pPr>
      <w:r>
        <w:rPr>
          <w:b/>
        </w:rPr>
        <w:t>Double taxation</w:t>
      </w:r>
      <w:r>
        <w:t xml:space="preserve"> in corporate structures (corporation taxed on gain, shareholders taxed on dividend distribution)</w:t>
      </w:r>
    </w:p>
    <w:p>
      <w:r>
        <w:t xml:space="preserve">Under </w:t>
      </w:r>
      <w:r>
        <w:rPr>
          <w:b/>
        </w:rPr>
        <w:t>US Internal Revenue Code Section 1245</w:t>
      </w:r>
      <w:r>
        <w:t xml:space="preserve"> (depreciation recapture) or equivalent provisions in other jurisdictions, gain on the sale of depreciable property is taxed as </w:t>
      </w:r>
      <w:r>
        <w:rPr>
          <w:b/>
        </w:rPr>
        <w:t>ordinary income</w:t>
      </w:r>
      <w:r>
        <w:t xml:space="preserve"> to the extent of prior depreciation deductions. For oil and gas assets, this can be substantial.</w:t>
      </w:r>
    </w:p>
    <w:p>
      <w:r>
        <w:rPr>
          <w:b/>
        </w:rPr>
        <w:t>Example:</w:t>
      </w:r>
      <w:r>
        <w:t xml:space="preserve"> Seller acquired production equipment for $30 million, claimed $20 million in depreciation, and sells for $40 million. The tax treatment is:</w:t>
      </w:r>
    </w:p>
    <w:p>
      <w:pPr>
        <w:pStyle w:val="ListBullet"/>
      </w:pPr>
      <w:r>
        <w:t>Recapture (ordinary income): $20 million (prior depreciation)</w:t>
      </w:r>
    </w:p>
    <w:p>
      <w:pPr>
        <w:pStyle w:val="ListBullet"/>
      </w:pPr>
      <w:r>
        <w:t>Capital gain: $10 million ($40M sale price - $30M original basis)</w:t>
      </w:r>
    </w:p>
    <w:p>
      <w:pPr>
        <w:pStyle w:val="ListBullet"/>
      </w:pPr>
      <w:r>
        <w:t>Total gain: $30 million</w:t>
      </w:r>
    </w:p>
    <w:p>
      <w:r>
        <w:t>Assuming ordinary tax rate of 35% and capital gains rate of 20%:</w:t>
      </w:r>
    </w:p>
    <w:p>
      <w:pPr>
        <w:pStyle w:val="ListBullet"/>
      </w:pPr>
      <w:r>
        <w:t>Tax on recapture: $20M × 35% = $7.0 million</w:t>
      </w:r>
    </w:p>
    <w:p>
      <w:pPr>
        <w:pStyle w:val="ListBullet"/>
      </w:pPr>
      <w:r>
        <w:t>Tax on capital gain: $10M × 20% = $2.0 million</w:t>
      </w:r>
    </w:p>
    <w:p>
      <w:pPr>
        <w:pStyle w:val="ListBullet"/>
      </w:pPr>
      <w:r>
        <w:rPr>
          <w:b/>
        </w:rPr>
        <w:t>Total tax: $9.0 million</w:t>
      </w:r>
      <w:r>
        <w:t xml:space="preserve"> (30% effective rate)</w:t>
      </w:r>
    </w:p>
    <w:p>
      <w:r>
        <w:t>In contrast, a share sale typically results in lower taxes. If structured as a share sale, the entire $30 million gain might qualify for capital gains treatment at 20% = $6.0 million tax, saving $3.0 million.</w:t>
      </w:r>
    </w:p>
    <w:p>
      <w:pPr>
        <w:pStyle w:val="Heading4"/>
      </w:pPr>
      <w:r>
        <w:t>2.3.2 Transaction Costs and Regulatory Complexity</w:t>
      </w:r>
    </w:p>
    <w:p>
      <w:r>
        <w:t>Asset sales in the energy sector require:</w:t>
      </w:r>
    </w:p>
    <w:p>
      <w:pPr>
        <w:pStyle w:val="ListBullet"/>
      </w:pPr>
      <w:r>
        <w:t>Individual transfer of each petroleum license and regulatory approval</w:t>
      </w:r>
    </w:p>
    <w:p>
      <w:pPr>
        <w:pStyle w:val="ListBullet"/>
      </w:pPr>
      <w:r>
        <w:t>Novation of contracts, joint operating agreements (JOAs), and PSCs</w:t>
      </w:r>
    </w:p>
    <w:p>
      <w:pPr>
        <w:pStyle w:val="ListBullet"/>
      </w:pPr>
      <w:r>
        <w:t>Government consent for change of operator status</w:t>
      </w:r>
    </w:p>
    <w:p>
      <w:pPr>
        <w:pStyle w:val="ListBullet"/>
      </w:pPr>
      <w:r>
        <w:t>Potential stamp duty or transfer taxes on each asset</w:t>
      </w:r>
    </w:p>
    <w:p>
      <w:r>
        <w:t>These factors increase transaction time and costs compared to share transfers.</w:t>
      </w:r>
    </w:p>
    <w:p>
      <w:pPr>
        <w:pStyle w:val="Heading3"/>
      </w:pPr>
      <w:r>
        <w:t>2.4 Interaction with PSC Regimes</w:t>
      </w:r>
    </w:p>
    <w:p>
      <w:r>
        <w:t xml:space="preserve">Under </w:t>
      </w:r>
      <w:r>
        <w:rPr>
          <w:b/>
        </w:rPr>
        <w:t>Production Sharing Contracts</w:t>
      </w:r>
      <w:r>
        <w:t>, asset purchases have unique implications:</w:t>
      </w:r>
    </w:p>
    <w:p>
      <w:pPr>
        <w:pStyle w:val="ListBullet"/>
      </w:pPr>
      <w:r>
        <w:rPr>
          <w:b/>
        </w:rPr>
        <w:t>Cost oil recovery</w:t>
      </w:r>
      <w:r>
        <w:t xml:space="preserve">: The buyer cannot recover the acquisition cost through cost oil, as PSCs typically limit cost recovery to </w:t>
      </w:r>
      <w:r>
        <w:rPr>
          <w:b/>
        </w:rPr>
        <w:t>operational expenditures</w:t>
      </w:r>
      <w:r>
        <w:t xml:space="preserve"> (opex) and </w:t>
      </w:r>
      <w:r>
        <w:rPr>
          <w:b/>
        </w:rPr>
        <w:t>capital expenditures</w:t>
      </w:r>
      <w:r>
        <w:t xml:space="preserve"> (capex) incurred in developing the field</w:t>
      </w:r>
    </w:p>
    <w:p>
      <w:pPr>
        <w:pStyle w:val="ListBullet"/>
      </w:pPr>
      <w:r>
        <w:rPr>
          <w:b/>
        </w:rPr>
        <w:t>Signature bonuses</w:t>
      </w:r>
      <w:r>
        <w:t xml:space="preserve"> and acquisition costs are generally </w:t>
      </w:r>
      <w:r>
        <w:rPr>
          <w:b/>
        </w:rPr>
        <w:t>non-recoverable</w:t>
      </w:r>
    </w:p>
    <w:p>
      <w:pPr>
        <w:pStyle w:val="ListBullet"/>
      </w:pPr>
      <w:r>
        <w:t xml:space="preserve">The </w:t>
      </w:r>
      <w:r>
        <w:rPr>
          <w:b/>
        </w:rPr>
        <w:t>government's share</w:t>
      </w:r>
      <w:r>
        <w:t xml:space="preserve"> of production (profit oil) is unaffected by the change in ownership</w:t>
      </w:r>
    </w:p>
    <w:p>
      <w:r>
        <w:t>Therefore, in PSC regimes, the tax benefits of stepped-up basis may be limited or nonexistent for corporate income tax purposes, though depreciation may still be available on assets used for operations.</w:t>
      </w:r>
    </w:p>
    <w:p>
      <w:pPr>
        <w:spacing w:before="120" w:after="120"/>
        <w:pBdr>
          <w:bottom w:val="single" w:sz="6" w:space="1" w:color="auto"/>
        </w:pBdr>
      </w:pPr>
    </w:p>
    <w:p>
      <w:pPr>
        <w:pStyle w:val="Heading2"/>
      </w:pPr>
      <w:r>
        <w:t>3. Share Purchase Transactions</w:t>
      </w:r>
    </w:p>
    <w:p>
      <w:pPr>
        <w:pStyle w:val="Heading3"/>
      </w:pPr>
      <w:r>
        <w:t>3.1 Legal and Tax Characteristics</w:t>
      </w:r>
    </w:p>
    <w:p>
      <w:r>
        <w:t xml:space="preserve">A </w:t>
      </w:r>
      <w:r>
        <w:rPr>
          <w:b/>
        </w:rPr>
        <w:t>share purchase</w:t>
      </w:r>
      <w:r>
        <w:t xml:space="preserve"> (also called </w:t>
      </w:r>
      <w:r>
        <w:rPr>
          <w:b/>
        </w:rPr>
        <w:t>stock acquisition</w:t>
      </w:r>
      <w:r>
        <w:t>) involves acquiring the equity interest in a company that owns oil and gas assets. In this structure:</w:t>
      </w:r>
    </w:p>
    <w:p>
      <w:pPr>
        <w:pStyle w:val="ListBullet"/>
      </w:pPr>
      <w:r>
        <w:t>Legal ownership of the target company's shares transfers to the buyer</w:t>
      </w:r>
    </w:p>
    <w:p>
      <w:pPr>
        <w:pStyle w:val="ListBullet"/>
      </w:pPr>
      <w:r>
        <w:t>The target company continues as the legal owner of all licenses, contracts, and assets</w:t>
      </w:r>
    </w:p>
    <w:p>
      <w:pPr>
        <w:pStyle w:val="ListBullet"/>
      </w:pPr>
      <w:r>
        <w:t>No transfer of individual assets occurs</w:t>
      </w:r>
    </w:p>
    <w:p>
      <w:pPr>
        <w:pStyle w:val="ListBullet"/>
      </w:pPr>
      <w:r>
        <w:t>Less regulatory approval required (though government may have preemption rights)</w:t>
      </w:r>
    </w:p>
    <w:p>
      <w:r>
        <w:t xml:space="preserve">From a tax perspective, the critical distinction is that </w:t>
      </w:r>
      <w:r>
        <w:rPr>
          <w:b/>
        </w:rPr>
        <w:t>no step-up in asset basis</w:t>
      </w:r>
      <w:r>
        <w:t xml:space="preserve"> occurs. The target company's historical tax basis in its assets continues unchanged.</w:t>
      </w:r>
    </w:p>
    <w:p>
      <w:pPr>
        <w:pStyle w:val="Heading3"/>
      </w:pPr>
      <w:r>
        <w:t>3.2 Tax Advantages for Sellers</w:t>
      </w:r>
    </w:p>
    <w:p>
      <w:pPr>
        <w:pStyle w:val="Heading4"/>
      </w:pPr>
      <w:r>
        <w:t>3.2.1 Capital Gains Treatment</w:t>
      </w:r>
    </w:p>
    <w:p>
      <w:r>
        <w:t xml:space="preserve">The principal tax advantage of a share sale for sellers is that proceeds are generally taxed as </w:t>
      </w:r>
      <w:r>
        <w:rPr>
          <w:b/>
        </w:rPr>
        <w:t>capital gains</w:t>
      </w:r>
      <w:r>
        <w:t xml:space="preserve"> rather than ordinary income. In most jurisdictions:</w:t>
      </w:r>
    </w:p>
    <w:p>
      <w:pPr>
        <w:pStyle w:val="ListBullet"/>
      </w:pPr>
      <w:r>
        <w:t xml:space="preserve">Share sales qualify for preferential </w:t>
      </w:r>
      <w:r>
        <w:rPr>
          <w:b/>
        </w:rPr>
        <w:t>capital gains tax rates</w:t>
      </w:r>
      <w:r>
        <w:t xml:space="preserve"> (e.g., 15-20% compared to 25-35% corporate rates)</w:t>
      </w:r>
    </w:p>
    <w:p>
      <w:pPr>
        <w:pStyle w:val="ListBullet"/>
      </w:pPr>
      <w:r>
        <w:rPr>
          <w:b/>
        </w:rPr>
        <w:t>Single level of taxation</w:t>
      </w:r>
      <w:r>
        <w:t xml:space="preserve"> (no corporate-level tax, only shareholder tax)</w:t>
      </w:r>
    </w:p>
    <w:p>
      <w:pPr>
        <w:pStyle w:val="ListBullet"/>
      </w:pPr>
      <w:r>
        <w:rPr>
          <w:b/>
        </w:rPr>
        <w:t>No recapture</w:t>
      </w:r>
      <w:r>
        <w:t xml:space="preserve"> of depreciation or depletion</w:t>
      </w:r>
    </w:p>
    <w:p>
      <w:r>
        <w:rPr>
          <w:b/>
        </w:rPr>
        <w:t>Example:</w:t>
      </w:r>
      <w:r>
        <w:t xml:space="preserve"> A seller disposes of shares in an oil and gas company for $100 million. The seller's basis in the shares is $40 million. Under share sale treatment:</w:t>
      </w:r>
    </w:p>
    <w:p>
      <w:pPr>
        <w:pStyle w:val="ListBullet"/>
      </w:pPr>
      <w:r>
        <w:t>Capital gain: $60 million</w:t>
      </w:r>
    </w:p>
    <w:p>
      <w:pPr>
        <w:pStyle w:val="ListBullet"/>
      </w:pPr>
      <w:r>
        <w:t>Tax at 20% capital gains rate: $12 million</w:t>
      </w:r>
    </w:p>
    <w:p>
      <w:pPr>
        <w:pStyle w:val="ListBullet"/>
      </w:pPr>
      <w:r>
        <w:rPr>
          <w:b/>
        </w:rPr>
        <w:t>Net proceeds: $88 million</w:t>
      </w:r>
    </w:p>
    <w:p>
      <w:r>
        <w:t>If structured as an asset sale with $60 million gain (assume $30 million ordinary recapture, $30 million capital gain):</w:t>
      </w:r>
    </w:p>
    <w:p>
      <w:pPr>
        <w:pStyle w:val="ListBullet"/>
      </w:pPr>
      <w:r>
        <w:t>Tax on ordinary income: $30M × 35% = $10.5 million</w:t>
      </w:r>
    </w:p>
    <w:p>
      <w:pPr>
        <w:pStyle w:val="ListBullet"/>
      </w:pPr>
      <w:r>
        <w:t>Tax on capital gain: $30M × 20% = $6.0 million</w:t>
      </w:r>
    </w:p>
    <w:p>
      <w:pPr>
        <w:pStyle w:val="ListBullet"/>
      </w:pPr>
      <w:r>
        <w:t>Total tax: $16.5 million</w:t>
      </w:r>
    </w:p>
    <w:p>
      <w:pPr>
        <w:pStyle w:val="ListBullet"/>
      </w:pPr>
      <w:r>
        <w:rPr>
          <w:b/>
        </w:rPr>
        <w:t>Net proceeds: $83.5 million</w:t>
      </w:r>
    </w:p>
    <w:p>
      <w:r>
        <w:t>The seller receives $4.5 million more (5.1% improvement) through share sale structuring.</w:t>
      </w:r>
    </w:p>
    <w:p>
      <w:pPr>
        <w:pStyle w:val="Heading4"/>
      </w:pPr>
      <w:r>
        <w:t>3.2.2 Simplicity and Speed</w:t>
      </w:r>
    </w:p>
    <w:p>
      <w:r>
        <w:t>Share transactions offer:</w:t>
      </w:r>
    </w:p>
    <w:p>
      <w:pPr>
        <w:pStyle w:val="ListBullet"/>
      </w:pPr>
      <w:r>
        <w:t>Single transfer of shares rather than multiple asset transfers</w:t>
      </w:r>
    </w:p>
    <w:p>
      <w:pPr>
        <w:pStyle w:val="ListBullet"/>
      </w:pPr>
      <w:r>
        <w:t>Minimal regulatory approval requirements</w:t>
      </w:r>
    </w:p>
    <w:p>
      <w:pPr>
        <w:pStyle w:val="ListBullet"/>
      </w:pPr>
      <w:r>
        <w:t>Preservation of existing licenses, contracts, and JOA positions</w:t>
      </w:r>
    </w:p>
    <w:p>
      <w:pPr>
        <w:pStyle w:val="ListBullet"/>
      </w:pPr>
      <w:r>
        <w:t>Lower stamp duty in many jurisdictions (or exemptions under participation regimes)</w:t>
      </w:r>
    </w:p>
    <w:p>
      <w:pPr>
        <w:pStyle w:val="Heading3"/>
      </w:pPr>
      <w:r>
        <w:t>3.3 Tax Challenges for Buyers</w:t>
      </w:r>
    </w:p>
    <w:p>
      <w:pPr>
        <w:pStyle w:val="Heading4"/>
      </w:pPr>
      <w:r>
        <w:t>3.3.1 No Step-Up in Basis</w:t>
      </w:r>
    </w:p>
    <w:p>
      <w:r>
        <w:t xml:space="preserve">The buyer inherits the target company's </w:t>
      </w:r>
      <w:r>
        <w:rPr>
          <w:b/>
        </w:rPr>
        <w:t>historical tax basis</w:t>
      </w:r>
      <w:r>
        <w:t xml:space="preserve"> in its assets, resulting in:</w:t>
      </w:r>
    </w:p>
    <w:p>
      <w:pPr>
        <w:pStyle w:val="ListBullet"/>
      </w:pPr>
      <w:r>
        <w:t>Lower depreciation deductions in future years</w:t>
      </w:r>
    </w:p>
    <w:p>
      <w:pPr>
        <w:pStyle w:val="ListBullet"/>
      </w:pPr>
      <w:r>
        <w:t>Inability to claim depletion on purchase price premium</w:t>
      </w:r>
    </w:p>
    <w:p>
      <w:pPr>
        <w:pStyle w:val="ListBullet"/>
      </w:pPr>
      <w:r>
        <w:t>Foregone tax shield worth substantial present value</w:t>
      </w:r>
    </w:p>
    <w:p>
      <w:r>
        <w:t xml:space="preserve">This forgone tax benefit may need to be reflected in </w:t>
      </w:r>
      <w:r>
        <w:rPr>
          <w:b/>
        </w:rPr>
        <w:t>purchase price negotiations</w:t>
      </w:r>
      <w:r>
        <w:t>, with buyers demanding a discount to compensate for lower post-acquisition tax deductions.</w:t>
      </w:r>
    </w:p>
    <w:p>
      <w:pPr>
        <w:pStyle w:val="Heading4"/>
      </w:pPr>
      <w:r>
        <w:t>3.3.2 Restricted Interest Deductibility</w:t>
      </w:r>
    </w:p>
    <w:p>
      <w:r>
        <w:t xml:space="preserve">Interest on debt incurred to purchase shares faces significant restrictions in many jurisdictions due to </w:t>
      </w:r>
      <w:r>
        <w:rPr>
          <w:b/>
        </w:rPr>
        <w:t>participation exemption</w:t>
      </w:r>
      <w:r>
        <w:t xml:space="preserve"> rules.</w:t>
      </w:r>
    </w:p>
    <w:p>
      <w:r>
        <w:rPr>
          <w:b/>
        </w:rPr>
        <w:t>Participation Exemption Framework:</w:t>
      </w:r>
    </w:p>
    <w:p>
      <w:r>
        <w:t xml:space="preserve">Many countries exempt </w:t>
      </w:r>
      <w:r>
        <w:rPr>
          <w:b/>
        </w:rPr>
        <w:t>dividends</w:t>
      </w:r>
      <w:r>
        <w:t xml:space="preserve"> and </w:t>
      </w:r>
      <w:r>
        <w:rPr>
          <w:b/>
        </w:rPr>
        <w:t>capital gains</w:t>
      </w:r>
      <w:r>
        <w:t xml:space="preserve"> on qualifying shareholdings from taxation to prevent double taxation within corporate groups. The policy rationale is that the subsidiary's profits are already taxed at the subsidiary level, so exempting dividends and gains at the parent level avoids cascading taxation.</w:t>
      </w:r>
    </w:p>
    <w:p>
      <w:r>
        <w:rPr>
          <w:b/>
        </w:rPr>
        <w:t>Typical requirements for participation exemption:</w:t>
      </w:r>
    </w:p>
    <w:p>
      <w:pPr>
        <w:pStyle w:val="ListBullet"/>
      </w:pPr>
      <w:r>
        <w:t xml:space="preserve">Minimum shareholding: </w:t>
      </w:r>
      <w:r>
        <w:rPr>
          <w:b/>
        </w:rPr>
        <w:t>5-25%</w:t>
      </w:r>
      <w:r>
        <w:t xml:space="preserve"> of shares or voting rights</w:t>
      </w:r>
    </w:p>
    <w:p>
      <w:pPr>
        <w:pStyle w:val="ListBullet"/>
      </w:pPr>
      <w:r>
        <w:t xml:space="preserve">Minimum holding period: </w:t>
      </w:r>
      <w:r>
        <w:rPr>
          <w:b/>
        </w:rPr>
        <w:t>12-24 months</w:t>
      </w:r>
    </w:p>
    <w:p>
      <w:pPr>
        <w:pStyle w:val="ListBullet"/>
      </w:pPr>
      <w:r>
        <w:t>Substance requirements: The subsidiary must be subject to tax in its jurisdiction</w:t>
      </w:r>
    </w:p>
    <w:p>
      <w:r>
        <w:rPr>
          <w:b/>
        </w:rPr>
        <w:t>Interest Deduction Restriction:</w:t>
      </w:r>
    </w:p>
    <w:p>
      <w:r>
        <w:t xml:space="preserve">The corollary of participation exemption is that many jurisdictions </w:t>
      </w:r>
      <w:r>
        <w:rPr>
          <w:b/>
        </w:rPr>
        <w:t>disallow interest deductions</w:t>
      </w:r>
      <w:r>
        <w:t xml:space="preserve"> on debt used to acquire shares, on the theory that if the dividend income is exempt, the related financing costs should not be deductible.</w:t>
      </w:r>
    </w:p>
    <w:p>
      <w:r>
        <w:rPr>
          <w:b/>
        </w:rPr>
        <w:t>Examples of jurisdictions with varying approaches:</w:t>
      </w:r>
    </w:p>
    <w:p>
      <w:pPr>
        <w:pStyle w:val="ListBullet"/>
      </w:pPr>
      <w:r>
        <w:rPr>
          <w:b/>
        </w:rPr>
        <w:t>Netherlands</w:t>
      </w:r>
      <w:r>
        <w:t>: Provides full participation exemption for qualifying dividends and capital gains. Interest on debt used to finance participation shareholdings is generally deductible, subject to earnings stripping rules (20% of EBITDA with EUR 1 million threshold).</w:t>
      </w:r>
    </w:p>
    <w:p>
      <w:pPr>
        <w:pStyle w:val="ListBullet"/>
      </w:pPr>
      <w:r>
        <w:rPr>
          <w:b/>
        </w:rPr>
        <w:t>Germany</w:t>
      </w:r>
      <w:r>
        <w:t>: Participation exemption applies with a 5% deemed non-deductible portion of certain financing expenses related to shareholdings</w:t>
      </w:r>
    </w:p>
    <w:p>
      <w:pPr>
        <w:pStyle w:val="ListBullet"/>
      </w:pPr>
      <w:r>
        <w:rPr>
          <w:b/>
        </w:rPr>
        <w:t>Luxembourg</w:t>
      </w:r>
      <w:r>
        <w:t>: Participation exemption applies with restrictions on interest deductibility depending on substance requirements</w:t>
      </w:r>
    </w:p>
    <w:p>
      <w:pPr>
        <w:pStyle w:val="ListBullet"/>
      </w:pPr>
      <w:r>
        <w:rPr>
          <w:b/>
        </w:rPr>
        <w:t>France</w:t>
      </w:r>
      <w:r>
        <w:t xml:space="preserve"> and </w:t>
      </w:r>
      <w:r>
        <w:rPr>
          <w:b/>
        </w:rPr>
        <w:t>United Kingdom</w:t>
      </w:r>
      <w:r>
        <w:t>: Both allow interest deductions even where participation exemption applies, creating planning opportunities</w:t>
      </w:r>
    </w:p>
    <w:p>
      <w:pPr>
        <w:pStyle w:val="Heading4"/>
      </w:pPr>
      <w:r>
        <w:t>3.3.3 Inherited Liabilities</w:t>
      </w:r>
    </w:p>
    <w:p>
      <w:r>
        <w:t>Share purchases expose buyers to:</w:t>
      </w:r>
    </w:p>
    <w:p>
      <w:pPr>
        <w:pStyle w:val="ListBullet"/>
      </w:pPr>
      <w:r>
        <w:rPr>
          <w:b/>
        </w:rPr>
        <w:t>Contingent tax liabilities</w:t>
      </w:r>
      <w:r>
        <w:t xml:space="preserve"> from historical operations</w:t>
      </w:r>
    </w:p>
    <w:p>
      <w:pPr>
        <w:pStyle w:val="ListBullet"/>
      </w:pPr>
      <w:r>
        <w:rPr>
          <w:b/>
        </w:rPr>
        <w:t>Environmental and decommissioning obligations</w:t>
      </w:r>
    </w:p>
    <w:p>
      <w:pPr>
        <w:pStyle w:val="ListBullet"/>
      </w:pPr>
      <w:r>
        <w:rPr>
          <w:b/>
        </w:rPr>
        <w:t>Warranties and indemnities</w:t>
      </w:r>
      <w:r>
        <w:t xml:space="preserve"> that must be negotiated in the share purchase agreement</w:t>
      </w:r>
    </w:p>
    <w:p>
      <w:pPr>
        <w:pStyle w:val="ListBullet"/>
      </w:pPr>
      <w:r>
        <w:rPr>
          <w:b/>
        </w:rPr>
        <w:t>Transfer pricing adjustments</w:t>
      </w:r>
      <w:r>
        <w:t xml:space="preserve"> from prior years</w:t>
      </w:r>
    </w:p>
    <w:p>
      <w:r>
        <w:t xml:space="preserve">Comprehensive </w:t>
      </w:r>
      <w:r>
        <w:rPr>
          <w:b/>
        </w:rPr>
        <w:t>tax due diligence</w:t>
      </w:r>
      <w:r>
        <w:t xml:space="preserve"> (covered in Topic 34) becomes critical in share transactions.</w:t>
      </w:r>
    </w:p>
    <w:p>
      <w:pPr>
        <w:spacing w:before="120" w:after="120"/>
        <w:pBdr>
          <w:bottom w:val="single" w:sz="6" w:space="1" w:color="auto"/>
        </w:pBdr>
      </w:pPr>
    </w:p>
    <w:p>
      <w:pPr>
        <w:pStyle w:val="Heading2"/>
      </w:pPr>
      <w:r>
        <w:t>4. Tax Consolidation and Group Relief</w:t>
      </w:r>
    </w:p>
    <w:p>
      <w:pPr>
        <w:pStyle w:val="Heading3"/>
      </w:pPr>
      <w:r>
        <w:t>4.1 Utilizing Tax Losses Through Consolidation</w:t>
      </w:r>
    </w:p>
    <w:p>
      <w:r>
        <w:t xml:space="preserve">Whether interest deductions on acquisition financing can be utilized depends significantly on </w:t>
      </w:r>
      <w:r>
        <w:rPr>
          <w:b/>
        </w:rPr>
        <w:t>tax consolidation</w:t>
      </w:r>
      <w:r>
        <w:t xml:space="preserve"> or </w:t>
      </w:r>
      <w:r>
        <w:rPr>
          <w:b/>
        </w:rPr>
        <w:t>group relief</w:t>
      </w:r>
      <w:r>
        <w:t xml:space="preserve"> provisions.</w:t>
      </w:r>
    </w:p>
    <w:p>
      <w:pPr>
        <w:pStyle w:val="Heading4"/>
      </w:pPr>
      <w:r>
        <w:t>4.1.1 Tax Consolidation Regimes</w:t>
      </w:r>
    </w:p>
    <w:p>
      <w:r>
        <w:t xml:space="preserve">Many jurisdictions allow corporate groups to file </w:t>
      </w:r>
      <w:r>
        <w:rPr>
          <w:b/>
        </w:rPr>
        <w:t>consolidated tax returns</w:t>
      </w:r>
      <w:r>
        <w:t xml:space="preserve"> or transfer losses between group members, including:</w:t>
      </w:r>
    </w:p>
    <w:p>
      <w:pPr>
        <w:pStyle w:val="ListBullet"/>
      </w:pPr>
      <w:r>
        <w:rPr>
          <w:b/>
        </w:rPr>
        <w:t>United States</w:t>
      </w:r>
      <w:r>
        <w:t>: Federal consolidated returns for groups with 80%+ ownership</w:t>
      </w:r>
    </w:p>
    <w:p>
      <w:pPr>
        <w:pStyle w:val="ListBullet"/>
      </w:pPr>
      <w:r>
        <w:rPr>
          <w:b/>
        </w:rPr>
        <w:t>United Kingdom</w:t>
      </w:r>
      <w:r>
        <w:t>: Group relief for 75%+ groups</w:t>
      </w:r>
    </w:p>
    <w:p>
      <w:pPr>
        <w:pStyle w:val="ListBullet"/>
      </w:pPr>
      <w:r>
        <w:rPr>
          <w:b/>
        </w:rPr>
        <w:t>Australia</w:t>
      </w:r>
      <w:r>
        <w:t>: Consolidation for 100% owned groups</w:t>
      </w:r>
    </w:p>
    <w:p>
      <w:pPr>
        <w:pStyle w:val="ListBullet"/>
      </w:pPr>
      <w:r>
        <w:rPr>
          <w:b/>
        </w:rPr>
        <w:t>Netherlands</w:t>
      </w:r>
      <w:r>
        <w:t>: Fiscal unity for integrated groups</w:t>
      </w:r>
    </w:p>
    <w:p>
      <w:r>
        <w:t xml:space="preserve">Where consolidation is available, interest deductions incurred by a </w:t>
      </w:r>
      <w:r>
        <w:rPr>
          <w:b/>
        </w:rPr>
        <w:t>holding company</w:t>
      </w:r>
      <w:r>
        <w:t xml:space="preserve"> or </w:t>
      </w:r>
      <w:r>
        <w:rPr>
          <w:b/>
        </w:rPr>
        <w:t>acquisition vehicle</w:t>
      </w:r>
      <w:r>
        <w:t xml:space="preserve"> can be offset against profits of the </w:t>
      </w:r>
      <w:r>
        <w:rPr>
          <w:b/>
        </w:rPr>
        <w:t>target company</w:t>
      </w:r>
      <w:r>
        <w:t>, even though the target itself was acquired via share purchase.</w:t>
      </w:r>
    </w:p>
    <w:p>
      <w:pPr>
        <w:pStyle w:val="Heading4"/>
      </w:pPr>
      <w:r>
        <w:t>4.1.2 Structural Techniques</w:t>
      </w:r>
    </w:p>
    <w:p>
      <w:r>
        <w:t>To maximize interest deductibility in share acquisitions, buyers commonly employ:</w:t>
      </w:r>
    </w:p>
    <w:p>
      <w:pPr>
        <w:pStyle w:val="ListBullet"/>
      </w:pPr>
      <w:r>
        <w:rPr>
          <w:b/>
        </w:rPr>
        <w:t>Tax grouping election</w:t>
      </w:r>
      <w:r>
        <w:t>: File consolidated returns to pool income and deductions</w:t>
      </w:r>
    </w:p>
    <w:p>
      <w:pPr>
        <w:pStyle w:val="ListBullet"/>
      </w:pPr>
      <w:r>
        <w:rPr>
          <w:b/>
        </w:rPr>
        <w:t>Interest pushdown</w:t>
      </w:r>
      <w:r>
        <w:t>: Use loans between group members to allocate interest expense to profitable entities</w:t>
      </w:r>
    </w:p>
    <w:p>
      <w:pPr>
        <w:pStyle w:val="ListBullet"/>
      </w:pPr>
      <w:r>
        <w:rPr>
          <w:b/>
        </w:rPr>
        <w:t>Hybrid structures</w:t>
      </w:r>
      <w:r>
        <w:t>: Combine asset and share purchases to optimize basis and interest deductibility</w:t>
      </w:r>
    </w:p>
    <w:p>
      <w:pPr>
        <w:spacing w:before="120" w:after="120"/>
        <w:pBdr>
          <w:bottom w:val="single" w:sz="6" w:space="1" w:color="auto"/>
        </w:pBdr>
      </w:pPr>
    </w:p>
    <w:p>
      <w:pPr>
        <w:pStyle w:val="Heading2"/>
      </w:pPr>
      <w:r>
        <w:t>5. Thin Capitalization and Earnings Stripping Rules</w:t>
      </w:r>
    </w:p>
    <w:p>
      <w:pPr>
        <w:pStyle w:val="Heading3"/>
      </w:pPr>
      <w:r>
        <w:t>5.1 Purpose of Thin Capitalization Rules</w:t>
      </w:r>
    </w:p>
    <w:p>
      <w:r>
        <w:rPr>
          <w:b/>
        </w:rPr>
        <w:t>Thin capitalization rules</w:t>
      </w:r>
      <w:r>
        <w:t xml:space="preserve"> prevent companies from </w:t>
      </w:r>
      <w:r>
        <w:rPr>
          <w:b/>
        </w:rPr>
        <w:t>excessive debt financing</w:t>
      </w:r>
      <w:r>
        <w:t xml:space="preserve"> designed to erode the tax base through interest deductions. These rules limit the amount of debt that can be supported by equity, or cap interest deductions relative to earnings.</w:t>
      </w:r>
    </w:p>
    <w:p>
      <w:pPr>
        <w:pStyle w:val="Heading3"/>
      </w:pPr>
      <w:r>
        <w:t>5.2 Common Approaches</w:t>
      </w:r>
    </w:p>
    <w:p>
      <w:pPr>
        <w:pStyle w:val="Heading4"/>
      </w:pPr>
      <w:r>
        <w:t>5.2.1 Fixed Ratio Test</w:t>
      </w:r>
    </w:p>
    <w:p>
      <w:r>
        <w:t xml:space="preserve">Some jurisdictions impose </w:t>
      </w:r>
      <w:r>
        <w:rPr>
          <w:b/>
        </w:rPr>
        <w:t>debt-to-equity ratio</w:t>
      </w:r>
      <w:r>
        <w:t xml:space="preserve"> limits, such as:</w:t>
      </w:r>
    </w:p>
    <w:p>
      <w:pPr>
        <w:pStyle w:val="ListBullet"/>
      </w:pPr>
      <w:r>
        <w:rPr>
          <w:b/>
        </w:rPr>
        <w:t>3:1 debt-to-equity ratio</w:t>
      </w:r>
      <w:r>
        <w:t>: Debt exceeding three times equity results in interest disallowance on the excess</w:t>
      </w:r>
    </w:p>
    <w:p>
      <w:pPr>
        <w:pStyle w:val="ListBullet"/>
      </w:pPr>
      <w:r>
        <w:rPr>
          <w:b/>
        </w:rPr>
        <w:t>Thin cap safe harbors</w:t>
      </w:r>
      <w:r>
        <w:t>: Interest deductions fully allowed if below threshold ratios</w:t>
      </w:r>
    </w:p>
    <w:p>
      <w:pPr>
        <w:pStyle w:val="Heading4"/>
      </w:pPr>
      <w:r>
        <w:t>5.2.2 Earnings Stripping (EBITDA-Based Limitation)</w:t>
      </w:r>
    </w:p>
    <w:p>
      <w:r>
        <w:t xml:space="preserve">Modern rules often limit interest deductions to a </w:t>
      </w:r>
      <w:r>
        <w:rPr>
          <w:b/>
        </w:rPr>
        <w:t>percentage of earnings</w:t>
      </w:r>
      <w:r>
        <w:t>:</w:t>
      </w:r>
    </w:p>
    <w:p>
      <w:r>
        <w:rPr>
          <w:b/>
        </w:rPr>
        <w:t>US Internal Revenue Code Section 163(j):</w:t>
      </w:r>
      <w:r>
        <w:t xml:space="preserve"> Limits business interest deductions to:</w:t>
      </w:r>
    </w:p>
    <w:p>
      <w:pPr>
        <w:pStyle w:val="ListBullet"/>
      </w:pPr>
      <w:r>
        <w:t xml:space="preserve">Business interest income, </w:t>
      </w:r>
      <w:r>
        <w:rPr>
          <w:b/>
        </w:rPr>
        <w:t>plus</w:t>
      </w:r>
    </w:p>
    <w:p>
      <w:pPr>
        <w:pStyle w:val="ListBullet"/>
      </w:pPr>
      <w:r>
        <w:rPr>
          <w:b/>
        </w:rPr>
        <w:t>30% of adjusted taxable income (ATI)</w:t>
      </w:r>
    </w:p>
    <w:p>
      <w:pPr>
        <w:pStyle w:val="ListBullet"/>
      </w:pPr>
      <w:r>
        <w:t>Floor plan financing interest (not relevant for oil and gas)</w:t>
      </w:r>
    </w:p>
    <w:p>
      <w:r>
        <w:t xml:space="preserve">For tax years beginning after December 31, 2024, ATI is calculated as </w:t>
      </w:r>
      <w:r>
        <w:rPr>
          <w:b/>
        </w:rPr>
        <w:t>EBITDA</w:t>
      </w:r>
      <w:r>
        <w:t xml:space="preserve"> (earnings before interest, taxes, depreciation, </w:t>
      </w:r>
      <w:r>
        <w:rPr>
          <w:b/>
        </w:rPr>
        <w:t>depletion</w:t>
      </w:r>
      <w:r>
        <w:t xml:space="preserve">, and amortization). This is highly favorable for oil and gas companies because </w:t>
      </w:r>
      <w:r>
        <w:rPr>
          <w:b/>
        </w:rPr>
        <w:t>depletion</w:t>
      </w:r>
      <w:r>
        <w:t xml:space="preserve"> is added back, increasing ATI and allowing greater interest deductions.</w:t>
      </w:r>
    </w:p>
    <w:p>
      <w:r>
        <w:rPr>
          <w:b/>
        </w:rPr>
        <w:t>Example:</w:t>
      </w:r>
      <w:r>
        <w:t xml:space="preserve"> An oil and gas company has:</w:t>
      </w:r>
    </w:p>
    <w:p>
      <w:pPr>
        <w:pStyle w:val="ListBullet"/>
      </w:pPr>
      <w:r>
        <w:t>Taxable income before interest and depreciation: $50 million</w:t>
      </w:r>
    </w:p>
    <w:p>
      <w:pPr>
        <w:pStyle w:val="ListBullet"/>
      </w:pPr>
      <w:r>
        <w:t>Depreciation: $10 million</w:t>
      </w:r>
    </w:p>
    <w:p>
      <w:pPr>
        <w:pStyle w:val="ListBullet"/>
      </w:pPr>
      <w:r>
        <w:rPr>
          <w:b/>
        </w:rPr>
        <w:t>Depletion: $15 million</w:t>
      </w:r>
    </w:p>
    <w:p>
      <w:pPr>
        <w:pStyle w:val="ListBullet"/>
      </w:pPr>
      <w:r>
        <w:t>Business interest expense: $20 million</w:t>
      </w:r>
    </w:p>
    <w:p>
      <w:r>
        <w:rPr>
          <w:b/>
        </w:rPr>
        <w:t>ATI = $50M + $10M + $15M = $75 million</w:t>
      </w:r>
    </w:p>
    <w:p>
      <w:r>
        <w:rPr>
          <w:b/>
        </w:rPr>
        <w:t>Maximum deductible interest = 30% × $75M = $22.5 million</w:t>
      </w:r>
    </w:p>
    <w:p>
      <w:r>
        <w:t xml:space="preserve">Since actual interest ($20M) is below the cap ($22.5M), the </w:t>
      </w:r>
      <w:r>
        <w:rPr>
          <w:b/>
        </w:rPr>
        <w:t>full amount is deductible</w:t>
      </w:r>
      <w:r>
        <w:t>. Without adding back depletion, ATI would be only $60 million, limiting deductions to $18 million and disallowing $2 million.</w:t>
      </w:r>
    </w:p>
    <w:p>
      <w:pPr>
        <w:pStyle w:val="Heading3"/>
      </w:pPr>
      <w:r>
        <w:t>5.3 Transfer Pricing and Arm's Length Interest Rates</w:t>
      </w:r>
    </w:p>
    <w:p>
      <w:r>
        <w:t xml:space="preserve">Even where thin capitalization rules are satisfied, </w:t>
      </w:r>
      <w:r>
        <w:rPr>
          <w:b/>
        </w:rPr>
        <w:t>related-party interest</w:t>
      </w:r>
      <w:r>
        <w:t xml:space="preserve"> must be priced at </w:t>
      </w:r>
      <w:r>
        <w:rPr>
          <w:b/>
        </w:rPr>
        <w:t>arm's length</w:t>
      </w:r>
      <w:r>
        <w:t xml:space="preserve"> under transfer pricing principles. Tax authorities may challenge:</w:t>
      </w:r>
    </w:p>
    <w:p>
      <w:pPr>
        <w:pStyle w:val="ListBullet"/>
      </w:pPr>
      <w:r>
        <w:rPr>
          <w:b/>
        </w:rPr>
        <w:t>Interest rates</w:t>
      </w:r>
      <w:r>
        <w:t xml:space="preserve"> that exceed market rates for comparable loans</w:t>
      </w:r>
    </w:p>
    <w:p>
      <w:pPr>
        <w:pStyle w:val="ListBullet"/>
      </w:pPr>
      <w:r>
        <w:rPr>
          <w:b/>
        </w:rPr>
        <w:t>Principal amounts</w:t>
      </w:r>
      <w:r>
        <w:t xml:space="preserve"> that exceed what independent lenders would provide</w:t>
      </w:r>
    </w:p>
    <w:p>
      <w:pPr>
        <w:pStyle w:val="ListBullet"/>
      </w:pPr>
      <w:r>
        <w:rPr>
          <w:b/>
        </w:rPr>
        <w:t>Terms and conditions</w:t>
      </w:r>
      <w:r>
        <w:t xml:space="preserve"> that differ from third-party arrangements</w:t>
      </w:r>
    </w:p>
    <w:p>
      <w:pPr>
        <w:spacing w:before="120" w:after="120"/>
        <w:pBdr>
          <w:bottom w:val="single" w:sz="6" w:space="1" w:color="auto"/>
        </w:pBdr>
      </w:pPr>
    </w:p>
    <w:p>
      <w:pPr>
        <w:pStyle w:val="Heading2"/>
      </w:pPr>
      <w:r>
        <w:t>6. Comparative Analysis: Asset vs. Share Purchase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Asset Purchase</w:t>
            </w:r>
          </w:p>
        </w:tc>
        <w:tc>
          <w:tcPr>
            <w:tcW w:type="dxa" w:w="2880"/>
          </w:tcPr>
          <w:p>
            <w:r>
              <w:rPr>
                <w:b/>
              </w:rPr>
            </w:r>
            <w:r>
              <w:rPr>
                <w:b/>
              </w:rPr>
              <w:t>Share Purchase</w:t>
            </w:r>
          </w:p>
        </w:tc>
      </w:tr>
      <w:tr>
        <w:tc>
          <w:tcPr>
            <w:tcW w:type="dxa" w:w="2880"/>
          </w:tcPr>
          <w:p>
            <w:r/>
            <w:r>
              <w:rPr>
                <w:b/>
              </w:rPr>
              <w:t>Tax Basis</w:t>
            </w:r>
          </w:p>
        </w:tc>
        <w:tc>
          <w:tcPr>
            <w:tcW w:type="dxa" w:w="2880"/>
          </w:tcPr>
          <w:p>
            <w:r/>
            <w:r>
              <w:t>Stepped-up to purchase price</w:t>
            </w:r>
          </w:p>
        </w:tc>
        <w:tc>
          <w:tcPr>
            <w:tcW w:type="dxa" w:w="2880"/>
          </w:tcPr>
          <w:p>
            <w:r/>
            <w:r>
              <w:t>Carryover historical basis</w:t>
            </w:r>
          </w:p>
        </w:tc>
      </w:tr>
      <w:tr>
        <w:tc>
          <w:tcPr>
            <w:tcW w:type="dxa" w:w="2880"/>
          </w:tcPr>
          <w:p>
            <w:r/>
            <w:r>
              <w:rPr>
                <w:b/>
              </w:rPr>
              <w:t>Depreciation/Depletion</w:t>
            </w:r>
          </w:p>
        </w:tc>
        <w:tc>
          <w:tcPr>
            <w:tcW w:type="dxa" w:w="2880"/>
          </w:tcPr>
          <w:p>
            <w:r/>
            <w:r>
              <w:t>Higher deductions (buyer advantage)</w:t>
            </w:r>
          </w:p>
        </w:tc>
        <w:tc>
          <w:tcPr>
            <w:tcW w:type="dxa" w:w="2880"/>
          </w:tcPr>
          <w:p>
            <w:r/>
            <w:r>
              <w:t>Lower deductions</w:t>
            </w:r>
          </w:p>
        </w:tc>
      </w:tr>
      <w:tr>
        <w:tc>
          <w:tcPr>
            <w:tcW w:type="dxa" w:w="2880"/>
          </w:tcPr>
          <w:p>
            <w:r/>
            <w:r>
              <w:rPr>
                <w:b/>
              </w:rPr>
              <w:t>Interest Deductibility</w:t>
            </w:r>
          </w:p>
        </w:tc>
        <w:tc>
          <w:tcPr>
            <w:tcW w:type="dxa" w:w="2880"/>
          </w:tcPr>
          <w:p>
            <w:r/>
            <w:r>
              <w:t>Generally deductible</w:t>
            </w:r>
          </w:p>
        </w:tc>
        <w:tc>
          <w:tcPr>
            <w:tcW w:type="dxa" w:w="2880"/>
          </w:tcPr>
          <w:p>
            <w:r/>
            <w:r>
              <w:t>Often restricted (participation exemption)</w:t>
            </w:r>
          </w:p>
        </w:tc>
      </w:tr>
      <w:tr>
        <w:tc>
          <w:tcPr>
            <w:tcW w:type="dxa" w:w="2880"/>
          </w:tcPr>
          <w:p>
            <w:r/>
            <w:r>
              <w:rPr>
                <w:b/>
              </w:rPr>
              <w:t>Seller Tax</w:t>
            </w:r>
          </w:p>
        </w:tc>
        <w:tc>
          <w:tcPr>
            <w:tcW w:type="dxa" w:w="2880"/>
          </w:tcPr>
          <w:p>
            <w:r/>
            <w:r>
              <w:t>Higher (ordinary income + capital gain)</w:t>
            </w:r>
          </w:p>
        </w:tc>
        <w:tc>
          <w:tcPr>
            <w:tcW w:type="dxa" w:w="2880"/>
          </w:tcPr>
          <w:p>
            <w:r/>
            <w:r>
              <w:t>Lower (capital gains only)</w:t>
            </w:r>
          </w:p>
        </w:tc>
      </w:tr>
      <w:tr>
        <w:tc>
          <w:tcPr>
            <w:tcW w:type="dxa" w:w="2880"/>
          </w:tcPr>
          <w:p>
            <w:r/>
            <w:r>
              <w:rPr>
                <w:b/>
              </w:rPr>
              <w:t>Transaction Complexity</w:t>
            </w:r>
          </w:p>
        </w:tc>
        <w:tc>
          <w:tcPr>
            <w:tcW w:type="dxa" w:w="2880"/>
          </w:tcPr>
          <w:p>
            <w:r/>
            <w:r>
              <w:t>High (multiple asset transfers)</w:t>
            </w:r>
          </w:p>
        </w:tc>
        <w:tc>
          <w:tcPr>
            <w:tcW w:type="dxa" w:w="2880"/>
          </w:tcPr>
          <w:p>
            <w:r/>
            <w:r>
              <w:t>Low (single share transfer)</w:t>
            </w:r>
          </w:p>
        </w:tc>
      </w:tr>
      <w:tr>
        <w:tc>
          <w:tcPr>
            <w:tcW w:type="dxa" w:w="2880"/>
          </w:tcPr>
          <w:p>
            <w:r/>
            <w:r>
              <w:rPr>
                <w:b/>
              </w:rPr>
              <w:t>Regulatory Approval</w:t>
            </w:r>
          </w:p>
        </w:tc>
        <w:tc>
          <w:tcPr>
            <w:tcW w:type="dxa" w:w="2880"/>
          </w:tcPr>
          <w:p>
            <w:r/>
            <w:r>
              <w:t>Extensive (each license)</w:t>
            </w:r>
          </w:p>
        </w:tc>
        <w:tc>
          <w:tcPr>
            <w:tcW w:type="dxa" w:w="2880"/>
          </w:tcPr>
          <w:p>
            <w:r/>
            <w:r>
              <w:t>Minimal (government preemption rights)</w:t>
            </w:r>
          </w:p>
        </w:tc>
      </w:tr>
      <w:tr>
        <w:tc>
          <w:tcPr>
            <w:tcW w:type="dxa" w:w="2880"/>
          </w:tcPr>
          <w:p>
            <w:r/>
            <w:r>
              <w:rPr>
                <w:b/>
              </w:rPr>
              <w:t>Liability Protection</w:t>
            </w:r>
          </w:p>
        </w:tc>
        <w:tc>
          <w:tcPr>
            <w:tcW w:type="dxa" w:w="2880"/>
          </w:tcPr>
          <w:p>
            <w:r/>
            <w:r>
              <w:t>Buyer can exclude liabilities</w:t>
            </w:r>
          </w:p>
        </w:tc>
        <w:tc>
          <w:tcPr>
            <w:tcW w:type="dxa" w:w="2880"/>
          </w:tcPr>
          <w:p>
            <w:r/>
            <w:r>
              <w:t>Buyer inherits all liabilities</w:t>
            </w:r>
          </w:p>
        </w:tc>
      </w:tr>
      <w:tr>
        <w:tc>
          <w:tcPr>
            <w:tcW w:type="dxa" w:w="2880"/>
          </w:tcPr>
          <w:p>
            <w:r/>
            <w:r>
              <w:rPr>
                <w:b/>
              </w:rPr>
              <w:t>PSC Cost Recovery</w:t>
            </w:r>
          </w:p>
        </w:tc>
        <w:tc>
          <w:tcPr>
            <w:tcW w:type="dxa" w:w="2880"/>
          </w:tcPr>
          <w:p>
            <w:r/>
            <w:r>
              <w:t>Acquisition cost non-recoverable</w:t>
            </w:r>
          </w:p>
        </w:tc>
        <w:tc>
          <w:tcPr>
            <w:tcW w:type="dxa" w:w="2880"/>
          </w:tcPr>
          <w:p>
            <w:r/>
            <w:r>
              <w:t>No impact on cost recovery</w:t>
            </w:r>
          </w:p>
        </w:tc>
      </w:tr>
      <w:tr>
        <w:tc>
          <w:tcPr>
            <w:tcW w:type="dxa" w:w="2880"/>
          </w:tcPr>
          <w:p>
            <w:r/>
            <w:r>
              <w:rPr>
                <w:b/>
              </w:rPr>
              <w:t>Tax Losses</w:t>
            </w:r>
          </w:p>
        </w:tc>
        <w:tc>
          <w:tcPr>
            <w:tcW w:type="dxa" w:w="2880"/>
          </w:tcPr>
          <w:p>
            <w:r/>
            <w:r>
              <w:t>Lost (remain with seller)</w:t>
            </w:r>
          </w:p>
        </w:tc>
        <w:tc>
          <w:tcPr>
            <w:tcW w:type="dxa" w:w="2880"/>
          </w:tcPr>
          <w:p>
            <w:r/>
            <w:r>
              <w:t>Transferred with company</w:t>
            </w:r>
          </w:p>
        </w:tc>
      </w:tr>
    </w:tbl>
    <w:p/>
    <w:p>
      <w:pPr>
        <w:spacing w:before="120" w:after="120"/>
        <w:pBdr>
          <w:bottom w:val="single" w:sz="6" w:space="1" w:color="auto"/>
        </w:pBdr>
      </w:pPr>
    </w:p>
    <w:p>
      <w:pPr>
        <w:pStyle w:val="Heading2"/>
      </w:pPr>
      <w:r>
        <w:t>7. Worked Examples</w:t>
      </w:r>
    </w:p>
    <w:p>
      <w:pPr>
        <w:pStyle w:val="Heading3"/>
      </w:pPr>
      <w:r>
        <w:t>WORKED EXAMPLE 1: Tax Comparison of Asset vs. Share Purchase</w:t>
      </w:r>
    </w:p>
    <w:p>
      <w:r>
        <w:rPr>
          <w:b/>
        </w:rPr>
        <w:t>Facts:</w:t>
      </w:r>
    </w:p>
    <w:p>
      <w:r>
        <w:t xml:space="preserve">Buyer Corp is considering acquiring Target Oil Company, which owns producing oil fields. The proposed purchase price is </w:t>
      </w:r>
      <w:r>
        <w:rPr>
          <w:b/>
        </w:rPr>
        <w:t>$200 million</w:t>
      </w:r>
      <w:r>
        <w:t xml:space="preserve">. Target's assets have a tax book value of </w:t>
      </w:r>
      <w:r>
        <w:rPr>
          <w:b/>
        </w:rPr>
        <w:t>$80 million</w:t>
      </w:r>
      <w:r>
        <w:t xml:space="preserve"> (original cost $150 million, accumulated depreciation $70 million).</w:t>
      </w:r>
    </w:p>
    <w:p>
      <w:r>
        <w:t xml:space="preserve">Target generates annual </w:t>
      </w:r>
      <w:r>
        <w:rPr>
          <w:b/>
        </w:rPr>
        <w:t>taxable income of $30 million</w:t>
      </w:r>
      <w:r>
        <w:t xml:space="preserve"> before interest and depreciation. Target currently claims </w:t>
      </w:r>
      <w:r>
        <w:rPr>
          <w:b/>
        </w:rPr>
        <w:t>$8 million per year</w:t>
      </w:r>
      <w:r>
        <w:t xml:space="preserve"> in depreciation on its assets.</w:t>
      </w:r>
    </w:p>
    <w:p>
      <w:r>
        <w:t xml:space="preserve">Buyer Corp can finance the acquisition with </w:t>
      </w:r>
      <w:r>
        <w:rPr>
          <w:b/>
        </w:rPr>
        <w:t>$120 million debt</w:t>
      </w:r>
      <w:r>
        <w:t xml:space="preserve"> at </w:t>
      </w:r>
      <w:r>
        <w:rPr>
          <w:b/>
        </w:rPr>
        <w:t>6% interest</w:t>
      </w:r>
      <w:r>
        <w:t xml:space="preserve"> and </w:t>
      </w:r>
      <w:r>
        <w:rPr>
          <w:b/>
        </w:rPr>
        <w:t>$80 million equity</w:t>
      </w:r>
      <w:r>
        <w:t xml:space="preserve">. Annual interest cost = </w:t>
      </w:r>
      <w:r>
        <w:rPr>
          <w:b/>
        </w:rPr>
        <w:t>$7.2 million</w:t>
      </w:r>
      <w:r>
        <w:t>.</w:t>
      </w:r>
    </w:p>
    <w:p>
      <w:r>
        <w:t>Tax rates:</w:t>
      </w:r>
    </w:p>
    <w:p>
      <w:pPr>
        <w:pStyle w:val="ListBullet"/>
      </w:pPr>
      <w:r>
        <w:t xml:space="preserve">Corporate income tax: </w:t>
      </w:r>
      <w:r>
        <w:rPr>
          <w:b/>
        </w:rPr>
        <w:t>25%</w:t>
      </w:r>
    </w:p>
    <w:p>
      <w:pPr>
        <w:pStyle w:val="ListBullet"/>
      </w:pPr>
      <w:r>
        <w:t xml:space="preserve">Capital gains tax: </w:t>
      </w:r>
      <w:r>
        <w:rPr>
          <w:b/>
        </w:rPr>
        <w:t>15%</w:t>
      </w:r>
    </w:p>
    <w:p>
      <w:pPr>
        <w:pStyle w:val="ListBullet"/>
      </w:pPr>
      <w:r>
        <w:t xml:space="preserve">Ordinary income tax: </w:t>
      </w:r>
      <w:r>
        <w:rPr>
          <w:b/>
        </w:rPr>
        <w:t>25%</w:t>
      </w:r>
    </w:p>
    <w:p>
      <w:r>
        <w:rPr>
          <w:b/>
        </w:rPr>
        <w:t>Required:</w:t>
      </w:r>
    </w:p>
    <w:p>
      <w:pPr>
        <w:pStyle w:val="ListNumber"/>
      </w:pPr>
      <w:r>
        <w:t>Calculate the seller's after-tax proceeds under (a) asset sale and (b) share sale</w:t>
      </w:r>
    </w:p>
    <w:p>
      <w:pPr>
        <w:pStyle w:val="ListNumber"/>
      </w:pPr>
      <w:r>
        <w:t>Calculate the buyer's annual after-tax cash flow for Years 1-5 under both structures</w:t>
      </w:r>
    </w:p>
    <w:p>
      <w:pPr>
        <w:pStyle w:val="ListNumber"/>
      </w:pPr>
      <w:r>
        <w:t>Recommend the optimal structure from each party's perspective</w:t>
      </w:r>
    </w:p>
    <w:p>
      <w:r>
        <w:rPr>
          <w:b/>
        </w:rPr>
        <w:t>Analysis:</w:t>
      </w:r>
    </w:p>
    <w:p>
      <w:r>
        <w:rPr>
          <w:b/>
        </w:rPr>
        <w:t>Part 1: Seller's After-Tax Proceeds</w:t>
      </w:r>
    </w:p>
    <w:p>
      <w:r>
        <w:rPr>
          <w:b/>
        </w:rPr>
        <w:t>(a) Asset Sale:</w:t>
      </w:r>
    </w:p>
    <w:p>
      <w:r>
        <w:t>Sale price: $200 million</w:t>
      </w:r>
    </w:p>
    <w:p>
      <w:r>
        <w:t>Less: Tax book value: ($80 million)</w:t>
      </w:r>
    </w:p>
    <w:p>
      <w:r>
        <w:rPr>
          <w:b/>
        </w:rPr>
        <w:t>Total gain: $120 million</w:t>
      </w:r>
    </w:p>
    <w:p>
      <w:r>
        <w:t>Split of gain:</w:t>
      </w:r>
    </w:p>
    <w:p>
      <w:pPr>
        <w:pStyle w:val="ListBullet"/>
      </w:pPr>
      <w:r>
        <w:rPr>
          <w:b/>
        </w:rPr>
        <w:t>Depreciation recapture</w:t>
      </w:r>
      <w:r>
        <w:t xml:space="preserve"> (ordinary income): $70 million (prior depreciation claimed)</w:t>
      </w:r>
    </w:p>
    <w:p>
      <w:pPr>
        <w:pStyle w:val="ListBullet"/>
      </w:pPr>
      <w:r>
        <w:rPr>
          <w:b/>
        </w:rPr>
        <w:t>Capital gain</w:t>
      </w:r>
      <w:r>
        <w:t>: $50 million ($200M - $150M original cost)</w:t>
      </w:r>
    </w:p>
    <w:p>
      <w:r>
        <w:t>Tax liability:</w:t>
      </w:r>
    </w:p>
    <w:p>
      <w:pPr>
        <w:pStyle w:val="ListBullet"/>
      </w:pPr>
      <w:r>
        <w:t xml:space="preserve">Tax on recapture: $70M × 25% = </w:t>
      </w:r>
      <w:r>
        <w:rPr>
          <w:b/>
        </w:rPr>
        <w:t>$17.5 million</w:t>
      </w:r>
    </w:p>
    <w:p>
      <w:pPr>
        <w:pStyle w:val="ListBullet"/>
      </w:pPr>
      <w:r>
        <w:t xml:space="preserve">Tax on capital gain: $50M × 15% = </w:t>
      </w:r>
      <w:r>
        <w:rPr>
          <w:b/>
        </w:rPr>
        <w:t>$7.5 million</w:t>
      </w:r>
    </w:p>
    <w:p>
      <w:pPr>
        <w:pStyle w:val="ListBullet"/>
      </w:pPr>
      <w:r>
        <w:rPr>
          <w:b/>
        </w:rPr>
        <w:t>Total tax: $25 million</w:t>
      </w:r>
    </w:p>
    <w:p>
      <w:r>
        <w:rPr>
          <w:b/>
        </w:rPr>
        <w:t>Net proceeds to seller: $200M - $25M = $175 million</w:t>
      </w:r>
    </w:p>
    <w:p>
      <w:r>
        <w:rPr>
          <w:b/>
        </w:rPr>
        <w:t>(b) Share Sale:</w:t>
      </w:r>
    </w:p>
    <w:p>
      <w:r>
        <w:t>Sale price: $200 million</w:t>
      </w:r>
    </w:p>
    <w:p>
      <w:r>
        <w:t>Assume seller's basis in shares: $60 million</w:t>
      </w:r>
    </w:p>
    <w:p>
      <w:r>
        <w:rPr>
          <w:b/>
        </w:rPr>
        <w:t>Capital gain: $140 million</w:t>
      </w:r>
    </w:p>
    <w:p>
      <w:r>
        <w:t>Tax liability:</w:t>
      </w:r>
    </w:p>
    <w:p>
      <w:pPr>
        <w:pStyle w:val="ListBullet"/>
      </w:pPr>
      <w:r>
        <w:t xml:space="preserve">Tax on capital gain: $140M × 15% = </w:t>
      </w:r>
      <w:r>
        <w:rPr>
          <w:b/>
        </w:rPr>
        <w:t>$21 million</w:t>
      </w:r>
    </w:p>
    <w:p>
      <w:r>
        <w:rPr>
          <w:b/>
        </w:rPr>
        <w:t>Net proceeds to seller: $200M - $21M = $179 million</w:t>
      </w:r>
    </w:p>
    <w:p>
      <w:r>
        <w:rPr>
          <w:b/>
        </w:rPr>
        <w:t>Seller advantage from share sale: $179M - $175M = $4 million (2.3%)</w:t>
      </w:r>
    </w:p>
    <w:p>
      <w:r>
        <w:rPr>
          <w:b/>
        </w:rPr>
        <w:t>Part 2: Buyer's Annual Cash Flow (Years 1-5)</w:t>
      </w:r>
    </w:p>
    <w:p>
      <w:r>
        <w:t>Assumptions:</w:t>
      </w:r>
    </w:p>
    <w:p>
      <w:pPr>
        <w:pStyle w:val="ListBullet"/>
      </w:pPr>
      <w:r>
        <w:t xml:space="preserve">Asset purchase: New depreciation = $200M ÷ 10 years = </w:t>
      </w:r>
      <w:r>
        <w:rPr>
          <w:b/>
        </w:rPr>
        <w:t>$20M/year</w:t>
      </w:r>
    </w:p>
    <w:p>
      <w:pPr>
        <w:pStyle w:val="ListBullet"/>
      </w:pPr>
      <w:r>
        <w:t xml:space="preserve">Share purchase: Carryover depreciation = </w:t>
      </w:r>
      <w:r>
        <w:rPr>
          <w:b/>
        </w:rPr>
        <w:t>$8M/year</w:t>
      </w:r>
      <w:r>
        <w:t xml:space="preserve"> (based on $80M remaining basis ÷ 10 years)</w:t>
      </w:r>
    </w:p>
    <w:p>
      <w:pPr>
        <w:pStyle w:val="ListBullet"/>
      </w:pPr>
      <w:r>
        <w:t xml:space="preserve">Pre-interest, pre-depreciation income: </w:t>
      </w:r>
      <w:r>
        <w:rPr>
          <w:b/>
        </w:rPr>
        <w:t>$30M/year</w:t>
      </w:r>
    </w:p>
    <w:p>
      <w:pPr>
        <w:pStyle w:val="ListBullet"/>
      </w:pPr>
      <w:r>
        <w:t xml:space="preserve">Interest expense: </w:t>
      </w:r>
      <w:r>
        <w:rPr>
          <w:b/>
        </w:rPr>
        <w:t>$7.2M/year</w:t>
      </w:r>
    </w:p>
    <w:p>
      <w:r>
        <w:rPr>
          <w:b/>
        </w:rPr>
        <w:t>(a) Asset Purchase: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t>Operating income (before interest &amp; depreciation)</w:t>
            </w:r>
          </w:p>
        </w:tc>
        <w:tc>
          <w:tcPr>
            <w:tcW w:type="dxa" w:w="4320"/>
          </w:tcPr>
          <w:p>
            <w:r/>
            <w:r>
              <w:t>$30.0M</w:t>
            </w:r>
          </w:p>
        </w:tc>
      </w:tr>
      <w:tr>
        <w:tc>
          <w:tcPr>
            <w:tcW w:type="dxa" w:w="4320"/>
          </w:tcPr>
          <w:p>
            <w:r/>
            <w:r>
              <w:t>Less: Interest expense</w:t>
            </w:r>
          </w:p>
        </w:tc>
        <w:tc>
          <w:tcPr>
            <w:tcW w:type="dxa" w:w="4320"/>
          </w:tcPr>
          <w:p>
            <w:r/>
            <w:r>
              <w:t>($7.2M)</w:t>
            </w:r>
          </w:p>
        </w:tc>
      </w:tr>
      <w:tr>
        <w:tc>
          <w:tcPr>
            <w:tcW w:type="dxa" w:w="4320"/>
          </w:tcPr>
          <w:p>
            <w:r/>
            <w:r>
              <w:t>Less: Depreciation</w:t>
            </w:r>
          </w:p>
        </w:tc>
        <w:tc>
          <w:tcPr>
            <w:tcW w:type="dxa" w:w="4320"/>
          </w:tcPr>
          <w:p>
            <w:r/>
            <w:r>
              <w:t>($20.0M)</w:t>
            </w:r>
          </w:p>
        </w:tc>
      </w:tr>
      <w:tr>
        <w:tc>
          <w:tcPr>
            <w:tcW w:type="dxa" w:w="4320"/>
          </w:tcPr>
          <w:p>
            <w:r/>
            <w:r>
              <w:rPr>
                <w:b/>
              </w:rPr>
              <w:t>Taxable income</w:t>
            </w:r>
          </w:p>
        </w:tc>
        <w:tc>
          <w:tcPr>
            <w:tcW w:type="dxa" w:w="4320"/>
          </w:tcPr>
          <w:p>
            <w:r/>
            <w:r>
              <w:rPr>
                <w:b/>
              </w:rPr>
              <w:t>$2.8M</w:t>
            </w:r>
          </w:p>
        </w:tc>
      </w:tr>
      <w:tr>
        <w:tc>
          <w:tcPr>
            <w:tcW w:type="dxa" w:w="4320"/>
          </w:tcPr>
          <w:p>
            <w:r/>
            <w:r>
              <w:t>Tax at 25%</w:t>
            </w:r>
          </w:p>
        </w:tc>
        <w:tc>
          <w:tcPr>
            <w:tcW w:type="dxa" w:w="4320"/>
          </w:tcPr>
          <w:p>
            <w:r/>
            <w:r>
              <w:t>($0.7M)</w:t>
            </w:r>
          </w:p>
        </w:tc>
      </w:tr>
      <w:tr>
        <w:tc>
          <w:tcPr>
            <w:tcW w:type="dxa" w:w="4320"/>
          </w:tcPr>
          <w:p>
            <w:r/>
            <w:r>
              <w:rPr>
                <w:b/>
              </w:rPr>
              <w:t>Net income</w:t>
            </w:r>
          </w:p>
        </w:tc>
        <w:tc>
          <w:tcPr>
            <w:tcW w:type="dxa" w:w="4320"/>
          </w:tcPr>
          <w:p>
            <w:r/>
            <w:r>
              <w:rPr>
                <w:b/>
              </w:rPr>
              <w:t>$2.1M</w:t>
            </w:r>
          </w:p>
        </w:tc>
      </w:tr>
      <w:tr>
        <w:tc>
          <w:tcPr>
            <w:tcW w:type="dxa" w:w="4320"/>
          </w:tcPr>
          <w:p>
            <w:r/>
            <w:r>
              <w:t>Add back: Depreciation (non-cash)</w:t>
            </w:r>
          </w:p>
        </w:tc>
        <w:tc>
          <w:tcPr>
            <w:tcW w:type="dxa" w:w="4320"/>
          </w:tcPr>
          <w:p>
            <w:r/>
            <w:r>
              <w:t>$20.0M</w:t>
            </w:r>
          </w:p>
        </w:tc>
      </w:tr>
      <w:tr>
        <w:tc>
          <w:tcPr>
            <w:tcW w:type="dxa" w:w="4320"/>
          </w:tcPr>
          <w:p>
            <w:r/>
            <w:r>
              <w:rPr>
                <w:b/>
              </w:rPr>
              <w:t>Annual after-tax cash flow</w:t>
            </w:r>
          </w:p>
        </w:tc>
        <w:tc>
          <w:tcPr>
            <w:tcW w:type="dxa" w:w="4320"/>
          </w:tcPr>
          <w:p>
            <w:r/>
            <w:r>
              <w:rPr>
                <w:b/>
              </w:rPr>
              <w:t>$22.1M</w:t>
            </w:r>
          </w:p>
        </w:tc>
      </w:tr>
    </w:tbl>
    <w:p/>
    <w:p>
      <w:r>
        <w:rPr>
          <w:b/>
        </w:rPr>
        <w:t>(b) Share Purchase (assuming interest is deductible):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t>Operating income (before interest &amp; depreciation)</w:t>
            </w:r>
          </w:p>
        </w:tc>
        <w:tc>
          <w:tcPr>
            <w:tcW w:type="dxa" w:w="4320"/>
          </w:tcPr>
          <w:p>
            <w:r/>
            <w:r>
              <w:t>$30.0M</w:t>
            </w:r>
          </w:p>
        </w:tc>
      </w:tr>
      <w:tr>
        <w:tc>
          <w:tcPr>
            <w:tcW w:type="dxa" w:w="4320"/>
          </w:tcPr>
          <w:p>
            <w:r/>
            <w:r>
              <w:t>Less: Interest expense</w:t>
            </w:r>
          </w:p>
        </w:tc>
        <w:tc>
          <w:tcPr>
            <w:tcW w:type="dxa" w:w="4320"/>
          </w:tcPr>
          <w:p>
            <w:r/>
            <w:r>
              <w:t>($7.2M)</w:t>
            </w:r>
          </w:p>
        </w:tc>
      </w:tr>
      <w:tr>
        <w:tc>
          <w:tcPr>
            <w:tcW w:type="dxa" w:w="4320"/>
          </w:tcPr>
          <w:p>
            <w:r/>
            <w:r>
              <w:t>Less: Depreciation</w:t>
            </w:r>
          </w:p>
        </w:tc>
        <w:tc>
          <w:tcPr>
            <w:tcW w:type="dxa" w:w="4320"/>
          </w:tcPr>
          <w:p>
            <w:r/>
            <w:r>
              <w:t>($8.0M)</w:t>
            </w:r>
          </w:p>
        </w:tc>
      </w:tr>
      <w:tr>
        <w:tc>
          <w:tcPr>
            <w:tcW w:type="dxa" w:w="4320"/>
          </w:tcPr>
          <w:p>
            <w:r/>
            <w:r>
              <w:rPr>
                <w:b/>
              </w:rPr>
              <w:t>Taxable income</w:t>
            </w:r>
          </w:p>
        </w:tc>
        <w:tc>
          <w:tcPr>
            <w:tcW w:type="dxa" w:w="4320"/>
          </w:tcPr>
          <w:p>
            <w:r/>
            <w:r>
              <w:rPr>
                <w:b/>
              </w:rPr>
              <w:t>$14.8M</w:t>
            </w:r>
          </w:p>
        </w:tc>
      </w:tr>
      <w:tr>
        <w:tc>
          <w:tcPr>
            <w:tcW w:type="dxa" w:w="4320"/>
          </w:tcPr>
          <w:p>
            <w:r/>
            <w:r>
              <w:t>Tax at 25%</w:t>
            </w:r>
          </w:p>
        </w:tc>
        <w:tc>
          <w:tcPr>
            <w:tcW w:type="dxa" w:w="4320"/>
          </w:tcPr>
          <w:p>
            <w:r/>
            <w:r>
              <w:t>($3.7M)</w:t>
            </w:r>
          </w:p>
        </w:tc>
      </w:tr>
      <w:tr>
        <w:tc>
          <w:tcPr>
            <w:tcW w:type="dxa" w:w="4320"/>
          </w:tcPr>
          <w:p>
            <w:r/>
            <w:r>
              <w:rPr>
                <w:b/>
              </w:rPr>
              <w:t>Net income</w:t>
            </w:r>
          </w:p>
        </w:tc>
        <w:tc>
          <w:tcPr>
            <w:tcW w:type="dxa" w:w="4320"/>
          </w:tcPr>
          <w:p>
            <w:r/>
            <w:r>
              <w:rPr>
                <w:b/>
              </w:rPr>
              <w:t>$11.1M</w:t>
            </w:r>
          </w:p>
        </w:tc>
      </w:tr>
      <w:tr>
        <w:tc>
          <w:tcPr>
            <w:tcW w:type="dxa" w:w="4320"/>
          </w:tcPr>
          <w:p>
            <w:r/>
            <w:r>
              <w:t>Add back: Depreciation (non-cash)</w:t>
            </w:r>
          </w:p>
        </w:tc>
        <w:tc>
          <w:tcPr>
            <w:tcW w:type="dxa" w:w="4320"/>
          </w:tcPr>
          <w:p>
            <w:r/>
            <w:r>
              <w:t>$8.0M</w:t>
            </w:r>
          </w:p>
        </w:tc>
      </w:tr>
      <w:tr>
        <w:tc>
          <w:tcPr>
            <w:tcW w:type="dxa" w:w="4320"/>
          </w:tcPr>
          <w:p>
            <w:r/>
            <w:r>
              <w:rPr>
                <w:b/>
              </w:rPr>
              <w:t>Annual after-tax cash flow</w:t>
            </w:r>
          </w:p>
        </w:tc>
        <w:tc>
          <w:tcPr>
            <w:tcW w:type="dxa" w:w="4320"/>
          </w:tcPr>
          <w:p>
            <w:r/>
            <w:r>
              <w:rPr>
                <w:b/>
              </w:rPr>
              <w:t>$19.1M</w:t>
            </w:r>
          </w:p>
        </w:tc>
      </w:tr>
    </w:tbl>
    <w:p/>
    <w:p>
      <w:r>
        <w:rPr>
          <w:b/>
        </w:rPr>
        <w:t>Buyer annual advantage from asset purchase: $22.1M - $19.1M = $3.0M</w:t>
      </w:r>
    </w:p>
    <w:p>
      <w:r>
        <w:t xml:space="preserve">Over 5 years: $3.0M × 5 = </w:t>
      </w:r>
      <w:r>
        <w:rPr>
          <w:b/>
        </w:rPr>
        <w:t>$15 million cumulative advantage</w:t>
      </w:r>
    </w:p>
    <w:p>
      <w:r>
        <w:t xml:space="preserve">Present value (at 10% discount): </w:t>
      </w:r>
      <w:r>
        <w:rPr>
          <w:b/>
        </w:rPr>
        <w:t>$11.4 million</w:t>
      </w:r>
    </w:p>
    <w:p>
      <w:r>
        <w:rPr>
          <w:b/>
        </w:rPr>
        <w:t>(c) Share Purchase with Interest Not Deductible (participation exemption applies):</w:t>
      </w:r>
    </w:p>
    <w:p>
      <w:r>
        <w:t>When interest is not deductible due to participation exemption rules: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t>Operating income (before interest &amp; depreciation)</w:t>
            </w:r>
          </w:p>
        </w:tc>
        <w:tc>
          <w:tcPr>
            <w:tcW w:type="dxa" w:w="4320"/>
          </w:tcPr>
          <w:p>
            <w:r/>
            <w:r>
              <w:t>$30.0M</w:t>
            </w:r>
          </w:p>
        </w:tc>
      </w:tr>
      <w:tr>
        <w:tc>
          <w:tcPr>
            <w:tcW w:type="dxa" w:w="4320"/>
          </w:tcPr>
          <w:p>
            <w:r/>
            <w:r>
              <w:t>Less: Depreciation</w:t>
            </w:r>
          </w:p>
        </w:tc>
        <w:tc>
          <w:tcPr>
            <w:tcW w:type="dxa" w:w="4320"/>
          </w:tcPr>
          <w:p>
            <w:r/>
            <w:r>
              <w:t>($8.0M)</w:t>
            </w:r>
          </w:p>
        </w:tc>
      </w:tr>
      <w:tr>
        <w:tc>
          <w:tcPr>
            <w:tcW w:type="dxa" w:w="4320"/>
          </w:tcPr>
          <w:p>
            <w:r/>
            <w:r>
              <w:rPr>
                <w:b/>
              </w:rPr>
              <w:t>Taxable income</w:t>
            </w:r>
          </w:p>
        </w:tc>
        <w:tc>
          <w:tcPr>
            <w:tcW w:type="dxa" w:w="4320"/>
          </w:tcPr>
          <w:p>
            <w:r/>
            <w:r>
              <w:rPr>
                <w:b/>
              </w:rPr>
              <w:t>$22.0M</w:t>
            </w:r>
          </w:p>
        </w:tc>
      </w:tr>
      <w:tr>
        <w:tc>
          <w:tcPr>
            <w:tcW w:type="dxa" w:w="4320"/>
          </w:tcPr>
          <w:p>
            <w:r/>
            <w:r>
              <w:t>Tax at 25%</w:t>
            </w:r>
          </w:p>
        </w:tc>
        <w:tc>
          <w:tcPr>
            <w:tcW w:type="dxa" w:w="4320"/>
          </w:tcPr>
          <w:p>
            <w:r/>
            <w:r>
              <w:t>($5.5M)</w:t>
            </w:r>
          </w:p>
        </w:tc>
      </w:tr>
      <w:tr>
        <w:tc>
          <w:tcPr>
            <w:tcW w:type="dxa" w:w="4320"/>
          </w:tcPr>
          <w:p>
            <w:r/>
            <w:r>
              <w:rPr>
                <w:b/>
              </w:rPr>
              <w:t>After-tax income</w:t>
            </w:r>
          </w:p>
        </w:tc>
        <w:tc>
          <w:tcPr>
            <w:tcW w:type="dxa" w:w="4320"/>
          </w:tcPr>
          <w:p>
            <w:r/>
            <w:r>
              <w:rPr>
                <w:b/>
              </w:rPr>
              <w:t>$16.5M</w:t>
            </w:r>
          </w:p>
        </w:tc>
      </w:tr>
      <w:tr>
        <w:tc>
          <w:tcPr>
            <w:tcW w:type="dxa" w:w="4320"/>
          </w:tcPr>
          <w:p>
            <w:r/>
            <w:r>
              <w:t>Add back: Depreciation (non-cash)</w:t>
            </w:r>
          </w:p>
        </w:tc>
        <w:tc>
          <w:tcPr>
            <w:tcW w:type="dxa" w:w="4320"/>
          </w:tcPr>
          <w:p>
            <w:r/>
            <w:r>
              <w:t>$8.0M</w:t>
            </w:r>
          </w:p>
        </w:tc>
      </w:tr>
      <w:tr>
        <w:tc>
          <w:tcPr>
            <w:tcW w:type="dxa" w:w="4320"/>
          </w:tcPr>
          <w:p>
            <w:r/>
            <w:r>
              <w:t>Less: Interest paid (after-tax, not deductible)</w:t>
            </w:r>
          </w:p>
        </w:tc>
        <w:tc>
          <w:tcPr>
            <w:tcW w:type="dxa" w:w="4320"/>
          </w:tcPr>
          <w:p>
            <w:r/>
            <w:r>
              <w:t>($7.2M)</w:t>
            </w:r>
          </w:p>
        </w:tc>
      </w:tr>
      <w:tr>
        <w:tc>
          <w:tcPr>
            <w:tcW w:type="dxa" w:w="4320"/>
          </w:tcPr>
          <w:p>
            <w:r/>
            <w:r>
              <w:rPr>
                <w:b/>
              </w:rPr>
              <w:t>Annual after-tax cash flow</w:t>
            </w:r>
          </w:p>
        </w:tc>
        <w:tc>
          <w:tcPr>
            <w:tcW w:type="dxa" w:w="4320"/>
          </w:tcPr>
          <w:p>
            <w:r/>
            <w:r>
              <w:rPr>
                <w:b/>
              </w:rPr>
              <w:t>$17.3M</w:t>
            </w:r>
          </w:p>
        </w:tc>
      </w:tr>
    </w:tbl>
    <w:p/>
    <w:p>
      <w:r>
        <w:rPr>
          <w:b/>
        </w:rPr>
        <w:t>Buyer annual advantage from asset purchase: $22.1M - $17.3M = $4.8M</w:t>
      </w:r>
    </w:p>
    <w:p>
      <w:r>
        <w:rPr>
          <w:b/>
        </w:rPr>
        <w:t>Part 3: Recommendation</w:t>
      </w:r>
    </w:p>
    <w:p>
      <w:r>
        <w:rPr>
          <w:b/>
        </w:rPr>
        <w:t>For the Seller:</w:t>
      </w:r>
    </w:p>
    <w:p>
      <w:pPr>
        <w:pStyle w:val="ListBullet"/>
      </w:pPr>
      <w:r>
        <w:rPr>
          <w:b/>
        </w:rPr>
        <w:t>Share sale</w:t>
      </w:r>
      <w:r>
        <w:t xml:space="preserve"> generates </w:t>
      </w:r>
      <w:r>
        <w:rPr>
          <w:b/>
        </w:rPr>
        <w:t>$4 million more</w:t>
      </w:r>
      <w:r>
        <w:t xml:space="preserve"> in after-tax proceeds (</w:t>
      </w:r>
      <w:r>
        <w:rPr>
          <w:b/>
        </w:rPr>
        <w:t>2.3% better</w:t>
      </w:r>
      <w:r>
        <w:t>)</w:t>
      </w:r>
    </w:p>
    <w:p>
      <w:pPr>
        <w:pStyle w:val="ListBullet"/>
      </w:pPr>
      <w:r>
        <w:t>Also offers simplicity and faster closing</w:t>
      </w:r>
    </w:p>
    <w:p>
      <w:r>
        <w:rPr>
          <w:b/>
        </w:rPr>
        <w:t>For the Buyer:</w:t>
      </w:r>
    </w:p>
    <w:p>
      <w:r>
        <w:t>If interest is NOT deductible in share purchase (participation exemption):</w:t>
      </w:r>
    </w:p>
    <w:p>
      <w:pPr>
        <w:pStyle w:val="ListBullet"/>
      </w:pPr>
      <w:r>
        <w:rPr>
          <w:b/>
        </w:rPr>
        <w:t>Asset purchase</w:t>
      </w:r>
      <w:r>
        <w:t xml:space="preserve"> generates </w:t>
      </w:r>
      <w:r>
        <w:rPr>
          <w:b/>
        </w:rPr>
        <w:t>$4.8 million per year more</w:t>
      </w:r>
      <w:r>
        <w:t xml:space="preserve"> in cash flow</w:t>
      </w:r>
    </w:p>
    <w:p>
      <w:pPr>
        <w:pStyle w:val="ListBullet"/>
      </w:pPr>
      <w:r>
        <w:t xml:space="preserve">Over 5 years: </w:t>
      </w:r>
      <w:r>
        <w:rPr>
          <w:b/>
        </w:rPr>
        <w:t>$24 million</w:t>
      </w:r>
      <w:r>
        <w:t xml:space="preserve"> cumulative advantage</w:t>
      </w:r>
    </w:p>
    <w:p>
      <w:pPr>
        <w:pStyle w:val="ListBullet"/>
      </w:pPr>
      <w:r>
        <w:t xml:space="preserve">Present value at 10%: </w:t>
      </w:r>
      <w:r>
        <w:rPr>
          <w:b/>
        </w:rPr>
        <w:t>$18.2 million</w:t>
      </w:r>
    </w:p>
    <w:p>
      <w:r>
        <w:t>If interest IS deductible in share purchase:</w:t>
      </w:r>
    </w:p>
    <w:p>
      <w:pPr>
        <w:pStyle w:val="ListBullet"/>
      </w:pPr>
      <w:r>
        <w:t xml:space="preserve">Annual advantage from asset purchase narrows to </w:t>
      </w:r>
      <w:r>
        <w:rPr>
          <w:b/>
        </w:rPr>
        <w:t>$3.0M/year</w:t>
      </w:r>
    </w:p>
    <w:p>
      <w:pPr>
        <w:pStyle w:val="ListBullet"/>
      </w:pPr>
      <w:r>
        <w:t xml:space="preserve">5-year cumulative: </w:t>
      </w:r>
      <w:r>
        <w:rPr>
          <w:b/>
        </w:rPr>
        <w:t>$15M</w:t>
      </w:r>
    </w:p>
    <w:p>
      <w:pPr>
        <w:pStyle w:val="ListBullet"/>
      </w:pPr>
      <w:r>
        <w:t xml:space="preserve">Present value at 10%: </w:t>
      </w:r>
      <w:r>
        <w:rPr>
          <w:b/>
        </w:rPr>
        <w:t>$11.4M</w:t>
      </w:r>
    </w:p>
    <w:p>
      <w:r>
        <w:rPr>
          <w:b/>
        </w:rPr>
        <w:t>Conclusion:</w:t>
      </w:r>
    </w:p>
    <w:p>
      <w:r>
        <w:t xml:space="preserve">The optimal structure depends on </w:t>
      </w:r>
      <w:r>
        <w:rPr>
          <w:b/>
        </w:rPr>
        <w:t>negotiation dynamics</w:t>
      </w:r>
      <w:r>
        <w:t>:</w:t>
      </w:r>
    </w:p>
    <w:p>
      <w:pPr>
        <w:pStyle w:val="ListBullet"/>
      </w:pPr>
      <w:r>
        <w:t xml:space="preserve">If seller has strong bargaining power, seller will push for </w:t>
      </w:r>
      <w:r>
        <w:rPr>
          <w:b/>
        </w:rPr>
        <w:t>share sale</w:t>
      </w:r>
      <w:r>
        <w:t xml:space="preserve"> and potentially concede $4-8M of the purchase price to compensate buyer for lost tax benefits</w:t>
      </w:r>
    </w:p>
    <w:p>
      <w:pPr>
        <w:pStyle w:val="ListBullet"/>
      </w:pPr>
      <w:r>
        <w:t xml:space="preserve">If buyer has strong bargaining power, buyer will insist on </w:t>
      </w:r>
      <w:r>
        <w:rPr>
          <w:b/>
        </w:rPr>
        <w:t>asset purchase</w:t>
      </w:r>
      <w:r>
        <w:t xml:space="preserve"> and may need to gross up the price by $4M to compensate seller for higher tax liability</w:t>
      </w:r>
    </w:p>
    <w:p>
      <w:r>
        <w:t xml:space="preserve">The tax-efficient solution is often an </w:t>
      </w:r>
      <w:r>
        <w:rPr>
          <w:b/>
        </w:rPr>
        <w:t>asset purchase with price adjustment</w:t>
      </w:r>
      <w:r>
        <w:t xml:space="preserve"> to share tax benefits between parties.</w:t>
      </w:r>
    </w:p>
    <w:p>
      <w:r>
        <w:t>═══════════════════════════════════════════</w:t>
      </w:r>
    </w:p>
    <w:p>
      <w:pPr>
        <w:pStyle w:val="Heading3"/>
      </w:pPr>
      <w:r>
        <w:t>WORKED EXAMPLE 2: Debt Push-Down in Share Acquisition</w:t>
      </w:r>
    </w:p>
    <w:p>
      <w:r>
        <w:rPr>
          <w:b/>
        </w:rPr>
        <w:t>Facts:</w:t>
      </w:r>
    </w:p>
    <w:p>
      <w:r>
        <w:t xml:space="preserve">Global Energy Corp (Global) is acquiring 100% of the shares in North Sea Oil Ltd (NSO) for </w:t>
      </w:r>
      <w:r>
        <w:rPr>
          <w:b/>
        </w:rPr>
        <w:t>$500 million</w:t>
      </w:r>
      <w:r>
        <w:t xml:space="preserve">. NSO is incorporated in </w:t>
      </w:r>
      <w:r>
        <w:rPr>
          <w:b/>
        </w:rPr>
        <w:t>Country N</w:t>
      </w:r>
      <w:r>
        <w:t xml:space="preserve">, which allows </w:t>
      </w:r>
      <w:r>
        <w:rPr>
          <w:b/>
        </w:rPr>
        <w:t>tax consolidation</w:t>
      </w:r>
      <w:r>
        <w:t xml:space="preserve"> for wholly-owned groups.</w:t>
      </w:r>
    </w:p>
    <w:p>
      <w:r>
        <w:t>Global structures the acquisition as follows:</w:t>
      </w:r>
    </w:p>
    <w:p>
      <w:pPr>
        <w:pStyle w:val="ListBullet"/>
      </w:pPr>
      <w:r>
        <w:t xml:space="preserve">Global establishes </w:t>
      </w:r>
      <w:r>
        <w:rPr>
          <w:b/>
        </w:rPr>
        <w:t>NSO Holdco</w:t>
      </w:r>
      <w:r>
        <w:t>, a new subsidiary in Country N</w:t>
      </w:r>
    </w:p>
    <w:p>
      <w:pPr>
        <w:pStyle w:val="ListBullet"/>
      </w:pPr>
      <w:r>
        <w:t xml:space="preserve">NSO Holdco borrows </w:t>
      </w:r>
      <w:r>
        <w:rPr>
          <w:b/>
        </w:rPr>
        <w:t>$400 million</w:t>
      </w:r>
      <w:r>
        <w:t xml:space="preserve"> from a bank syndicate at </w:t>
      </w:r>
      <w:r>
        <w:rPr>
          <w:b/>
        </w:rPr>
        <w:t>5% interest</w:t>
      </w:r>
      <w:r>
        <w:t xml:space="preserve"> per annum</w:t>
      </w:r>
    </w:p>
    <w:p>
      <w:pPr>
        <w:pStyle w:val="ListBullet"/>
      </w:pPr>
      <w:r>
        <w:t xml:space="preserve">NSO Holdco uses the loan proceeds plus </w:t>
      </w:r>
      <w:r>
        <w:rPr>
          <w:b/>
        </w:rPr>
        <w:t>$100 million equity</w:t>
      </w:r>
      <w:r>
        <w:t xml:space="preserve"> from Global to acquire NSO shares</w:t>
      </w:r>
    </w:p>
    <w:p>
      <w:pPr>
        <w:pStyle w:val="ListBullet"/>
      </w:pPr>
      <w:r>
        <w:t xml:space="preserve">After acquisition, NSO Holdco and NSO form a </w:t>
      </w:r>
      <w:r>
        <w:rPr>
          <w:b/>
        </w:rPr>
        <w:t>tax consolidated group</w:t>
      </w:r>
      <w:r>
        <w:t xml:space="preserve"> in Country N</w:t>
      </w:r>
    </w:p>
    <w:p>
      <w:r>
        <w:t xml:space="preserve">NSO generates </w:t>
      </w:r>
      <w:r>
        <w:rPr>
          <w:b/>
        </w:rPr>
        <w:t>annual taxable income of $80 million</w:t>
      </w:r>
      <w:r>
        <w:t xml:space="preserve"> before interest. The corporate tax rate in Country N is </w:t>
      </w:r>
      <w:r>
        <w:rPr>
          <w:b/>
        </w:rPr>
        <w:t>20%</w:t>
      </w:r>
      <w:r>
        <w:t>.</w:t>
      </w:r>
    </w:p>
    <w:p>
      <w:r>
        <w:t xml:space="preserve">Country N has </w:t>
      </w:r>
      <w:r>
        <w:rPr>
          <w:b/>
        </w:rPr>
        <w:t>thin capitalization rules</w:t>
      </w:r>
      <w:r>
        <w:t xml:space="preserve"> limiting debt to </w:t>
      </w:r>
      <w:r>
        <w:rPr>
          <w:b/>
        </w:rPr>
        <w:t>2:1 debt-to-equity</w:t>
      </w:r>
      <w:r>
        <w:t xml:space="preserve">. Interest on debt exceeding this ratio is </w:t>
      </w:r>
      <w:r>
        <w:rPr>
          <w:b/>
        </w:rPr>
        <w:t>non-deductible</w:t>
      </w:r>
      <w:r>
        <w:t>.</w:t>
      </w:r>
    </w:p>
    <w:p>
      <w:r>
        <w:rPr>
          <w:b/>
        </w:rPr>
        <w:t>Required:</w:t>
      </w:r>
    </w:p>
    <w:p>
      <w:pPr>
        <w:pStyle w:val="ListNumber"/>
      </w:pPr>
      <w:r>
        <w:t>Calculate NSO Holdco's debt-to-equity ratio and determine if thin cap rules are satisfied</w:t>
      </w:r>
    </w:p>
    <w:p>
      <w:pPr>
        <w:pStyle w:val="ListNumber"/>
      </w:pPr>
      <w:r>
        <w:t>Calculate annual tax liability for the consolidated group in Years 1-5</w:t>
      </w:r>
    </w:p>
    <w:p>
      <w:pPr>
        <w:pStyle w:val="ListNumber"/>
      </w:pPr>
      <w:r>
        <w:t>Compare to a scenario where Global acquired NSO shares directly (no debt push-down)</w:t>
      </w:r>
    </w:p>
    <w:p>
      <w:r>
        <w:rPr>
          <w:b/>
        </w:rPr>
        <w:t>Analysis:</w:t>
      </w:r>
    </w:p>
    <w:p>
      <w:r>
        <w:rPr>
          <w:b/>
        </w:rPr>
        <w:t>Part 1: Thin Capitalization Test</w:t>
      </w:r>
    </w:p>
    <w:p>
      <w:r>
        <w:t>NSO Holdco's balance sheet immediately after acquisition:</w:t>
      </w:r>
    </w:p>
    <w:p>
      <w:r>
        <w:rPr>
          <w:b/>
        </w:rPr>
        <w:t>Assets:</w:t>
      </w:r>
    </w:p>
    <w:p>
      <w:pPr>
        <w:pStyle w:val="ListBullet"/>
      </w:pPr>
      <w:r>
        <w:t>Investment in NSO shares: $500 million</w:t>
      </w:r>
    </w:p>
    <w:p>
      <w:r>
        <w:rPr>
          <w:b/>
        </w:rPr>
        <w:t>Liabilities:</w:t>
      </w:r>
    </w:p>
    <w:p>
      <w:pPr>
        <w:pStyle w:val="ListBullet"/>
      </w:pPr>
      <w:r>
        <w:t>Bank debt: $400 million</w:t>
      </w:r>
    </w:p>
    <w:p>
      <w:r>
        <w:rPr>
          <w:b/>
        </w:rPr>
        <w:t>Equity:</w:t>
      </w:r>
    </w:p>
    <w:p>
      <w:pPr>
        <w:pStyle w:val="ListBullet"/>
      </w:pPr>
      <w:r>
        <w:t>Share capital from Global: $100 million</w:t>
      </w:r>
    </w:p>
    <w:p>
      <w:r>
        <w:rPr>
          <w:b/>
        </w:rPr>
        <w:t>Debt-to-equity ratio: $400M ÷ $100M = 4:1</w:t>
      </w:r>
    </w:p>
    <w:p>
      <w:r>
        <w:t xml:space="preserve">Country N thin cap limit: </w:t>
      </w:r>
      <w:r>
        <w:rPr>
          <w:b/>
        </w:rPr>
        <w:t>2:1</w:t>
      </w:r>
    </w:p>
    <w:p>
      <w:r>
        <w:rPr>
          <w:b/>
        </w:rPr>
        <w:t>Excess debt: $400M - (2 × $100M) = $200 million</w:t>
      </w:r>
    </w:p>
    <w:p>
      <w:r>
        <w:t xml:space="preserve">Interest on excess debt: $200M × 5% = </w:t>
      </w:r>
      <w:r>
        <w:rPr>
          <w:b/>
        </w:rPr>
        <w:t>$10 million per year</w:t>
      </w:r>
      <w:r>
        <w:t xml:space="preserve"> is </w:t>
      </w:r>
      <w:r>
        <w:rPr>
          <w:b/>
        </w:rPr>
        <w:t>non-deductible</w:t>
      </w:r>
    </w:p>
    <w:p>
      <w:r>
        <w:t xml:space="preserve">Interest on allowable debt: $200M × 5% = </w:t>
      </w:r>
      <w:r>
        <w:rPr>
          <w:b/>
        </w:rPr>
        <w:t>$10 million per year</w:t>
      </w:r>
      <w:r>
        <w:t xml:space="preserve"> is </w:t>
      </w:r>
      <w:r>
        <w:rPr>
          <w:b/>
        </w:rPr>
        <w:t>deductible</w:t>
      </w:r>
    </w:p>
    <w:p>
      <w:r>
        <w:rPr>
          <w:b/>
        </w:rPr>
        <w:t>Part 2: Consolidated Group Tax Liability (Years 1-5)</w:t>
      </w:r>
    </w:p>
    <w:p>
      <w:r>
        <w:t>NSO Holdco standalone (before consolidation):</w:t>
      </w:r>
    </w:p>
    <w:p>
      <w:pPr>
        <w:pStyle w:val="ListBullet"/>
      </w:pPr>
      <w:r>
        <w:t>Interest expense: $20 million</w:t>
      </w:r>
    </w:p>
    <w:p>
      <w:pPr>
        <w:pStyle w:val="ListBullet"/>
      </w:pPr>
      <w:r>
        <w:t>No operating income</w:t>
      </w:r>
    </w:p>
    <w:p>
      <w:pPr>
        <w:pStyle w:val="ListBullet"/>
      </w:pPr>
      <w:r>
        <w:rPr>
          <w:b/>
        </w:rPr>
        <w:t>Loss: $20 million</w:t>
      </w:r>
      <w:r>
        <w:t xml:space="preserve"> (but only $10M deductible)</w:t>
      </w:r>
    </w:p>
    <w:p>
      <w:r>
        <w:t>NSO standalone:</w:t>
      </w:r>
    </w:p>
    <w:p>
      <w:pPr>
        <w:pStyle w:val="ListBullet"/>
      </w:pPr>
      <w:r>
        <w:t>Operating income: $80 million</w:t>
      </w:r>
    </w:p>
    <w:p>
      <w:r>
        <w:rPr>
          <w:b/>
        </w:rPr>
        <w:t>Consolidated Group (NSO Holdco + NSO):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t>NSO operating income</w:t>
            </w:r>
          </w:p>
        </w:tc>
        <w:tc>
          <w:tcPr>
            <w:tcW w:type="dxa" w:w="4320"/>
          </w:tcPr>
          <w:p>
            <w:r/>
            <w:r>
              <w:t>$80.0M</w:t>
            </w:r>
          </w:p>
        </w:tc>
      </w:tr>
      <w:tr>
        <w:tc>
          <w:tcPr>
            <w:tcW w:type="dxa" w:w="4320"/>
          </w:tcPr>
          <w:p>
            <w:r/>
            <w:r>
              <w:t>Less: Deductible interest (NSO Holdco)</w:t>
            </w:r>
          </w:p>
        </w:tc>
        <w:tc>
          <w:tcPr>
            <w:tcW w:type="dxa" w:w="4320"/>
          </w:tcPr>
          <w:p>
            <w:r/>
            <w:r>
              <w:t>($10.0M)</w:t>
            </w:r>
          </w:p>
        </w:tc>
      </w:tr>
      <w:tr>
        <w:tc>
          <w:tcPr>
            <w:tcW w:type="dxa" w:w="4320"/>
          </w:tcPr>
          <w:p>
            <w:r/>
            <w:r>
              <w:rPr>
                <w:b/>
              </w:rPr>
              <w:t>Consolidated taxable income</w:t>
            </w:r>
          </w:p>
        </w:tc>
        <w:tc>
          <w:tcPr>
            <w:tcW w:type="dxa" w:w="4320"/>
          </w:tcPr>
          <w:p>
            <w:r/>
            <w:r>
              <w:rPr>
                <w:b/>
              </w:rPr>
              <w:t>$70.0M</w:t>
            </w:r>
          </w:p>
        </w:tc>
      </w:tr>
      <w:tr>
        <w:tc>
          <w:tcPr>
            <w:tcW w:type="dxa" w:w="4320"/>
          </w:tcPr>
          <w:p>
            <w:r/>
            <w:r>
              <w:t>Tax at 20%</w:t>
            </w:r>
          </w:p>
        </w:tc>
        <w:tc>
          <w:tcPr>
            <w:tcW w:type="dxa" w:w="4320"/>
          </w:tcPr>
          <w:p>
            <w:r/>
            <w:r>
              <w:rPr>
                <w:b/>
              </w:rPr>
              <w:t>$14.0M</w:t>
            </w:r>
          </w:p>
        </w:tc>
      </w:tr>
    </w:tbl>
    <w:p/>
    <w:p>
      <w:r>
        <w:t xml:space="preserve">Annual cash interest paid: </w:t>
      </w:r>
      <w:r>
        <w:rPr>
          <w:b/>
        </w:rPr>
        <w:t>$20 million</w:t>
      </w:r>
    </w:p>
    <w:p>
      <w:r>
        <w:rPr>
          <w:b/>
        </w:rPr>
        <w:t>After-tax cost of interest:</w:t>
      </w:r>
    </w:p>
    <w:p>
      <w:pPr>
        <w:pStyle w:val="ListBullet"/>
      </w:pPr>
      <w:r>
        <w:t xml:space="preserve">Deductible portion: $10M × (1 - 20%) = </w:t>
      </w:r>
      <w:r>
        <w:rPr>
          <w:b/>
        </w:rPr>
        <w:t>$8.0M</w:t>
      </w:r>
    </w:p>
    <w:p>
      <w:pPr>
        <w:pStyle w:val="ListBullet"/>
      </w:pPr>
      <w:r>
        <w:t xml:space="preserve">Non-deductible portion: $10M × 100% = </w:t>
      </w:r>
      <w:r>
        <w:rPr>
          <w:b/>
        </w:rPr>
        <w:t>$10.0M</w:t>
      </w:r>
    </w:p>
    <w:p>
      <w:pPr>
        <w:pStyle w:val="ListBullet"/>
      </w:pPr>
      <w:r>
        <w:rPr>
          <w:b/>
        </w:rPr>
        <w:t>Total after-tax interest cost: $18.0M</w:t>
      </w:r>
    </w:p>
    <w:p>
      <w:r>
        <w:rPr>
          <w:b/>
        </w:rPr>
        <w:t>Part 3: Comparison to Direct Acquisition</w:t>
      </w:r>
    </w:p>
    <w:p>
      <w:r>
        <w:t>If Global acquired NSO shares directly (no NSO Holdco or debt push-down):</w:t>
      </w:r>
    </w:p>
    <w:p>
      <w:r>
        <w:t>NSO standalone:</w:t>
      </w:r>
    </w:p>
    <w:p>
      <w:pPr>
        <w:pStyle w:val="ListBullet"/>
      </w:pPr>
      <w:r>
        <w:t>Operating income: $80 million</w:t>
      </w:r>
    </w:p>
    <w:p>
      <w:pPr>
        <w:pStyle w:val="ListBullet"/>
      </w:pPr>
      <w:r>
        <w:t>No interest deductions (interest expense is at Global parent level in different country)</w:t>
      </w:r>
    </w:p>
    <w:p>
      <w:pPr>
        <w:pStyle w:val="ListBullet"/>
      </w:pPr>
      <w:r>
        <w:t>Taxable income: $80 million</w:t>
      </w:r>
    </w:p>
    <w:p>
      <w:pPr>
        <w:pStyle w:val="ListBullet"/>
      </w:pPr>
      <w:r>
        <w:t xml:space="preserve">Tax at 20%: </w:t>
      </w:r>
      <w:r>
        <w:rPr>
          <w:b/>
        </w:rPr>
        <w:t>$16 million</w:t>
      </w:r>
    </w:p>
    <w:p>
      <w:r>
        <w:rPr>
          <w:b/>
        </w:rPr>
        <w:t>Annual tax savings from debt push-down structure: $16M - $14M = $2 million</w:t>
      </w:r>
    </w:p>
    <w:p>
      <w:r>
        <w:t xml:space="preserve">Over 5 years: </w:t>
      </w:r>
      <w:r>
        <w:rPr>
          <w:b/>
        </w:rPr>
        <w:t>$10 million</w:t>
      </w:r>
      <w:r>
        <w:t xml:space="preserve"> cumulative tax savings</w:t>
      </w:r>
    </w:p>
    <w:p>
      <w:r>
        <w:t xml:space="preserve">Present value at 8% discount rate: </w:t>
      </w:r>
      <w:r>
        <w:rPr>
          <w:b/>
        </w:rPr>
        <w:t>$7.98 million</w:t>
      </w:r>
    </w:p>
    <w:p>
      <w:r>
        <w:rPr>
          <w:b/>
        </w:rPr>
        <w:t>Conclusion:</w:t>
      </w:r>
    </w:p>
    <w:p>
      <w:r>
        <w:t xml:space="preserve">The </w:t>
      </w:r>
      <w:r>
        <w:rPr>
          <w:b/>
        </w:rPr>
        <w:t>debt push-down</w:t>
      </w:r>
      <w:r>
        <w:t xml:space="preserve"> structure utilizing NSO Holdco and tax consolidation generates </w:t>
      </w:r>
      <w:r>
        <w:rPr>
          <w:b/>
        </w:rPr>
        <w:t>$2 million per year</w:t>
      </w:r>
      <w:r>
        <w:t xml:space="preserve"> in tax savings by making </w:t>
      </w:r>
      <w:r>
        <w:rPr>
          <w:b/>
        </w:rPr>
        <w:t>$10 million</w:t>
      </w:r>
      <w:r>
        <w:t xml:space="preserve"> of the </w:t>
      </w:r>
      <w:r>
        <w:rPr>
          <w:b/>
        </w:rPr>
        <w:t>$20 million</w:t>
      </w:r>
      <w:r>
        <w:t xml:space="preserve"> annual interest expense deductible against NSO's Country N profits.</w:t>
      </w:r>
    </w:p>
    <w:p>
      <w:r>
        <w:t xml:space="preserve">However, $10 million of interest remains non-deductible due to </w:t>
      </w:r>
      <w:r>
        <w:rPr>
          <w:b/>
        </w:rPr>
        <w:t>thin capitalization limitations</w:t>
      </w:r>
      <w:r>
        <w:t>. Global could improve the structure by:</w:t>
      </w:r>
    </w:p>
    <w:p>
      <w:pPr>
        <w:pStyle w:val="ListBullet"/>
      </w:pPr>
      <w:r>
        <w:t>Increasing equity in NSO Holdco to $200M (reducing debt to $300M) to satisfy the 2:1 ratio, allowing full interest deductibility</w:t>
      </w:r>
    </w:p>
    <w:p>
      <w:pPr>
        <w:pStyle w:val="ListBullet"/>
      </w:pPr>
      <w:r>
        <w:t>Using hybrid instruments (if permitted) that are treated as equity for thin cap purposes but as debt for interest deductions</w:t>
      </w:r>
    </w:p>
    <w:p>
      <w:pPr>
        <w:pStyle w:val="ListBullet"/>
      </w:pPr>
      <w:r>
        <w:t>Refinancing through multiple entities to spread debt across the group</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