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Interest deductions and debt push down</w:t>
      </w:r>
    </w:p>
    <w:p>
      <w:pPr>
        <w:pStyle w:val="Heading1"/>
      </w:pPr>
      <w:r>
        <w:t>ADIT Module 3.04 - Energy Resources Option</w:t>
      </w:r>
    </w:p>
    <w:p>
      <w:pPr>
        <w:pStyle w:val="Heading2"/>
      </w:pPr>
      <w:r>
        <w:t>Topic 29: Mergers and Acquisitions</w:t>
      </w:r>
    </w:p>
    <w:p>
      <w:pPr>
        <w:pStyle w:val="Heading3"/>
      </w:pPr>
      <w:r>
        <w:t>Interest Deductions and Debt Push Down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1. Introduction</w:t>
      </w:r>
    </w:p>
    <w:p>
      <w:pPr>
        <w:pStyle w:val="Heading3"/>
      </w:pPr>
      <w:r>
        <w:t>1.1 The Critical Role of Acquisition Financing</w:t>
      </w:r>
    </w:p>
    <w:p>
      <w:r>
        <w:t xml:space="preserve">Oil and gas mergers and acquisitions typically involve substantial capital outlays, frequently financed through a combination of </w:t>
      </w:r>
      <w:r>
        <w:rPr>
          <w:b/>
        </w:rPr>
        <w:t>debt and equity</w:t>
      </w:r>
      <w:r>
        <w:t xml:space="preserve">. The tax treatment of </w:t>
      </w:r>
      <w:r>
        <w:rPr>
          <w:b/>
        </w:rPr>
        <w:t>interest expense</w:t>
      </w:r>
      <w:r>
        <w:t xml:space="preserve"> on acquisition debt is one of the most significant value drivers in transaction structuring. In many cases, the present value of interest tax shields can amount to 10-20% of the acquisition price, making interest deductibility a critical negotiating point.</w:t>
      </w:r>
    </w:p>
    <w:p>
      <w:r>
        <w:rPr>
          <w:b/>
        </w:rPr>
        <w:t>Key questions</w:t>
      </w:r>
      <w:r>
        <w:t xml:space="preserve"> that drive M&amp;A tax planning include:</w:t>
      </w:r>
    </w:p>
    <w:p>
      <w:pPr>
        <w:pStyle w:val="ListBullet"/>
      </w:pPr>
      <w:r>
        <w:t xml:space="preserve">Will interest on acquisition debt be </w:t>
      </w:r>
      <w:r>
        <w:rPr>
          <w:b/>
        </w:rPr>
        <w:t>tax deductible</w:t>
      </w:r>
      <w:r>
        <w:t>?</w:t>
      </w:r>
    </w:p>
    <w:p>
      <w:pPr>
        <w:pStyle w:val="ListBullet"/>
      </w:pPr>
      <w:r>
        <w:rPr>
          <w:b/>
        </w:rPr>
        <w:t>Where</w:t>
      </w:r>
      <w:r>
        <w:t xml:space="preserve"> in the corporate structure can interest deductions be most effectively utilized?</w:t>
      </w:r>
    </w:p>
    <w:p>
      <w:pPr>
        <w:pStyle w:val="ListBullet"/>
      </w:pPr>
      <w:r>
        <w:t xml:space="preserve">How do </w:t>
      </w:r>
      <w:r>
        <w:rPr>
          <w:b/>
        </w:rPr>
        <w:t>thin capitalization</w:t>
      </w:r>
      <w:r>
        <w:t xml:space="preserve"> and </w:t>
      </w:r>
      <w:r>
        <w:rPr>
          <w:b/>
        </w:rPr>
        <w:t>earnings stripping</w:t>
      </w:r>
      <w:r>
        <w:t xml:space="preserve"> rules limit interest deductions?</w:t>
      </w:r>
    </w:p>
    <w:p>
      <w:pPr>
        <w:pStyle w:val="ListBullet"/>
      </w:pPr>
      <w:r>
        <w:t xml:space="preserve">Can interest deductions be </w:t>
      </w:r>
      <w:r>
        <w:rPr>
          <w:b/>
        </w:rPr>
        <w:t>"pushed down"</w:t>
      </w:r>
      <w:r>
        <w:t xml:space="preserve"> to profitable operating companies in resource-rich jurisdictions?</w:t>
      </w:r>
    </w:p>
    <w:p>
      <w:pPr>
        <w:pStyle w:val="Heading3"/>
      </w:pPr>
      <w:r>
        <w:t>1.2 Fundamental Tax Principle: Nexus Between Debt and Income</w:t>
      </w:r>
    </w:p>
    <w:p>
      <w:r>
        <w:t xml:space="preserve">Most tax systems apply a </w:t>
      </w:r>
      <w:r>
        <w:rPr>
          <w:b/>
        </w:rPr>
        <w:t>nexus requirement</w:t>
      </w:r>
      <w:r>
        <w:t xml:space="preserve">: interest is deductible only if the borrowed funds are used to generate </w:t>
      </w:r>
      <w:r>
        <w:rPr>
          <w:b/>
        </w:rPr>
        <w:t>assessable income</w:t>
      </w:r>
      <w:r>
        <w:t>. This principle creates a fundamental distinction:</w:t>
      </w:r>
    </w:p>
    <w:p>
      <w:pPr>
        <w:pStyle w:val="ListBullet"/>
      </w:pPr>
      <w:r>
        <w:rPr>
          <w:b/>
        </w:rPr>
        <w:t>Asset purchases</w:t>
      </w:r>
      <w:r>
        <w:t xml:space="preserve">: Debt finances income-producing assets → interest generally </w:t>
      </w:r>
      <w:r>
        <w:rPr>
          <w:b/>
        </w:rPr>
        <w:t>deductible</w:t>
      </w:r>
    </w:p>
    <w:p>
      <w:pPr>
        <w:pStyle w:val="ListBullet"/>
      </w:pPr>
      <w:r>
        <w:rPr>
          <w:b/>
        </w:rPr>
        <w:t>Share purchases</w:t>
      </w:r>
      <w:r>
        <w:t xml:space="preserve">: Debt finances shares that may generate </w:t>
      </w:r>
      <w:r>
        <w:rPr>
          <w:b/>
        </w:rPr>
        <w:t>exempt dividends</w:t>
      </w:r>
      <w:r>
        <w:t xml:space="preserve"> → interest may be </w:t>
      </w:r>
      <w:r>
        <w:rPr>
          <w:b/>
        </w:rPr>
        <w:t>non-deductible</w:t>
      </w:r>
    </w:p>
    <w:p>
      <w:r>
        <w:t>This topic requires candidates to analyze complex interaction between:</w:t>
      </w:r>
    </w:p>
    <w:p>
      <w:pPr>
        <w:pStyle w:val="ListBullet"/>
      </w:pPr>
      <w:r>
        <w:t>Domestic tax rules on interest deductibility</w:t>
      </w:r>
    </w:p>
    <w:p>
      <w:pPr>
        <w:pStyle w:val="ListBullet"/>
      </w:pPr>
      <w:r>
        <w:rPr>
          <w:b/>
        </w:rPr>
        <w:t>Participation exemption</w:t>
      </w:r>
      <w:r>
        <w:t xml:space="preserve"> regimes</w:t>
      </w:r>
    </w:p>
    <w:p>
      <w:pPr>
        <w:pStyle w:val="ListBullet"/>
      </w:pPr>
      <w:r>
        <w:rPr>
          <w:b/>
        </w:rPr>
        <w:t>Anti-avoidance</w:t>
      </w:r>
      <w:r>
        <w:t xml:space="preserve"> rules (thin capitalization, earnings stripping)</w:t>
      </w:r>
    </w:p>
    <w:p>
      <w:pPr>
        <w:pStyle w:val="ListBullet"/>
      </w:pPr>
      <w:r>
        <w:t>Cross-border tax consolidation mechanisms</w:t>
      </w:r>
    </w:p>
    <w:p>
      <w:pPr>
        <w:pStyle w:val="ListBullet"/>
      </w:pPr>
      <w:r>
        <w:rPr>
          <w:b/>
        </w:rPr>
        <w:t>PSC regime</w:t>
      </w:r>
      <w:r>
        <w:t xml:space="preserve"> limitations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2. Interest Deductibility in Asset vs. Share Acquisitions</w:t>
      </w:r>
    </w:p>
    <w:p>
      <w:pPr>
        <w:pStyle w:val="Heading3"/>
      </w:pPr>
      <w:r>
        <w:t>2.1 Asset Purchase Structures</w:t>
      </w:r>
    </w:p>
    <w:p>
      <w:pPr>
        <w:pStyle w:val="Heading4"/>
      </w:pPr>
      <w:r>
        <w:t>2.1.1 General Rule: Interest is Deductible</w:t>
      </w:r>
    </w:p>
    <w:p>
      <w:r>
        <w:t xml:space="preserve">When debt is used to finance the acquisition of </w:t>
      </w:r>
      <w:r>
        <w:rPr>
          <w:b/>
        </w:rPr>
        <w:t>oil and gas assets</w:t>
      </w:r>
      <w:r>
        <w:t xml:space="preserve"> (petroleum licenses, production facilities, drilling rigs, pipelines), the interest expense is </w:t>
      </w:r>
      <w:r>
        <w:rPr>
          <w:b/>
        </w:rPr>
        <w:t>generally deductible</w:t>
      </w:r>
      <w:r>
        <w:t xml:space="preserve"> because:</w:t>
      </w:r>
    </w:p>
    <w:p>
      <w:pPr>
        <w:pStyle w:val="ListBullet"/>
      </w:pPr>
      <w:r>
        <w:t xml:space="preserve">The assets will generate </w:t>
      </w:r>
      <w:r>
        <w:rPr>
          <w:b/>
        </w:rPr>
        <w:t>taxable business profits</w:t>
      </w:r>
    </w:p>
    <w:p>
      <w:pPr>
        <w:pStyle w:val="ListBullet"/>
      </w:pPr>
      <w:r>
        <w:t xml:space="preserve">Interest expense has a </w:t>
      </w:r>
      <w:r>
        <w:rPr>
          <w:b/>
        </w:rPr>
        <w:t>direct nexus</w:t>
      </w:r>
      <w:r>
        <w:t xml:space="preserve"> to the production of assessable income</w:t>
      </w:r>
    </w:p>
    <w:p>
      <w:pPr>
        <w:pStyle w:val="ListBullet"/>
      </w:pPr>
      <w:r>
        <w:t xml:space="preserve">The expense satisfies the </w:t>
      </w:r>
      <w:r>
        <w:rPr>
          <w:b/>
        </w:rPr>
        <w:t>business purpose</w:t>
      </w:r>
      <w:r>
        <w:t xml:space="preserve"> test</w:t>
      </w:r>
    </w:p>
    <w:p>
      <w:r>
        <w:rPr>
          <w:b/>
        </w:rPr>
        <w:t>Statutory Basis:</w:t>
      </w:r>
    </w:p>
    <w:p>
      <w:pPr>
        <w:pStyle w:val="ListBullet"/>
      </w:pPr>
      <w:r>
        <w:rPr>
          <w:b/>
        </w:rPr>
        <w:t>US</w:t>
      </w:r>
      <w:r>
        <w:t>: US Internal Revenue Code Section 163(a) - "There shall be allowed as a deduction all interest paid or accrued within the taxable year on indebtedness"</w:t>
      </w:r>
    </w:p>
    <w:p>
      <w:pPr>
        <w:pStyle w:val="ListBullet"/>
      </w:pPr>
      <w:r>
        <w:rPr>
          <w:b/>
        </w:rPr>
        <w:t>UK</w:t>
      </w:r>
      <w:r>
        <w:t>: Corporation Tax Act 2009, Sections 297-298 - Interest is deductible if incurred for trade purposes</w:t>
      </w:r>
    </w:p>
    <w:p>
      <w:pPr>
        <w:pStyle w:val="ListBullet"/>
      </w:pPr>
      <w:r>
        <w:rPr>
          <w:b/>
        </w:rPr>
        <w:t>Australia</w:t>
      </w:r>
      <w:r>
        <w:t>: Income Tax Assessment Act 1997 (1997), Section 8-1 - Deductible if incurred in gaining or producing assessable income</w:t>
      </w:r>
    </w:p>
    <w:p>
      <w:pPr>
        <w:pStyle w:val="Heading4"/>
      </w:pPr>
      <w:r>
        <w:t>2.1.2 Limitations and Restrictions</w:t>
      </w:r>
    </w:p>
    <w:p>
      <w:r>
        <w:t>Even in asset purchases, interest deductibility may be limited by:</w:t>
      </w:r>
    </w:p>
    <w:p>
      <w:r>
        <w:rPr>
          <w:b/>
        </w:rPr>
        <w:t>Thin Capitalization Rules:</w:t>
      </w:r>
    </w:p>
    <w:p>
      <w:pPr>
        <w:pStyle w:val="ListBullet"/>
      </w:pPr>
      <w:r>
        <w:t xml:space="preserve">Restrict interest deductions where </w:t>
      </w:r>
      <w:r>
        <w:rPr>
          <w:b/>
        </w:rPr>
        <w:t>debt-to-equity ratios</w:t>
      </w:r>
      <w:r>
        <w:t xml:space="preserve"> exceed statutory thresholds</w:t>
      </w:r>
    </w:p>
    <w:p>
      <w:pPr>
        <w:pStyle w:val="ListBullet"/>
      </w:pPr>
      <w:r>
        <w:t xml:space="preserve">Typically apply to </w:t>
      </w:r>
      <w:r>
        <w:rPr>
          <w:b/>
        </w:rPr>
        <w:t>related-party debt</w:t>
      </w:r>
      <w:r>
        <w:t xml:space="preserve"> but may extend to total debt in some jurisdictions</w:t>
      </w:r>
    </w:p>
    <w:p>
      <w:r>
        <w:rPr>
          <w:b/>
        </w:rPr>
        <w:t>Earnings Stripping Rules:</w:t>
      </w:r>
    </w:p>
    <w:p>
      <w:pPr>
        <w:pStyle w:val="ListBullet"/>
      </w:pPr>
      <w:r>
        <w:t xml:space="preserve">Limit interest deductions to a </w:t>
      </w:r>
      <w:r>
        <w:rPr>
          <w:b/>
        </w:rPr>
        <w:t>percentage of earnings</w:t>
      </w:r>
      <w:r>
        <w:t xml:space="preserve"> (e.g., 30% of EBITDA)</w:t>
      </w:r>
    </w:p>
    <w:p>
      <w:pPr>
        <w:pStyle w:val="ListBullet"/>
      </w:pPr>
      <w:r>
        <w:t xml:space="preserve">Example: </w:t>
      </w:r>
      <w:r>
        <w:rPr>
          <w:b/>
        </w:rPr>
        <w:t>US Internal Revenue Code Section 163(j)</w:t>
      </w:r>
      <w:r>
        <w:t xml:space="preserve">, </w:t>
      </w:r>
      <w:r>
        <w:rPr>
          <w:b/>
        </w:rPr>
        <w:t>German Income Tax Act (Einkommensteuergesetz - EStG) Section 4h</w:t>
      </w:r>
      <w:r>
        <w:t xml:space="preserve">, </w:t>
      </w:r>
      <w:r>
        <w:rPr>
          <w:b/>
        </w:rPr>
        <w:t>OECD BEPS Action 4</w:t>
      </w:r>
      <w:r>
        <w:t xml:space="preserve"> recommendations</w:t>
      </w:r>
    </w:p>
    <w:p>
      <w:r>
        <w:rPr>
          <w:b/>
        </w:rPr>
        <w:t>Transfer Pricing:</w:t>
      </w:r>
    </w:p>
    <w:p>
      <w:pPr>
        <w:pStyle w:val="ListBullet"/>
      </w:pPr>
      <w:r>
        <w:rPr>
          <w:b/>
        </w:rPr>
        <w:t>Related-party interest rates</w:t>
      </w:r>
      <w:r>
        <w:t xml:space="preserve"> must comply with </w:t>
      </w:r>
      <w:r>
        <w:rPr>
          <w:b/>
        </w:rPr>
        <w:t>arm's length principle</w:t>
      </w:r>
    </w:p>
    <w:p>
      <w:pPr>
        <w:pStyle w:val="ListBullet"/>
      </w:pPr>
      <w:r>
        <w:t xml:space="preserve">Tax authorities may recharacterize excessive interest as </w:t>
      </w:r>
      <w:r>
        <w:rPr>
          <w:b/>
        </w:rPr>
        <w:t>non-deductible distributions</w:t>
      </w:r>
    </w:p>
    <w:p>
      <w:r>
        <w:rPr>
          <w:b/>
        </w:rPr>
        <w:t>PSC Regime Limitations:</w:t>
      </w:r>
    </w:p>
    <w:p>
      <w:pPr>
        <w:pStyle w:val="ListBullet"/>
      </w:pPr>
      <w:r>
        <w:rPr>
          <w:b/>
        </w:rPr>
        <w:t>Production Sharing Contracts</w:t>
      </w:r>
      <w:r>
        <w:t xml:space="preserve"> often </w:t>
      </w:r>
      <w:r>
        <w:rPr>
          <w:b/>
        </w:rPr>
        <w:t>exclude financing costs</w:t>
      </w:r>
      <w:r>
        <w:t xml:space="preserve"> from recoverable costs</w:t>
      </w:r>
    </w:p>
    <w:p>
      <w:pPr>
        <w:pStyle w:val="ListBullet"/>
      </w:pPr>
      <w:r>
        <w:t xml:space="preserve">Interest expense cannot be recovered through </w:t>
      </w:r>
      <w:r>
        <w:rPr>
          <w:b/>
        </w:rPr>
        <w:t>cost oil</w:t>
      </w:r>
    </w:p>
    <w:p>
      <w:pPr>
        <w:pStyle w:val="ListBullet"/>
      </w:pPr>
      <w:r>
        <w:t xml:space="preserve">However, interest may still be deductible for </w:t>
      </w:r>
      <w:r>
        <w:rPr>
          <w:b/>
        </w:rPr>
        <w:t>corporate income tax</w:t>
      </w:r>
      <w:r>
        <w:t xml:space="preserve"> purposes on the contractor's share of profit oil</w:t>
      </w:r>
    </w:p>
    <w:p>
      <w:pPr>
        <w:pStyle w:val="Heading3"/>
      </w:pPr>
      <w:r>
        <w:t>2.2 Share Purchase Structures</w:t>
      </w:r>
    </w:p>
    <w:p>
      <w:pPr>
        <w:pStyle w:val="Heading4"/>
      </w:pPr>
      <w:r>
        <w:t>2.2.1 General Rule: Interest May Be Non-Deductible</w:t>
      </w:r>
    </w:p>
    <w:p>
      <w:r>
        <w:t xml:space="preserve">When debt finances the acquisition of </w:t>
      </w:r>
      <w:r>
        <w:rPr>
          <w:b/>
        </w:rPr>
        <w:t>shares</w:t>
      </w:r>
      <w:r>
        <w:t xml:space="preserve"> in an oil and gas company, interest deductibility becomes significantly more restricted.</w:t>
      </w:r>
    </w:p>
    <w:p>
      <w:r>
        <w:rPr>
          <w:b/>
        </w:rPr>
        <w:t>Policy Rationale:</w:t>
      </w:r>
    </w:p>
    <w:p>
      <w:r>
        <w:t xml:space="preserve">Many jurisdictions apply </w:t>
      </w:r>
      <w:r>
        <w:rPr>
          <w:b/>
        </w:rPr>
        <w:t>participation exemption regimes</w:t>
      </w:r>
      <w:r>
        <w:t xml:space="preserve"> that exempt qualifying </w:t>
      </w:r>
      <w:r>
        <w:rPr>
          <w:b/>
        </w:rPr>
        <w:t>dividends</w:t>
      </w:r>
      <w:r>
        <w:t xml:space="preserve"> and </w:t>
      </w:r>
      <w:r>
        <w:rPr>
          <w:b/>
        </w:rPr>
        <w:t>capital gains</w:t>
      </w:r>
      <w:r>
        <w:t xml:space="preserve"> from taxation. The policy logic is:</w:t>
      </w:r>
    </w:p>
    <w:p>
      <w:pPr>
        <w:pStyle w:val="ListNumber"/>
      </w:pPr>
      <w:r>
        <w:t>Subsidiary's profits are taxed at the subsidiary level</w:t>
      </w:r>
    </w:p>
    <w:p>
      <w:pPr>
        <w:pStyle w:val="ListNumber"/>
      </w:pPr>
      <w:r>
        <w:t xml:space="preserve">Exempt dividends at parent level to avoid </w:t>
      </w:r>
      <w:r>
        <w:rPr>
          <w:b/>
        </w:rPr>
        <w:t>double taxation</w:t>
      </w:r>
    </w:p>
    <w:p>
      <w:pPr>
        <w:pStyle w:val="ListNumber"/>
      </w:pPr>
      <w:r>
        <w:rPr>
          <w:b/>
        </w:rPr>
        <w:t>Corollary</w:t>
      </w:r>
      <w:r>
        <w:t xml:space="preserve">: If dividend income is exempt, </w:t>
      </w:r>
      <w:r>
        <w:rPr>
          <w:b/>
        </w:rPr>
        <w:t>interest expense</w:t>
      </w:r>
      <w:r>
        <w:t xml:space="preserve"> incurred to earn that exempt income should be </w:t>
      </w:r>
      <w:r>
        <w:rPr>
          <w:b/>
        </w:rPr>
        <w:t>non-deductible</w:t>
      </w:r>
    </w:p>
    <w:p>
      <w:pPr>
        <w:pStyle w:val="Heading4"/>
      </w:pPr>
      <w:r>
        <w:t>2.2.2 Participation Exemption Regimes</w:t>
      </w:r>
    </w:p>
    <w:p>
      <w:r>
        <w:rPr>
          <w:b/>
        </w:rPr>
        <w:t>Common Requirements: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Jurisdiction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Minimum Holding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Holding Period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Substance 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Netherlands</w:t>
            </w:r>
          </w:p>
        </w:tc>
        <w:tc>
          <w:tcPr>
            <w:tcW w:type="dxa" w:w="2160"/>
          </w:tcPr>
          <w:p>
            <w:r/>
            <w:r>
              <w:t>5%</w:t>
            </w:r>
          </w:p>
        </w:tc>
        <w:tc>
          <w:tcPr>
            <w:tcW w:type="dxa" w:w="2160"/>
          </w:tcPr>
          <w:p>
            <w:r/>
            <w:r>
              <w:t>None</w:t>
            </w:r>
          </w:p>
        </w:tc>
        <w:tc>
          <w:tcPr>
            <w:tcW w:type="dxa" w:w="2160"/>
          </w:tcPr>
          <w:p>
            <w:r/>
            <w:r>
              <w:t>Subject to reasonable tax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Luxembourg</w:t>
            </w:r>
          </w:p>
        </w:tc>
        <w:tc>
          <w:tcPr>
            <w:tcW w:type="dxa" w:w="2160"/>
          </w:tcPr>
          <w:p>
            <w:r/>
            <w:r>
              <w:t>10% or €1.2M</w:t>
            </w:r>
          </w:p>
        </w:tc>
        <w:tc>
          <w:tcPr>
            <w:tcW w:type="dxa" w:w="2160"/>
          </w:tcPr>
          <w:p>
            <w:r/>
            <w:r>
              <w:t>12 months</w:t>
            </w:r>
          </w:p>
        </w:tc>
        <w:tc>
          <w:tcPr>
            <w:tcW w:type="dxa" w:w="2160"/>
          </w:tcPr>
          <w:p>
            <w:r/>
            <w:r>
              <w:t>Subject to tax or EU/treaty resident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Germany</w:t>
            </w:r>
          </w:p>
        </w:tc>
        <w:tc>
          <w:tcPr>
            <w:tcW w:type="dxa" w:w="2160"/>
          </w:tcPr>
          <w:p>
            <w:r/>
            <w:r>
              <w:t>10%</w:t>
            </w:r>
          </w:p>
        </w:tc>
        <w:tc>
          <w:tcPr>
            <w:tcW w:type="dxa" w:w="2160"/>
          </w:tcPr>
          <w:p>
            <w:r/>
            <w:r>
              <w:t>None</w:t>
            </w:r>
          </w:p>
        </w:tc>
        <w:tc>
          <w:tcPr>
            <w:tcW w:type="dxa" w:w="2160"/>
          </w:tcPr>
          <w:p>
            <w:r/>
            <w:r>
              <w:t>Corporate shareholder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Belgium</w:t>
            </w:r>
          </w:p>
        </w:tc>
        <w:tc>
          <w:tcPr>
            <w:tcW w:type="dxa" w:w="2160"/>
          </w:tcPr>
          <w:p>
            <w:r/>
            <w:r>
              <w:t>10% or €2.5M</w:t>
            </w:r>
          </w:p>
        </w:tc>
        <w:tc>
          <w:tcPr>
            <w:tcW w:type="dxa" w:w="2160"/>
          </w:tcPr>
          <w:p>
            <w:r/>
            <w:r>
              <w:t>12 months</w:t>
            </w:r>
          </w:p>
        </w:tc>
        <w:tc>
          <w:tcPr>
            <w:tcW w:type="dxa" w:w="2160"/>
          </w:tcPr>
          <w:p>
            <w:r/>
            <w:r>
              <w:t>Subject to tax &gt;= 15%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France</w:t>
            </w:r>
          </w:p>
        </w:tc>
        <w:tc>
          <w:tcPr>
            <w:tcW w:type="dxa" w:w="2160"/>
          </w:tcPr>
          <w:p>
            <w:r/>
            <w:r>
              <w:t>5%</w:t>
            </w:r>
          </w:p>
        </w:tc>
        <w:tc>
          <w:tcPr>
            <w:tcW w:type="dxa" w:w="2160"/>
          </w:tcPr>
          <w:p>
            <w:r/>
            <w:r>
              <w:t>2 years</w:t>
            </w:r>
          </w:p>
        </w:tc>
        <w:tc>
          <w:tcPr>
            <w:tcW w:type="dxa" w:w="2160"/>
          </w:tcPr>
          <w:p>
            <w:r/>
            <w:r>
              <w:t>Operating company</w:t>
            </w:r>
          </w:p>
        </w:tc>
      </w:tr>
    </w:tbl>
    <w:p/>
    <w:p>
      <w:r>
        <w:rPr>
          <w:b/>
        </w:rPr>
        <w:t>Impact on Interest Deductibility:</w:t>
      </w:r>
    </w:p>
    <w:p>
      <w:pPr>
        <w:pStyle w:val="ListBullet"/>
      </w:pPr>
      <w:r>
        <w:rPr>
          <w:b/>
        </w:rPr>
        <w:t>Netherlands</w:t>
      </w:r>
      <w:r>
        <w:t>: Interest on debt used to finance participation shareholdings is generally deductible, subject to earnings stripping rules (20% of EBITDA with EUR 1 million threshold)</w:t>
      </w:r>
    </w:p>
    <w:p>
      <w:pPr>
        <w:pStyle w:val="ListBullet"/>
      </w:pPr>
      <w:r>
        <w:rPr>
          <w:b/>
        </w:rPr>
        <w:t>Germany</w:t>
      </w:r>
      <w:r>
        <w:t xml:space="preserve">: </w:t>
      </w:r>
      <w:r>
        <w:rPr>
          <w:b/>
        </w:rPr>
        <w:t>5% non-deductible</w:t>
      </w:r>
      <w:r>
        <w:t xml:space="preserve"> under German Corporate Income Tax Act (Körperschaftsteuergesetz - KStG) Section 8b(5)</w:t>
      </w:r>
    </w:p>
    <w:p>
      <w:pPr>
        <w:pStyle w:val="ListBullet"/>
      </w:pPr>
      <w:r>
        <w:rPr>
          <w:b/>
        </w:rPr>
        <w:t>Luxembourg</w:t>
      </w:r>
      <w:r>
        <w:t>: Generally allows deduction, but subject to anti-abuse provisions</w:t>
      </w:r>
    </w:p>
    <w:p>
      <w:pPr>
        <w:pStyle w:val="ListBullet"/>
      </w:pPr>
      <w:r>
        <w:rPr>
          <w:b/>
        </w:rPr>
        <w:t>France &amp; UK</w:t>
      </w:r>
      <w:r>
        <w:t xml:space="preserve">: Generally </w:t>
      </w:r>
      <w:r>
        <w:rPr>
          <w:b/>
        </w:rPr>
        <w:t>allow interest deductions</w:t>
      </w:r>
      <w:r>
        <w:t xml:space="preserve"> even with participation exemption (more favorable)</w:t>
      </w:r>
    </w:p>
    <w:p>
      <w:pPr>
        <w:pStyle w:val="Heading4"/>
      </w:pPr>
      <w:r>
        <w:t>2.2.3 Exceptions and Planning Opportunities</w:t>
      </w:r>
    </w:p>
    <w:p>
      <w:r>
        <w:t>Interest deductions on share acquisition debt may be preserved through:</w:t>
      </w:r>
    </w:p>
    <w:p>
      <w:pPr>
        <w:pStyle w:val="ListNumber"/>
      </w:pPr>
      <w:r>
        <w:rPr>
          <w:b/>
        </w:rPr>
        <w:t>Jurisdictions without strict linkage</w:t>
      </w:r>
      <w:r>
        <w:t>: France, UK, Ireland allow interest deductions despite dividend exemption</w:t>
      </w:r>
    </w:p>
    <w:p>
      <w:pPr>
        <w:pStyle w:val="ListNumber"/>
      </w:pPr>
      <w:r>
        <w:rPr>
          <w:b/>
        </w:rPr>
        <w:t>Business purpose exemptions</w:t>
      </w:r>
      <w:r>
        <w:t>: Demonstrating acquisition serves broader commercial strategy beyond tax avoidance</w:t>
      </w:r>
    </w:p>
    <w:p>
      <w:pPr>
        <w:pStyle w:val="ListNumber"/>
      </w:pPr>
      <w:r>
        <w:rPr>
          <w:b/>
        </w:rPr>
        <w:t>Debt push-down structures</w:t>
      </w:r>
      <w:r>
        <w:t>: Transferring debt to operating subsidiaries to utilize deductions against operational income</w:t>
      </w:r>
    </w:p>
    <w:p>
      <w:pPr>
        <w:pStyle w:val="ListNumber"/>
      </w:pPr>
      <w:r>
        <w:rPr>
          <w:b/>
        </w:rPr>
        <w:t>Hybrid financing</w:t>
      </w:r>
      <w:r>
        <w:t>: Using instruments treated as equity for participation exemption but debt for interest deductions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3. Thin Capitalization Rules</w:t>
      </w:r>
    </w:p>
    <w:p>
      <w:pPr>
        <w:pStyle w:val="Heading3"/>
      </w:pPr>
      <w:r>
        <w:t>3.1 Concept and Policy Objective</w:t>
      </w:r>
    </w:p>
    <w:p>
      <w:r>
        <w:rPr>
          <w:b/>
        </w:rPr>
        <w:t>Thin capitalization rules</w:t>
      </w:r>
      <w:r>
        <w:t xml:space="preserve"> prevent multinational groups from:</w:t>
      </w:r>
    </w:p>
    <w:p>
      <w:pPr>
        <w:pStyle w:val="ListBullet"/>
      </w:pPr>
      <w:r>
        <w:t xml:space="preserve">Over-leveraging subsidiaries with </w:t>
      </w:r>
      <w:r>
        <w:rPr>
          <w:b/>
        </w:rPr>
        <w:t>related-party debt</w:t>
      </w:r>
    </w:p>
    <w:p>
      <w:pPr>
        <w:pStyle w:val="ListBullet"/>
      </w:pPr>
      <w:r>
        <w:t xml:space="preserve">Stripping profits from high-tax jurisdictions through </w:t>
      </w:r>
      <w:r>
        <w:rPr>
          <w:b/>
        </w:rPr>
        <w:t>excessive interest payments</w:t>
      </w:r>
    </w:p>
    <w:p>
      <w:pPr>
        <w:pStyle w:val="ListBullet"/>
      </w:pPr>
      <w:r>
        <w:t xml:space="preserve">Creating </w:t>
      </w:r>
      <w:r>
        <w:rPr>
          <w:b/>
        </w:rPr>
        <w:t>artificial capital structures</w:t>
      </w:r>
      <w:r>
        <w:t xml:space="preserve"> solely for tax arbitrage</w:t>
      </w:r>
    </w:p>
    <w:p>
      <w:r>
        <w:rPr>
          <w:b/>
        </w:rPr>
        <w:t>Typical Structure:</w:t>
      </w:r>
    </w:p>
    <w:p>
      <w:r>
        <w:t xml:space="preserve">Tax authorities set maximum </w:t>
      </w:r>
      <w:r>
        <w:rPr>
          <w:b/>
        </w:rPr>
        <w:t>debt-to-equity ratios</w:t>
      </w:r>
      <w:r>
        <w:t xml:space="preserve"> (e.g., 1.5:1, 2:1, or 3:1). Interest on debt </w:t>
      </w:r>
      <w:r>
        <w:rPr>
          <w:b/>
        </w:rPr>
        <w:t>exceeding the threshold</w:t>
      </w:r>
      <w:r>
        <w:t xml:space="preserve"> becomes </w:t>
      </w:r>
      <w:r>
        <w:rPr>
          <w:b/>
        </w:rPr>
        <w:t>non-deductible</w:t>
      </w:r>
      <w:r>
        <w:t>.</w:t>
      </w:r>
    </w:p>
    <w:p>
      <w:pPr>
        <w:pStyle w:val="Heading3"/>
      </w:pPr>
      <w:r>
        <w:t>3.2 Common Methodologies</w:t>
      </w:r>
    </w:p>
    <w:p>
      <w:pPr>
        <w:pStyle w:val="Heading4"/>
      </w:pPr>
      <w:r>
        <w:t>3.2.1 Fixed Ratio Method</w:t>
      </w:r>
    </w:p>
    <w:p>
      <w:r>
        <w:t>Limits debt to a multiple of equity. Example:</w:t>
      </w:r>
    </w:p>
    <w:p>
      <w:r>
        <w:rPr>
          <w:b/>
        </w:rPr>
        <w:t>Debt-to-Equity Ratio Test:</w:t>
      </w:r>
    </w:p>
    <w:p>
      <w:pPr>
        <w:pStyle w:val="ListBullet"/>
      </w:pPr>
      <w:r>
        <w:rPr>
          <w:b/>
        </w:rPr>
        <w:t>Allowable debt = Equity × Safe harbor ratio</w:t>
      </w:r>
    </w:p>
    <w:p>
      <w:pPr>
        <w:pStyle w:val="ListBullet"/>
      </w:pPr>
      <w:r>
        <w:rPr>
          <w:b/>
        </w:rPr>
        <w:t>Excess debt = Total debt - Allowable debt</w:t>
      </w:r>
    </w:p>
    <w:p>
      <w:pPr>
        <w:pStyle w:val="ListBullet"/>
      </w:pPr>
      <w:r>
        <w:rPr>
          <w:b/>
        </w:rPr>
        <w:t>Disallowed interest = (Excess debt / Total debt) × Total interest</w:t>
      </w:r>
    </w:p>
    <w:p>
      <w:pPr>
        <w:pStyle w:val="Heading4"/>
      </w:pPr>
      <w:r>
        <w:t>3.2.2 Arm's Length Debt Test</w:t>
      </w:r>
    </w:p>
    <w:p>
      <w:r>
        <w:t xml:space="preserve">Compares actual debt levels with what </w:t>
      </w:r>
      <w:r>
        <w:rPr>
          <w:b/>
        </w:rPr>
        <w:t>independent third parties</w:t>
      </w:r>
      <w:r>
        <w:t xml:space="preserve"> would lend based on:</w:t>
      </w:r>
    </w:p>
    <w:p>
      <w:pPr>
        <w:pStyle w:val="ListBullet"/>
      </w:pPr>
      <w:r>
        <w:t>Company's creditworthiness</w:t>
      </w:r>
    </w:p>
    <w:p>
      <w:pPr>
        <w:pStyle w:val="ListBullet"/>
      </w:pPr>
      <w:r>
        <w:t>Asset values and cash flow generation</w:t>
      </w:r>
    </w:p>
    <w:p>
      <w:pPr>
        <w:pStyle w:val="ListBullet"/>
      </w:pPr>
      <w:r>
        <w:t>Industry norms</w:t>
      </w:r>
    </w:p>
    <w:p>
      <w:pPr>
        <w:pStyle w:val="Heading4"/>
      </w:pPr>
      <w:r>
        <w:t>3.2.3 Earnings-Based Limitation (EBITDA Test)</w:t>
      </w:r>
    </w:p>
    <w:p>
      <w:r>
        <w:t xml:space="preserve">Modern approach adopted under </w:t>
      </w:r>
      <w:r>
        <w:rPr>
          <w:b/>
        </w:rPr>
        <w:t>OECD BEPS Action 4</w:t>
      </w:r>
      <w:r>
        <w:t>:</w:t>
      </w:r>
    </w:p>
    <w:p>
      <w:r>
        <w:rPr>
          <w:b/>
        </w:rPr>
        <w:t>Interest deductibility capped at:</w:t>
      </w:r>
    </w:p>
    <w:p>
      <w:pPr>
        <w:pStyle w:val="ListBullet"/>
      </w:pPr>
      <w:r>
        <w:rPr>
          <w:b/>
        </w:rPr>
        <w:t>30% of EBITDA</w:t>
      </w:r>
      <w:r>
        <w:t xml:space="preserve"> (earnings before interest, taxes, depreciation, and amortization)</w:t>
      </w:r>
    </w:p>
    <w:p>
      <w:pPr>
        <w:pStyle w:val="ListBullet"/>
      </w:pPr>
      <w:r>
        <w:t xml:space="preserve">Applies to </w:t>
      </w:r>
      <w:r>
        <w:rPr>
          <w:b/>
        </w:rPr>
        <w:t>total interest expense</w:t>
      </w:r>
      <w:r>
        <w:t>, not just related-party debt</w:t>
      </w:r>
    </w:p>
    <w:p>
      <w:pPr>
        <w:pStyle w:val="ListBullet"/>
      </w:pPr>
      <w:r>
        <w:t>Disallowed interest may be carried forward (subject to time limits)</w:t>
      </w:r>
    </w:p>
    <w:p>
      <w:r>
        <w:rPr>
          <w:b/>
        </w:rPr>
        <w:t>Key Feature for Oil &amp; Gas:</w:t>
      </w:r>
    </w:p>
    <w:p>
      <w:r>
        <w:t xml:space="preserve">For US tax years beginning after December 31, 2024, </w:t>
      </w:r>
      <w:r>
        <w:rPr>
          <w:b/>
        </w:rPr>
        <w:t>US Internal Revenue Code Section 163(j) ATI</w:t>
      </w:r>
      <w:r>
        <w:t xml:space="preserve"> (Adjusted Taxable Income) is calculated by adding back depreciation, amortization, </w:t>
      </w:r>
      <w:r>
        <w:rPr>
          <w:b/>
        </w:rPr>
        <w:t>and depletion</w:t>
      </w:r>
      <w:r>
        <w:t xml:space="preserve">. This is highly favorable for oil and gas companies, as </w:t>
      </w:r>
      <w:r>
        <w:rPr>
          <w:b/>
        </w:rPr>
        <w:t>depletion allowances</w:t>
      </w:r>
      <w:r>
        <w:t xml:space="preserve"> are substantial.</w:t>
      </w:r>
    </w:p>
    <w:p>
      <w:r>
        <w:rPr>
          <w:b/>
        </w:rPr>
        <w:t>Example:</w:t>
      </w:r>
    </w:p>
    <w:p>
      <w:pPr>
        <w:pStyle w:val="ListBullet"/>
      </w:pPr>
      <w:r>
        <w:t>EBIT: $100 million</w:t>
      </w:r>
    </w:p>
    <w:p>
      <w:pPr>
        <w:pStyle w:val="ListBullet"/>
      </w:pPr>
      <w:r>
        <w:t>Depreciation: $20 million</w:t>
      </w:r>
    </w:p>
    <w:p>
      <w:pPr>
        <w:pStyle w:val="ListBullet"/>
      </w:pPr>
      <w:r>
        <w:rPr>
          <w:b/>
        </w:rPr>
        <w:t>Depletion: $30 million</w:t>
      </w:r>
    </w:p>
    <w:p>
      <w:pPr>
        <w:pStyle w:val="ListBullet"/>
      </w:pPr>
      <w:r>
        <w:rPr>
          <w:b/>
        </w:rPr>
        <w:t>ATI (EBITDA + Depletion) = $150 million</w:t>
      </w:r>
    </w:p>
    <w:p>
      <w:pPr>
        <w:pStyle w:val="ListBullet"/>
      </w:pPr>
      <w:r>
        <w:rPr>
          <w:b/>
        </w:rPr>
        <w:t>Maximum deductible interest = 30% × $150M = $45 million</w:t>
      </w:r>
    </w:p>
    <w:p>
      <w:r>
        <w:t>Without depletion add-back, ATI would be only $120 million, limiting deductions to $36 million.</w:t>
      </w:r>
    </w:p>
    <w:p>
      <w:pPr>
        <w:pStyle w:val="Heading3"/>
      </w:pPr>
      <w:r>
        <w:t>3.3 Impact on Oil &amp; Gas Acquisitions</w:t>
      </w:r>
    </w:p>
    <w:p>
      <w:r>
        <w:t xml:space="preserve">Thin capitalization rules require careful </w:t>
      </w:r>
      <w:r>
        <w:rPr>
          <w:b/>
        </w:rPr>
        <w:t>debt-equity balancing</w:t>
      </w:r>
      <w:r>
        <w:t>:</w:t>
      </w:r>
    </w:p>
    <w:p>
      <w:pPr>
        <w:pStyle w:val="ListBullet"/>
      </w:pPr>
      <w:r>
        <w:rPr>
          <w:b/>
        </w:rPr>
        <w:t>Over-leveraging</w:t>
      </w:r>
      <w:r>
        <w:t xml:space="preserve"> triggers interest disallowances, reducing after-tax cash flow</w:t>
      </w:r>
    </w:p>
    <w:p>
      <w:pPr>
        <w:pStyle w:val="ListBullet"/>
      </w:pPr>
      <w:r>
        <w:rPr>
          <w:b/>
        </w:rPr>
        <w:t>Under-leveraging</w:t>
      </w:r>
      <w:r>
        <w:t xml:space="preserve"> forgoes tax shields, increasing effective tax rate</w:t>
      </w:r>
    </w:p>
    <w:p>
      <w:pPr>
        <w:pStyle w:val="ListBullet"/>
      </w:pPr>
      <w:r>
        <w:rPr>
          <w:b/>
        </w:rPr>
        <w:t>Optimal capital structure</w:t>
      </w:r>
      <w:r>
        <w:t xml:space="preserve"> maximizes deductions while staying within thin cap limits</w:t>
      </w:r>
    </w:p>
    <w:p>
      <w:r>
        <w:rPr>
          <w:b/>
        </w:rPr>
        <w:t>Planning Considerations:</w:t>
      </w:r>
    </w:p>
    <w:p>
      <w:pPr>
        <w:pStyle w:val="ListBullet"/>
      </w:pPr>
      <w:r>
        <w:t xml:space="preserve">Use </w:t>
      </w:r>
      <w:r>
        <w:rPr>
          <w:b/>
        </w:rPr>
        <w:t>third-party debt</w:t>
      </w:r>
      <w:r>
        <w:t xml:space="preserve"> where possible (often exempt from thin cap rules)</w:t>
      </w:r>
    </w:p>
    <w:p>
      <w:pPr>
        <w:pStyle w:val="ListBullet"/>
      </w:pPr>
      <w:r>
        <w:t xml:space="preserve">Structure </w:t>
      </w:r>
      <w:r>
        <w:rPr>
          <w:b/>
        </w:rPr>
        <w:t>equity contributions</w:t>
      </w:r>
      <w:r>
        <w:t xml:space="preserve"> to support higher debt levels</w:t>
      </w:r>
    </w:p>
    <w:p>
      <w:pPr>
        <w:pStyle w:val="ListBullet"/>
      </w:pPr>
      <w:r>
        <w:t xml:space="preserve">Utilize </w:t>
      </w:r>
      <w:r>
        <w:rPr>
          <w:b/>
        </w:rPr>
        <w:t>back-to-back financing</w:t>
      </w:r>
      <w:r>
        <w:t xml:space="preserve"> or </w:t>
      </w:r>
      <w:r>
        <w:rPr>
          <w:b/>
        </w:rPr>
        <w:t>guarantees</w:t>
      </w:r>
      <w:r>
        <w:t xml:space="preserve"> rather than direct loans</w:t>
      </w:r>
    </w:p>
    <w:p>
      <w:pPr>
        <w:pStyle w:val="ListBullet"/>
      </w:pPr>
      <w:r>
        <w:t xml:space="preserve">Monitor </w:t>
      </w:r>
      <w:r>
        <w:rPr>
          <w:b/>
        </w:rPr>
        <w:t>currency fluctuations</w:t>
      </w:r>
      <w:r>
        <w:t xml:space="preserve"> that may inadvertently breach ratios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4. Debt Push-Down Structures</w:t>
      </w:r>
    </w:p>
    <w:p>
      <w:pPr>
        <w:pStyle w:val="Heading3"/>
      </w:pPr>
      <w:r>
        <w:t>4.1 Concept and Mechanics</w:t>
      </w:r>
    </w:p>
    <w:p>
      <w:r>
        <w:t xml:space="preserve">A </w:t>
      </w:r>
      <w:r>
        <w:rPr>
          <w:b/>
        </w:rPr>
        <w:t>debt push-down</w:t>
      </w:r>
      <w:r>
        <w:t xml:space="preserve"> is a financing technique where acquisition debt incurred at a </w:t>
      </w:r>
      <w:r>
        <w:rPr>
          <w:b/>
        </w:rPr>
        <w:t>holding company</w:t>
      </w:r>
      <w:r>
        <w:t xml:space="preserve"> level is effectively transferred to an </w:t>
      </w:r>
      <w:r>
        <w:rPr>
          <w:b/>
        </w:rPr>
        <w:t>operating subsidiary</w:t>
      </w:r>
      <w:r>
        <w:t xml:space="preserve"> to utilize interest deductions against the subsidiary's profits.</w:t>
      </w:r>
    </w:p>
    <w:p>
      <w:pPr>
        <w:pStyle w:val="Heading4"/>
      </w:pPr>
      <w:r>
        <w:t>4.1.1 Why Debt Push-Down?</w:t>
      </w:r>
    </w:p>
    <w:p>
      <w:r>
        <w:rPr>
          <w:b/>
        </w:rPr>
        <w:t>Problem:</w:t>
      </w:r>
    </w:p>
    <w:p>
      <w:pPr>
        <w:pStyle w:val="ListBullet"/>
      </w:pPr>
      <w:r>
        <w:t>Parent Company borrows $500M to acquire shares in Target Oil Company</w:t>
      </w:r>
    </w:p>
    <w:p>
      <w:pPr>
        <w:pStyle w:val="ListBullet"/>
      </w:pPr>
      <w:r>
        <w:t>Parent has limited income → cannot utilize $25M annual interest deductions</w:t>
      </w:r>
    </w:p>
    <w:p>
      <w:pPr>
        <w:pStyle w:val="ListBullet"/>
      </w:pPr>
      <w:r>
        <w:t>Target generates $100M annual taxable profits → pays full tax</w:t>
      </w:r>
    </w:p>
    <w:p>
      <w:r>
        <w:rPr>
          <w:b/>
        </w:rPr>
        <w:t>Solution:</w:t>
      </w:r>
    </w:p>
    <w:p>
      <w:pPr>
        <w:pStyle w:val="ListBullet"/>
      </w:pPr>
      <w:r>
        <w:t>Push debt down to Target's jurisdiction</w:t>
      </w:r>
    </w:p>
    <w:p>
      <w:pPr>
        <w:pStyle w:val="ListBullet"/>
      </w:pPr>
      <w:r>
        <w:t>Use interest deductions to offset Target's $100M taxable income</w:t>
      </w:r>
    </w:p>
    <w:p>
      <w:pPr>
        <w:pStyle w:val="ListBullet"/>
      </w:pPr>
      <w:r>
        <w:t xml:space="preserve">Requires </w:t>
      </w:r>
      <w:r>
        <w:rPr>
          <w:b/>
        </w:rPr>
        <w:t>tax consolidation</w:t>
      </w:r>
      <w:r>
        <w:t xml:space="preserve"> or </w:t>
      </w:r>
      <w:r>
        <w:rPr>
          <w:b/>
        </w:rPr>
        <w:t>intra-group financing arrangements</w:t>
      </w:r>
    </w:p>
    <w:p>
      <w:pPr>
        <w:pStyle w:val="Heading4"/>
      </w:pPr>
      <w:r>
        <w:t>4.1.2 Common Structures</w:t>
      </w:r>
    </w:p>
    <w:p>
      <w:r>
        <w:rPr>
          <w:b/>
        </w:rPr>
        <w:t>Structure 1: Acquisition SPV with Tax Consolidation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Parent Company (Country A)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|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| $500M equity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|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Acquisition SPV (Country B - Target's jurisdiction)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|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| $500M borrowed from Bank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| Interest: $25M/year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|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| Acquires 100% shares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|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Target Oil Company (Country B)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Taxable income: $100M/year</w:t>
      </w:r>
    </w:p>
    <w:p/>
    <w:p>
      <w:r>
        <w:rPr>
          <w:b/>
        </w:rPr>
        <w:t>Tax Consolidation:</w:t>
      </w:r>
    </w:p>
    <w:p>
      <w:pPr>
        <w:pStyle w:val="ListBullet"/>
      </w:pPr>
      <w:r>
        <w:t xml:space="preserve">SPV and Target form </w:t>
      </w:r>
      <w:r>
        <w:rPr>
          <w:b/>
        </w:rPr>
        <w:t>consolidated group</w:t>
      </w:r>
      <w:r>
        <w:t xml:space="preserve"> in Country B</w:t>
      </w:r>
    </w:p>
    <w:p>
      <w:pPr>
        <w:pStyle w:val="ListBullet"/>
      </w:pPr>
      <w:r>
        <w:t>SPV's $25M interest expense offsets Target's $100M income</w:t>
      </w:r>
    </w:p>
    <w:p>
      <w:pPr>
        <w:pStyle w:val="ListBullet"/>
      </w:pPr>
      <w:r>
        <w:rPr>
          <w:b/>
        </w:rPr>
        <w:t>Consolidated taxable income: $75M</w:t>
      </w:r>
    </w:p>
    <w:p>
      <w:pPr>
        <w:pStyle w:val="ListBullet"/>
      </w:pPr>
      <w:r>
        <w:t>Tax savings: $25M × tax rate</w:t>
      </w:r>
    </w:p>
    <w:p>
      <w:r>
        <w:rPr>
          <w:b/>
        </w:rPr>
        <w:t>Structure 2: Intra-Group Loan Push-Down</w:t>
      </w:r>
    </w:p>
    <w:p>
      <w:r>
        <w:t>After share acquisition:</w:t>
      </w:r>
    </w:p>
    <w:p>
      <w:pPr>
        <w:pStyle w:val="ListNumber"/>
      </w:pPr>
      <w:r>
        <w:t>SPV borrows $500M from external bank</w:t>
      </w:r>
    </w:p>
    <w:p>
      <w:pPr>
        <w:pStyle w:val="ListNumber"/>
      </w:pPr>
      <w:r>
        <w:t>SPV on-lends $500M to Target (intra-group loan)</w:t>
      </w:r>
    </w:p>
    <w:p>
      <w:pPr>
        <w:pStyle w:val="ListNumber"/>
      </w:pPr>
      <w:r>
        <w:t>Target pays interest to SPV (deductible by Target)</w:t>
      </w:r>
    </w:p>
    <w:p>
      <w:pPr>
        <w:pStyle w:val="ListNumber"/>
      </w:pPr>
      <w:r>
        <w:t>SPV uses interest received to service bank debt</w:t>
      </w:r>
    </w:p>
    <w:p>
      <w:r>
        <w:rPr>
          <w:b/>
        </w:rPr>
        <w:t>Requirements:</w:t>
      </w:r>
    </w:p>
    <w:p>
      <w:pPr>
        <w:pStyle w:val="ListBullet"/>
      </w:pPr>
      <w:r>
        <w:t xml:space="preserve">Intra-group interest rate must be </w:t>
      </w:r>
      <w:r>
        <w:rPr>
          <w:b/>
        </w:rPr>
        <w:t>arm's length</w:t>
      </w:r>
    </w:p>
    <w:p>
      <w:pPr>
        <w:pStyle w:val="ListBullet"/>
      </w:pPr>
      <w:r>
        <w:t xml:space="preserve">Target's debt level must comply with </w:t>
      </w:r>
      <w:r>
        <w:rPr>
          <w:b/>
        </w:rPr>
        <w:t>thin capitalization</w:t>
      </w:r>
    </w:p>
    <w:p>
      <w:pPr>
        <w:pStyle w:val="ListBullet"/>
      </w:pPr>
      <w:r>
        <w:t xml:space="preserve">Loan must have </w:t>
      </w:r>
      <w:r>
        <w:rPr>
          <w:b/>
        </w:rPr>
        <w:t>commercial substance</w:t>
      </w:r>
    </w:p>
    <w:p>
      <w:pPr>
        <w:pStyle w:val="Heading3"/>
      </w:pPr>
      <w:r>
        <w:t>4.2 Legal and Tax Considerations</w:t>
      </w:r>
    </w:p>
    <w:p>
      <w:pPr>
        <w:pStyle w:val="Heading4"/>
      </w:pPr>
      <w:r>
        <w:t>4.2.1 Tax Consolidation Requirements</w:t>
      </w:r>
    </w:p>
    <w:p>
      <w:r>
        <w:t>Debt push-down through consolidation requires that the target jurisdiction:</w:t>
      </w:r>
    </w:p>
    <w:p>
      <w:pPr>
        <w:pStyle w:val="ListBullet"/>
      </w:pPr>
      <w:r>
        <w:t xml:space="preserve">Allows </w:t>
      </w:r>
      <w:r>
        <w:rPr>
          <w:b/>
        </w:rPr>
        <w:t>group relief</w:t>
      </w:r>
      <w:r>
        <w:t xml:space="preserve"> or </w:t>
      </w:r>
      <w:r>
        <w:rPr>
          <w:b/>
        </w:rPr>
        <w:t>loss transfer</w:t>
      </w:r>
      <w:r>
        <w:t xml:space="preserve"> mechanisms</w:t>
      </w:r>
    </w:p>
    <w:p>
      <w:pPr>
        <w:pStyle w:val="ListBullet"/>
      </w:pPr>
      <w:r>
        <w:t xml:space="preserve">Permits </w:t>
      </w:r>
      <w:r>
        <w:rPr>
          <w:b/>
        </w:rPr>
        <w:t>tax consolidation</w:t>
      </w:r>
      <w:r>
        <w:t xml:space="preserve"> at specified ownership thresholds (typically 75-100%)</w:t>
      </w:r>
    </w:p>
    <w:p>
      <w:pPr>
        <w:pStyle w:val="ListBullet"/>
      </w:pPr>
      <w:r>
        <w:t>Recognizes losses from financing entities within the group</w:t>
      </w:r>
    </w:p>
    <w:p>
      <w:r>
        <w:rPr>
          <w:b/>
        </w:rPr>
        <w:t>Jurisdictions with favorable consolidation:</w:t>
      </w:r>
    </w:p>
    <w:p>
      <w:pPr>
        <w:pStyle w:val="ListBullet"/>
      </w:pPr>
      <w:r>
        <w:rPr>
          <w:b/>
        </w:rPr>
        <w:t>US</w:t>
      </w:r>
      <w:r>
        <w:t>: 80% affiliation for federal consolidation</w:t>
      </w:r>
    </w:p>
    <w:p>
      <w:pPr>
        <w:pStyle w:val="ListBullet"/>
      </w:pPr>
      <w:r>
        <w:rPr>
          <w:b/>
        </w:rPr>
        <w:t>UK</w:t>
      </w:r>
      <w:r>
        <w:t>: 75% group relief</w:t>
      </w:r>
    </w:p>
    <w:p>
      <w:pPr>
        <w:pStyle w:val="ListBullet"/>
      </w:pPr>
      <w:r>
        <w:rPr>
          <w:b/>
        </w:rPr>
        <w:t>Australia</w:t>
      </w:r>
      <w:r>
        <w:t>: 100% consolidation</w:t>
      </w:r>
    </w:p>
    <w:p>
      <w:pPr>
        <w:pStyle w:val="ListBullet"/>
      </w:pPr>
      <w:r>
        <w:rPr>
          <w:b/>
        </w:rPr>
        <w:t>Netherlands</w:t>
      </w:r>
      <w:r>
        <w:t>: Fiscal unity for integrated groups</w:t>
      </w:r>
    </w:p>
    <w:p>
      <w:r>
        <w:rPr>
          <w:b/>
        </w:rPr>
        <w:t>Jurisdictions without consolidation:</w:t>
      </w:r>
    </w:p>
    <w:p>
      <w:r>
        <w:t xml:space="preserve">Many resource-rich countries </w:t>
      </w:r>
      <w:r>
        <w:rPr>
          <w:b/>
        </w:rPr>
        <w:t>do not permit tax consolidation</w:t>
      </w:r>
      <w:r>
        <w:t>, including:</w:t>
      </w:r>
    </w:p>
    <w:p>
      <w:pPr>
        <w:pStyle w:val="ListBullet"/>
      </w:pPr>
      <w:r>
        <w:rPr>
          <w:b/>
        </w:rPr>
        <w:t>Indonesia</w:t>
      </w:r>
    </w:p>
    <w:p>
      <w:pPr>
        <w:pStyle w:val="ListBullet"/>
      </w:pPr>
      <w:r>
        <w:rPr>
          <w:b/>
        </w:rPr>
        <w:t>Brazil</w:t>
      </w:r>
      <w:r>
        <w:t xml:space="preserve"> (limited group relief)</w:t>
      </w:r>
    </w:p>
    <w:p>
      <w:pPr>
        <w:pStyle w:val="ListBullet"/>
      </w:pPr>
      <w:r>
        <w:rPr>
          <w:b/>
        </w:rPr>
        <w:t>India</w:t>
      </w:r>
    </w:p>
    <w:p>
      <w:pPr>
        <w:pStyle w:val="ListBullet"/>
      </w:pPr>
      <w:r>
        <w:rPr>
          <w:b/>
        </w:rPr>
        <w:t>Nigeria</w:t>
      </w:r>
    </w:p>
    <w:p>
      <w:r>
        <w:t xml:space="preserve">In these jurisdictions, debt push-down requires </w:t>
      </w:r>
      <w:r>
        <w:rPr>
          <w:b/>
        </w:rPr>
        <w:t>intra-group loans</w:t>
      </w:r>
      <w:r>
        <w:t xml:space="preserve"> rather than consolidation.</w:t>
      </w:r>
    </w:p>
    <w:p>
      <w:pPr>
        <w:pStyle w:val="Heading4"/>
      </w:pPr>
      <w:r>
        <w:t>4.2.2 Anti-Avoidance Challenges</w:t>
      </w:r>
    </w:p>
    <w:p>
      <w:r>
        <w:t xml:space="preserve">Tax authorities increasingly challenge debt push-down as </w:t>
      </w:r>
      <w:r>
        <w:rPr>
          <w:b/>
        </w:rPr>
        <w:t>artificial arrangements</w:t>
      </w:r>
      <w:r>
        <w:t xml:space="preserve"> designed solely to obtain tax benefits:</w:t>
      </w:r>
    </w:p>
    <w:p>
      <w:r>
        <w:rPr>
          <w:b/>
        </w:rPr>
        <w:t>Poland Anti-Debt Push-Down Rules (Post-2018):</w:t>
      </w:r>
    </w:p>
    <w:p>
      <w:pPr>
        <w:pStyle w:val="ListBullet"/>
      </w:pPr>
      <w:r>
        <w:t>Under Article 16(1)(13e) of the Polish Corporate Income Tax Act (effective January 1, 2018), taxpayers must exclude from tax-deductible costs any financial expenses incurred in acquiring shares</w:t>
      </w:r>
    </w:p>
    <w:p>
      <w:pPr>
        <w:pStyle w:val="ListBullet"/>
      </w:pPr>
      <w:r>
        <w:t xml:space="preserve">Expressly </w:t>
      </w:r>
      <w:r>
        <w:rPr>
          <w:b/>
        </w:rPr>
        <w:t>denies deductions</w:t>
      </w:r>
      <w:r>
        <w:t xml:space="preserve"> for interest on acquisition debt in corporate reorganizations</w:t>
      </w:r>
    </w:p>
    <w:p>
      <w:pPr>
        <w:pStyle w:val="ListBullet"/>
      </w:pPr>
      <w:r>
        <w:t xml:space="preserve">Applies to mergers, contributions, and </w:t>
      </w:r>
      <w:r>
        <w:rPr>
          <w:b/>
        </w:rPr>
        <w:t>tax group formations</w:t>
      </w:r>
    </w:p>
    <w:p>
      <w:pPr>
        <w:pStyle w:val="ListBullet"/>
      </w:pPr>
      <w:r>
        <w:t>Prevents taxpayers from "double dipping" through debt push-down</w:t>
      </w:r>
    </w:p>
    <w:p>
      <w:r>
        <w:rPr>
          <w:b/>
        </w:rPr>
        <w:t>General Anti-Avoidance Rules (GAAR):</w:t>
      </w:r>
    </w:p>
    <w:p>
      <w:pPr>
        <w:pStyle w:val="ListBullet"/>
      </w:pPr>
      <w:r>
        <w:t xml:space="preserve">UK, Australia, and other jurisdictions may apply </w:t>
      </w:r>
      <w:r>
        <w:rPr>
          <w:b/>
        </w:rPr>
        <w:t>GAAR</w:t>
      </w:r>
      <w:r>
        <w:t xml:space="preserve"> to deny benefits where:</w:t>
      </w:r>
    </w:p>
    <w:p>
      <w:pPr>
        <w:pStyle w:val="ListBullet"/>
        <w:ind w:left="360"/>
      </w:pPr>
      <w:r>
        <w:t>Principal purpose is tax avoidance</w:t>
      </w:r>
    </w:p>
    <w:p>
      <w:pPr>
        <w:pStyle w:val="ListBullet"/>
        <w:ind w:left="360"/>
      </w:pPr>
      <w:r>
        <w:t xml:space="preserve">Arrangement lacks </w:t>
      </w:r>
      <w:r>
        <w:rPr>
          <w:b/>
        </w:rPr>
        <w:t>commercial substance</w:t>
      </w:r>
    </w:p>
    <w:p>
      <w:pPr>
        <w:pStyle w:val="ListBullet"/>
        <w:ind w:left="360"/>
      </w:pPr>
      <w:r>
        <w:t>Defeats the purpose of tax legislation</w:t>
      </w:r>
    </w:p>
    <w:p>
      <w:r>
        <w:rPr>
          <w:b/>
        </w:rPr>
        <w:t>Economic Substance Tests:</w:t>
      </w:r>
    </w:p>
    <w:p>
      <w:pPr>
        <w:pStyle w:val="ListBullet"/>
      </w:pPr>
      <w:r>
        <w:t xml:space="preserve">SPV must have adequate </w:t>
      </w:r>
      <w:r>
        <w:rPr>
          <w:b/>
        </w:rPr>
        <w:t>equity capital</w:t>
      </w:r>
    </w:p>
    <w:p>
      <w:pPr>
        <w:pStyle w:val="ListBullet"/>
      </w:pPr>
      <w:r>
        <w:t xml:space="preserve">Must demonstrate </w:t>
      </w:r>
      <w:r>
        <w:rPr>
          <w:b/>
        </w:rPr>
        <w:t>decision-making</w:t>
      </w:r>
      <w:r>
        <w:t xml:space="preserve"> and </w:t>
      </w:r>
      <w:r>
        <w:rPr>
          <w:b/>
        </w:rPr>
        <w:t>risk management</w:t>
      </w:r>
      <w:r>
        <w:t xml:space="preserve"> at SPV level</w:t>
      </w:r>
    </w:p>
    <w:p>
      <w:pPr>
        <w:pStyle w:val="ListBullet"/>
      </w:pPr>
      <w:r>
        <w:t>Cannot be a "shell company" with no employees or functions</w:t>
      </w:r>
    </w:p>
    <w:p>
      <w:pPr>
        <w:pStyle w:val="Heading3"/>
      </w:pPr>
      <w:r>
        <w:t>4.3 Timing Considerations</w:t>
      </w:r>
    </w:p>
    <w:p>
      <w:pPr>
        <w:pStyle w:val="Heading4"/>
      </w:pPr>
      <w:r>
        <w:t>4.3.1 When to Push Down Debt</w:t>
      </w:r>
    </w:p>
    <w:p>
      <w:r>
        <w:t xml:space="preserve">Optimal timing depends on the target company's </w:t>
      </w:r>
      <w:r>
        <w:rPr>
          <w:b/>
        </w:rPr>
        <w:t>tax capacity</w:t>
      </w:r>
      <w:r>
        <w:t xml:space="preserve"> (ability to absorb deductions):</w:t>
      </w:r>
    </w:p>
    <w:p>
      <w:r>
        <w:rPr>
          <w:b/>
        </w:rPr>
        <w:t>Scenario 1: Target in Exploration Phase</w:t>
      </w:r>
    </w:p>
    <w:p>
      <w:pPr>
        <w:pStyle w:val="ListBullet"/>
      </w:pPr>
      <w:r>
        <w:t xml:space="preserve">Target has </w:t>
      </w:r>
      <w:r>
        <w:rPr>
          <w:b/>
        </w:rPr>
        <w:t>carry-forward tax losses</w:t>
      </w:r>
      <w:r>
        <w:t xml:space="preserve"> from exploration costs</w:t>
      </w:r>
    </w:p>
    <w:p>
      <w:pPr>
        <w:pStyle w:val="ListBullet"/>
      </w:pPr>
      <w:r>
        <w:rPr>
          <w:b/>
        </w:rPr>
        <w:t>No current taxable income</w:t>
      </w:r>
      <w:r>
        <w:t xml:space="preserve"> to shelter</w:t>
      </w:r>
    </w:p>
    <w:p>
      <w:pPr>
        <w:pStyle w:val="ListBullet"/>
      </w:pPr>
      <w:r>
        <w:rPr>
          <w:b/>
        </w:rPr>
        <w:t>Defer debt push-down</w:t>
      </w:r>
      <w:r>
        <w:t xml:space="preserve"> until Target reaches production and profitability</w:t>
      </w:r>
    </w:p>
    <w:p>
      <w:r>
        <w:rPr>
          <w:b/>
        </w:rPr>
        <w:t>Scenario 2: Target is Producing</w:t>
      </w:r>
    </w:p>
    <w:p>
      <w:pPr>
        <w:pStyle w:val="ListBullet"/>
      </w:pPr>
      <w:r>
        <w:t xml:space="preserve">Target generates substantial </w:t>
      </w:r>
      <w:r>
        <w:rPr>
          <w:b/>
        </w:rPr>
        <w:t>taxable income</w:t>
      </w:r>
    </w:p>
    <w:p>
      <w:pPr>
        <w:pStyle w:val="ListBullet"/>
      </w:pPr>
      <w:r>
        <w:rPr>
          <w:b/>
        </w:rPr>
        <w:t>Immediate benefit</w:t>
      </w:r>
      <w:r>
        <w:t xml:space="preserve"> from interest deductions</w:t>
      </w:r>
    </w:p>
    <w:p>
      <w:pPr>
        <w:pStyle w:val="ListBullet"/>
      </w:pPr>
      <w:r>
        <w:rPr>
          <w:b/>
        </w:rPr>
        <w:t>Push down debt promptly</w:t>
      </w:r>
      <w:r>
        <w:t xml:space="preserve"> after acquisition</w:t>
      </w:r>
    </w:p>
    <w:p>
      <w:pPr>
        <w:pStyle w:val="Heading4"/>
      </w:pPr>
      <w:r>
        <w:t>4.3.2 Loss Preservation</w:t>
      </w:r>
    </w:p>
    <w:p>
      <w:r>
        <w:t xml:space="preserve">Care must be taken to preserve Target's </w:t>
      </w:r>
      <w:r>
        <w:rPr>
          <w:b/>
        </w:rPr>
        <w:t>carry-forward losses</w:t>
      </w:r>
      <w:r>
        <w:t>:</w:t>
      </w:r>
    </w:p>
    <w:p>
      <w:pPr>
        <w:pStyle w:val="ListBullet"/>
      </w:pPr>
      <w:r>
        <w:t xml:space="preserve">Many jurisdictions impose </w:t>
      </w:r>
      <w:r>
        <w:rPr>
          <w:b/>
        </w:rPr>
        <w:t>loss restriction rules</w:t>
      </w:r>
      <w:r>
        <w:t xml:space="preserve"> on change of control</w:t>
      </w:r>
    </w:p>
    <w:p>
      <w:pPr>
        <w:pStyle w:val="ListBullet"/>
      </w:pPr>
      <w:r>
        <w:rPr>
          <w:b/>
        </w:rPr>
        <w:t>Continuity of business tests</w:t>
      </w:r>
      <w:r>
        <w:t xml:space="preserve"> may apply</w:t>
      </w:r>
    </w:p>
    <w:p>
      <w:pPr>
        <w:pStyle w:val="ListBullet"/>
      </w:pPr>
      <w:r>
        <w:rPr>
          <w:b/>
        </w:rPr>
        <w:t>50% ownership change</w:t>
      </w:r>
      <w:r>
        <w:t xml:space="preserve"> often triggers loss limitations (e.g., US Section 382)</w:t>
      </w:r>
    </w:p>
    <w:p>
      <w:r>
        <w:t>Debt push-down should be structured to avoid triggering loss restrictions.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5. PSC Regime Considerations</w:t>
      </w:r>
    </w:p>
    <w:p>
      <w:pPr>
        <w:pStyle w:val="Heading3"/>
      </w:pPr>
      <w:r>
        <w:t>5.1 Limitation on Cost Recovery</w:t>
      </w:r>
    </w:p>
    <w:p>
      <w:r>
        <w:rPr>
          <w:b/>
        </w:rPr>
        <w:t>Production Sharing Contracts</w:t>
      </w:r>
      <w:r>
        <w:t xml:space="preserve"> create unique challenges for interest deductibility:</w:t>
      </w:r>
    </w:p>
    <w:p>
      <w:pPr>
        <w:pStyle w:val="Heading4"/>
      </w:pPr>
      <w:r>
        <w:t>5.1.1 Financing Costs Excluded from Cost Oil</w:t>
      </w:r>
    </w:p>
    <w:p>
      <w:r>
        <w:t xml:space="preserve">Most PSC regimes </w:t>
      </w:r>
      <w:r>
        <w:rPr>
          <w:b/>
        </w:rPr>
        <w:t>exclude the following from cost oil recovery:</w:t>
      </w:r>
    </w:p>
    <w:p>
      <w:pPr>
        <w:pStyle w:val="ListBullet"/>
      </w:pPr>
      <w:r>
        <w:rPr>
          <w:b/>
        </w:rPr>
        <w:t>Interest expense</w:t>
      </w:r>
      <w:r>
        <w:t xml:space="preserve"> on acquisition debt</w:t>
      </w:r>
    </w:p>
    <w:p>
      <w:pPr>
        <w:pStyle w:val="ListBullet"/>
      </w:pPr>
      <w:r>
        <w:rPr>
          <w:b/>
        </w:rPr>
        <w:t>Signature bonuses</w:t>
      </w:r>
    </w:p>
    <w:p>
      <w:pPr>
        <w:pStyle w:val="ListBullet"/>
      </w:pPr>
      <w:r>
        <w:rPr>
          <w:b/>
        </w:rPr>
        <w:t>Financing charges</w:t>
      </w:r>
    </w:p>
    <w:p>
      <w:r>
        <w:rPr>
          <w:b/>
        </w:rPr>
        <w:t>Rationale:</w:t>
      </w:r>
    </w:p>
    <w:p>
      <w:pPr>
        <w:pStyle w:val="ListBullet"/>
      </w:pPr>
      <w:r>
        <w:t xml:space="preserve">PSCs are designed to recover </w:t>
      </w:r>
      <w:r>
        <w:rPr>
          <w:b/>
        </w:rPr>
        <w:t>exploration, development, and production costs</w:t>
      </w:r>
    </w:p>
    <w:p>
      <w:pPr>
        <w:pStyle w:val="ListBullet"/>
      </w:pPr>
      <w:r>
        <w:t xml:space="preserve">Acquisition financing is a </w:t>
      </w:r>
      <w:r>
        <w:rPr>
          <w:b/>
        </w:rPr>
        <w:t>capital transaction</w:t>
      </w:r>
      <w:r>
        <w:t xml:space="preserve"> at the investor level</w:t>
      </w:r>
    </w:p>
    <w:p>
      <w:pPr>
        <w:pStyle w:val="ListBullet"/>
      </w:pPr>
      <w:r>
        <w:t xml:space="preserve">Government receives its share through </w:t>
      </w:r>
      <w:r>
        <w:rPr>
          <w:b/>
        </w:rPr>
        <w:t>profit oil</w:t>
      </w:r>
      <w:r>
        <w:t>, not cost reimbursement</w:t>
      </w:r>
    </w:p>
    <w:p>
      <w:r>
        <w:rPr>
          <w:b/>
        </w:rPr>
        <w:t>Impact:</w:t>
      </w:r>
    </w:p>
    <w:p>
      <w:r>
        <w:t xml:space="preserve">Even if interest is </w:t>
      </w:r>
      <w:r>
        <w:rPr>
          <w:b/>
        </w:rPr>
        <w:t>deductible for corporate income tax</w:t>
      </w:r>
      <w:r>
        <w:t xml:space="preserve">, it </w:t>
      </w:r>
      <w:r>
        <w:rPr>
          <w:b/>
        </w:rPr>
        <w:t>cannot be recovered through cost oil</w:t>
      </w:r>
      <w:r>
        <w:t>.</w:t>
      </w:r>
    </w:p>
    <w:p>
      <w:pPr>
        <w:pStyle w:val="Heading4"/>
      </w:pPr>
      <w:r>
        <w:t>5.1.2 Corporate Tax on Profit Oil</w:t>
      </w:r>
    </w:p>
    <w:p>
      <w:r>
        <w:t xml:space="preserve">Interest deductions </w:t>
      </w:r>
      <w:r>
        <w:rPr>
          <w:b/>
        </w:rPr>
        <w:t>may be available</w:t>
      </w:r>
      <w:r>
        <w:t xml:space="preserve"> against corporate tax on the contractor's profit oil share, depending on the jurisdiction's tax laws:</w:t>
      </w:r>
    </w:p>
    <w:p>
      <w:r>
        <w:rPr>
          <w:b/>
        </w:rPr>
        <w:t>Indonesia:</w:t>
      </w:r>
    </w:p>
    <w:p>
      <w:pPr>
        <w:pStyle w:val="ListBullet"/>
      </w:pPr>
      <w:r>
        <w:t xml:space="preserve">Contractors pay </w:t>
      </w:r>
      <w:r>
        <w:rPr>
          <w:b/>
        </w:rPr>
        <w:t>corporate income tax</w:t>
      </w:r>
      <w:r>
        <w:t xml:space="preserve"> on profit oil</w:t>
      </w:r>
    </w:p>
    <w:p>
      <w:pPr>
        <w:pStyle w:val="ListBullet"/>
      </w:pPr>
      <w:r>
        <w:rPr>
          <w:b/>
        </w:rPr>
        <w:t>Note</w:t>
      </w:r>
      <w:r>
        <w:t>: Indonesia previously applied thin capitalization rules with a 4:1 debt-to-equity ratio (effective 2016-2018), but these rules have since been repealed. Transfer pricing principles now apply to related-party debt.</w:t>
      </w:r>
    </w:p>
    <w:p>
      <w:pPr>
        <w:pStyle w:val="ListBullet"/>
      </w:pPr>
      <w:r>
        <w:t>Participation exemption may restrict deductions on share acquisition debt</w:t>
      </w:r>
    </w:p>
    <w:p>
      <w:r>
        <w:rPr>
          <w:b/>
        </w:rPr>
        <w:t>Nigeria:</w:t>
      </w:r>
    </w:p>
    <w:p>
      <w:pPr>
        <w:pStyle w:val="ListBullet"/>
      </w:pPr>
      <w:r>
        <w:t xml:space="preserve">PSC contractors subject to </w:t>
      </w:r>
      <w:r>
        <w:rPr>
          <w:b/>
        </w:rPr>
        <w:t>Petroleum Profits Tax (PPT)</w:t>
      </w:r>
    </w:p>
    <w:p>
      <w:pPr>
        <w:pStyle w:val="ListBullet"/>
      </w:pPr>
      <w:r>
        <w:t>Interest deductibility varies by contract terms</w:t>
      </w:r>
    </w:p>
    <w:p>
      <w:pPr>
        <w:pStyle w:val="ListBullet"/>
      </w:pPr>
      <w:r>
        <w:t>Deep Offshore PSCs may have different treatment</w:t>
      </w:r>
    </w:p>
    <w:p>
      <w:r>
        <w:rPr>
          <w:b/>
        </w:rPr>
        <w:t>Malaysia:</w:t>
      </w:r>
    </w:p>
    <w:p>
      <w:pPr>
        <w:pStyle w:val="ListBullet"/>
      </w:pPr>
      <w:r>
        <w:t xml:space="preserve">Contractors under PSCs pay </w:t>
      </w:r>
      <w:r>
        <w:rPr>
          <w:b/>
        </w:rPr>
        <w:t>Petroleum Income Tax</w:t>
      </w:r>
    </w:p>
    <w:p>
      <w:pPr>
        <w:pStyle w:val="ListBullet"/>
      </w:pPr>
      <w:r>
        <w:t>Interest deductions permitted subject to general rules</w:t>
      </w:r>
    </w:p>
    <w:p>
      <w:pPr>
        <w:pStyle w:val="Heading3"/>
      </w:pPr>
      <w:r>
        <w:t>5.2 Planning Around PSC Limitations</w:t>
      </w:r>
    </w:p>
    <w:p>
      <w:r>
        <w:t>To maximize interest deductibility in PSC jurisdictions:</w:t>
      </w:r>
    </w:p>
    <w:p>
      <w:r>
        <w:rPr>
          <w:b/>
        </w:rPr>
        <w:t>Strategy 1: Parent-Level Deductions</w:t>
      </w:r>
    </w:p>
    <w:p>
      <w:pPr>
        <w:pStyle w:val="ListBullet"/>
      </w:pPr>
      <w:r>
        <w:t xml:space="preserve">Incur debt at </w:t>
      </w:r>
      <w:r>
        <w:rPr>
          <w:b/>
        </w:rPr>
        <w:t>parent company level</w:t>
      </w:r>
      <w:r>
        <w:t xml:space="preserve"> in home jurisdiction</w:t>
      </w:r>
    </w:p>
    <w:p>
      <w:pPr>
        <w:pStyle w:val="ListBullet"/>
      </w:pPr>
      <w:r>
        <w:t xml:space="preserve">Deduct interest against </w:t>
      </w:r>
      <w:r>
        <w:rPr>
          <w:b/>
        </w:rPr>
        <w:t>worldwide income</w:t>
      </w:r>
      <w:r>
        <w:t xml:space="preserve"> (if home country uses worldwide taxation)</w:t>
      </w:r>
    </w:p>
    <w:p>
      <w:pPr>
        <w:pStyle w:val="ListBullet"/>
      </w:pPr>
      <w:r>
        <w:t>Effective if parent has substantial non-PSC income</w:t>
      </w:r>
    </w:p>
    <w:p>
      <w:r>
        <w:rPr>
          <w:b/>
        </w:rPr>
        <w:t>Strategy 2: Regional Holding Company</w:t>
      </w:r>
    </w:p>
    <w:p>
      <w:pPr>
        <w:pStyle w:val="ListBullet"/>
      </w:pPr>
      <w:r>
        <w:t>Establish holding company in jurisdiction with:</w:t>
      </w:r>
    </w:p>
    <w:p>
      <w:pPr>
        <w:pStyle w:val="ListBullet"/>
        <w:ind w:left="360"/>
      </w:pPr>
      <w:r>
        <w:rPr>
          <w:b/>
        </w:rPr>
        <w:t>Tax consolidation</w:t>
      </w:r>
      <w:r>
        <w:t xml:space="preserve"> with other regional subsidiaries</w:t>
      </w:r>
    </w:p>
    <w:p>
      <w:pPr>
        <w:pStyle w:val="ListBullet"/>
        <w:ind w:left="360"/>
      </w:pPr>
      <w:r>
        <w:t>Favorable treatment of interest expense</w:t>
      </w:r>
    </w:p>
    <w:p>
      <w:pPr>
        <w:pStyle w:val="ListBullet"/>
        <w:ind w:left="360"/>
      </w:pPr>
      <w:r>
        <w:rPr>
          <w:b/>
        </w:rPr>
        <w:t>Tax treaty network</w:t>
      </w:r>
    </w:p>
    <w:p>
      <w:r>
        <w:rPr>
          <w:b/>
        </w:rPr>
        <w:t>Strategy 3: Portfolio Approach</w:t>
      </w:r>
    </w:p>
    <w:p>
      <w:pPr>
        <w:pStyle w:val="ListBullet"/>
      </w:pPr>
      <w:r>
        <w:t xml:space="preserve">Use debt financing at </w:t>
      </w:r>
      <w:r>
        <w:rPr>
          <w:b/>
        </w:rPr>
        <w:t>portfolio level</w:t>
      </w:r>
      <w:r>
        <w:t xml:space="preserve"> covering multiple projects</w:t>
      </w:r>
    </w:p>
    <w:p>
      <w:pPr>
        <w:pStyle w:val="ListBullet"/>
      </w:pPr>
      <w:r>
        <w:t xml:space="preserve">Allocate interest deductions across projects in </w:t>
      </w:r>
      <w:r>
        <w:rPr>
          <w:b/>
        </w:rPr>
        <w:t>tax and royalty regimes</w:t>
      </w:r>
      <w:r>
        <w:t xml:space="preserve"> (where deductible) and minimize allocation to PSC projects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6. International Tax Planning Strategies</w:t>
      </w:r>
    </w:p>
    <w:p>
      <w:pPr>
        <w:pStyle w:val="Heading3"/>
      </w:pPr>
      <w:r>
        <w:t>6.1 Choice of Acquisition Holding Company Jurisdiction</w:t>
      </w:r>
    </w:p>
    <w:p>
      <w:r>
        <w:t xml:space="preserve">Selection of the </w:t>
      </w:r>
      <w:r>
        <w:rPr>
          <w:b/>
        </w:rPr>
        <w:t>acquisition vehicle's jurisdiction</w:t>
      </w:r>
      <w:r>
        <w:t xml:space="preserve"> is critical for optimizing interest deductibility:</w:t>
      </w:r>
    </w:p>
    <w:p>
      <w:r>
        <w:rPr>
          <w:b/>
        </w:rPr>
        <w:t>Criteria for Jurisdiction Selection: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Factor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Preferred Characteristics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Interest deductibility</w:t>
            </w:r>
          </w:p>
        </w:tc>
        <w:tc>
          <w:tcPr>
            <w:tcW w:type="dxa" w:w="4320"/>
          </w:tcPr>
          <w:p>
            <w:r/>
            <w:r>
              <w:t>Allows deductions despite participation exemption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Tax consolidation</w:t>
            </w:r>
          </w:p>
        </w:tc>
        <w:tc>
          <w:tcPr>
            <w:tcW w:type="dxa" w:w="4320"/>
          </w:tcPr>
          <w:p>
            <w:r/>
            <w:r>
              <w:t>Permits group relief or fiscal unity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Thin capitalization</w:t>
            </w:r>
          </w:p>
        </w:tc>
        <w:tc>
          <w:tcPr>
            <w:tcW w:type="dxa" w:w="4320"/>
          </w:tcPr>
          <w:p>
            <w:r/>
            <w:r>
              <w:t>Generous debt-to-equity ratios or exemptions for third-party debt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Treaty network</w:t>
            </w:r>
          </w:p>
        </w:tc>
        <w:tc>
          <w:tcPr>
            <w:tcW w:type="dxa" w:w="4320"/>
          </w:tcPr>
          <w:p>
            <w:r/>
            <w:r>
              <w:t>Reduces withholding taxes on dividends, interest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Substance requirements</w:t>
            </w:r>
          </w:p>
        </w:tc>
        <w:tc>
          <w:tcPr>
            <w:tcW w:type="dxa" w:w="4320"/>
          </w:tcPr>
          <w:p>
            <w:r/>
            <w:r>
              <w:t>Manageable economic substance thresholds</w:t>
            </w:r>
          </w:p>
        </w:tc>
      </w:tr>
    </w:tbl>
    <w:p/>
    <w:p>
      <w:r>
        <w:rPr>
          <w:b/>
        </w:rPr>
        <w:t>Commonly Used Jurisdictions:</w:t>
      </w:r>
    </w:p>
    <w:p>
      <w:r>
        <w:rPr>
          <w:b/>
        </w:rPr>
        <w:t>Luxembourg:</w:t>
      </w:r>
    </w:p>
    <w:p>
      <w:pPr>
        <w:pStyle w:val="ListBullet"/>
      </w:pPr>
      <w:r>
        <w:t>Participation exemption with relatively favorable interest rules</w:t>
      </w:r>
    </w:p>
    <w:p>
      <w:pPr>
        <w:pStyle w:val="ListBullet"/>
      </w:pPr>
      <w:r>
        <w:t>Extensive tax treaty network</w:t>
      </w:r>
    </w:p>
    <w:p>
      <w:pPr>
        <w:pStyle w:val="ListBullet"/>
      </w:pPr>
      <w:r>
        <w:t>Accepts economic substance with proper structuring</w:t>
      </w:r>
    </w:p>
    <w:p>
      <w:r>
        <w:rPr>
          <w:b/>
        </w:rPr>
        <w:t>Netherlands:</w:t>
      </w:r>
    </w:p>
    <w:p>
      <w:pPr>
        <w:pStyle w:val="ListBullet"/>
      </w:pPr>
      <w:r>
        <w:t>Participation exemption (5% threshold)</w:t>
      </w:r>
    </w:p>
    <w:p>
      <w:pPr>
        <w:pStyle w:val="ListBullet"/>
      </w:pPr>
      <w:r>
        <w:t>Fiscal unity for 95%+ owned groups</w:t>
      </w:r>
    </w:p>
    <w:p>
      <w:pPr>
        <w:pStyle w:val="ListBullet"/>
      </w:pPr>
      <w:r>
        <w:t xml:space="preserve">However, </w:t>
      </w:r>
      <w:r>
        <w:rPr>
          <w:b/>
        </w:rPr>
        <w:t>interest limitation rules</w:t>
      </w:r>
      <w:r>
        <w:t xml:space="preserve"> can be restrictive</w:t>
      </w:r>
    </w:p>
    <w:p>
      <w:pPr>
        <w:pStyle w:val="ListBullet"/>
      </w:pPr>
      <w:r>
        <w:t>Requires significant substance under anti-abuse measures</w:t>
      </w:r>
    </w:p>
    <w:p>
      <w:r>
        <w:rPr>
          <w:b/>
        </w:rPr>
        <w:t>United Kingdom:</w:t>
      </w:r>
    </w:p>
    <w:p>
      <w:pPr>
        <w:pStyle w:val="ListBullet"/>
      </w:pPr>
      <w:r>
        <w:t>Allows interest deductions despite substantial shareholding exemption</w:t>
      </w:r>
    </w:p>
    <w:p>
      <w:pPr>
        <w:pStyle w:val="ListBullet"/>
      </w:pPr>
      <w:r>
        <w:t>75% group relief</w:t>
      </w:r>
    </w:p>
    <w:p>
      <w:pPr>
        <w:pStyle w:val="ListBullet"/>
      </w:pPr>
      <w:r>
        <w:t>Robust legal framework</w:t>
      </w:r>
    </w:p>
    <w:p>
      <w:r>
        <w:rPr>
          <w:b/>
        </w:rPr>
        <w:t>Singapore:</w:t>
      </w:r>
    </w:p>
    <w:p>
      <w:pPr>
        <w:pStyle w:val="ListBullet"/>
      </w:pPr>
      <w:r>
        <w:t>No thin capitalization rules (though transfer pricing applies)</w:t>
      </w:r>
    </w:p>
    <w:p>
      <w:pPr>
        <w:pStyle w:val="ListBullet"/>
      </w:pPr>
      <w:r>
        <w:t>Territorial tax system</w:t>
      </w:r>
    </w:p>
    <w:p>
      <w:pPr>
        <w:pStyle w:val="ListBullet"/>
      </w:pPr>
      <w:r>
        <w:t>Extensive treaty network</w:t>
      </w:r>
    </w:p>
    <w:p>
      <w:pPr>
        <w:pStyle w:val="Heading3"/>
      </w:pPr>
      <w:r>
        <w:t>6.2 Hybrid Instruments</w:t>
      </w:r>
    </w:p>
    <w:p>
      <w:r>
        <w:rPr>
          <w:b/>
        </w:rPr>
        <w:t>Hybrid securities</w:t>
      </w:r>
      <w:r>
        <w:t xml:space="preserve"> are financial instruments treated differently in two jurisdictions, creating </w:t>
      </w:r>
      <w:r>
        <w:rPr>
          <w:b/>
        </w:rPr>
        <w:t>double deductions</w:t>
      </w:r>
      <w:r>
        <w:t xml:space="preserve"> or </w:t>
      </w:r>
      <w:r>
        <w:rPr>
          <w:b/>
        </w:rPr>
        <w:t>deduction/no-inclusion</w:t>
      </w:r>
      <w:r>
        <w:t xml:space="preserve"> outcomes:</w:t>
      </w:r>
    </w:p>
    <w:p>
      <w:r>
        <w:rPr>
          <w:b/>
        </w:rPr>
        <w:t>Example:</w:t>
      </w:r>
    </w:p>
    <w:p>
      <w:pPr>
        <w:pStyle w:val="ListBullet"/>
      </w:pPr>
      <w:r>
        <w:t xml:space="preserve">Instrument treated as </w:t>
      </w:r>
      <w:r>
        <w:rPr>
          <w:b/>
        </w:rPr>
        <w:t>debt</w:t>
      </w:r>
      <w:r>
        <w:t xml:space="preserve"> in Country A (interest deductible)</w:t>
      </w:r>
    </w:p>
    <w:p>
      <w:pPr>
        <w:pStyle w:val="ListBullet"/>
      </w:pPr>
      <w:r>
        <w:t xml:space="preserve">Treated as </w:t>
      </w:r>
      <w:r>
        <w:rPr>
          <w:b/>
        </w:rPr>
        <w:t>equity</w:t>
      </w:r>
      <w:r>
        <w:t xml:space="preserve"> in Country B (exempt dividend income)</w:t>
      </w:r>
    </w:p>
    <w:p>
      <w:r>
        <w:rPr>
          <w:b/>
        </w:rPr>
        <w:t>BEPS Action 2 Response:</w:t>
      </w:r>
    </w:p>
    <w:p>
      <w:pPr>
        <w:pStyle w:val="ListBullet"/>
      </w:pPr>
      <w:r>
        <w:t xml:space="preserve">Most countries have enacted </w:t>
      </w:r>
      <w:r>
        <w:rPr>
          <w:b/>
        </w:rPr>
        <w:t>hybrid mismatch rules</w:t>
      </w:r>
      <w:r>
        <w:t xml:space="preserve"> to deny deductions where corresponding income is not taxed</w:t>
      </w:r>
    </w:p>
    <w:p>
      <w:pPr>
        <w:pStyle w:val="ListBullet"/>
      </w:pPr>
      <w:r>
        <w:t>Hybrid planning is now significantly restricted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7. Worked Examples</w:t>
      </w:r>
    </w:p>
    <w:p>
      <w:pPr>
        <w:pStyle w:val="Heading3"/>
      </w:pPr>
      <w:r>
        <w:t>WORKED EXAMPLE 1: Thin Capitalization and Earnings Stripping (US Section 163(j))</w:t>
      </w:r>
    </w:p>
    <w:p>
      <w:r>
        <w:rPr>
          <w:b/>
        </w:rPr>
        <w:t>Facts:</w:t>
      </w:r>
    </w:p>
    <w:p>
      <w:r>
        <w:t xml:space="preserve">US Parent Corp acquires Shale Oil Company, a US-based oil and gas producer, for </w:t>
      </w:r>
      <w:r>
        <w:rPr>
          <w:b/>
        </w:rPr>
        <w:t>$1 billion</w:t>
      </w:r>
      <w:r>
        <w:t>. The acquisition is financed with:</w:t>
      </w:r>
    </w:p>
    <w:p>
      <w:pPr>
        <w:pStyle w:val="ListBullet"/>
      </w:pPr>
      <w:r>
        <w:rPr>
          <w:b/>
        </w:rPr>
        <w:t>$700 million debt</w:t>
      </w:r>
      <w:r>
        <w:t xml:space="preserve"> from a bank syndicate at </w:t>
      </w:r>
      <w:r>
        <w:rPr>
          <w:b/>
        </w:rPr>
        <w:t>6% interest</w:t>
      </w:r>
      <w:r>
        <w:t xml:space="preserve"> = </w:t>
      </w:r>
      <w:r>
        <w:rPr>
          <w:b/>
        </w:rPr>
        <w:t>$42 million annual interest</w:t>
      </w:r>
    </w:p>
    <w:p>
      <w:pPr>
        <w:pStyle w:val="ListBullet"/>
      </w:pPr>
      <w:r>
        <w:rPr>
          <w:b/>
        </w:rPr>
        <w:t>$300 million equity</w:t>
      </w:r>
      <w:r>
        <w:t xml:space="preserve"> from US Parent's existing cash</w:t>
      </w:r>
    </w:p>
    <w:p>
      <w:r>
        <w:t>Shale Oil generates the following annual figures:</w:t>
      </w:r>
    </w:p>
    <w:p>
      <w:pPr>
        <w:pStyle w:val="ListBullet"/>
      </w:pPr>
      <w:r>
        <w:t xml:space="preserve">Revenue: </w:t>
      </w:r>
      <w:r>
        <w:rPr>
          <w:b/>
        </w:rPr>
        <w:t>$300 million</w:t>
      </w:r>
    </w:p>
    <w:p>
      <w:pPr>
        <w:pStyle w:val="ListBullet"/>
      </w:pPr>
      <w:r>
        <w:t xml:space="preserve">Operating expenses (excluding interest, depreciation, depletion): </w:t>
      </w:r>
      <w:r>
        <w:rPr>
          <w:b/>
        </w:rPr>
        <w:t>$150 million</w:t>
      </w:r>
    </w:p>
    <w:p>
      <w:pPr>
        <w:pStyle w:val="ListBullet"/>
      </w:pPr>
      <w:r>
        <w:rPr>
          <w:b/>
        </w:rPr>
        <w:t>Depreciation</w:t>
      </w:r>
      <w:r>
        <w:t xml:space="preserve">: </w:t>
      </w:r>
      <w:r>
        <w:rPr>
          <w:b/>
        </w:rPr>
        <w:t>$30 million</w:t>
      </w:r>
    </w:p>
    <w:p>
      <w:pPr>
        <w:pStyle w:val="ListBullet"/>
      </w:pPr>
      <w:r>
        <w:rPr>
          <w:b/>
        </w:rPr>
        <w:t>Percentage depletion</w:t>
      </w:r>
      <w:r>
        <w:t xml:space="preserve">: </w:t>
      </w:r>
      <w:r>
        <w:rPr>
          <w:b/>
        </w:rPr>
        <w:t>$25 million</w:t>
      </w:r>
      <w:r>
        <w:t xml:space="preserve"> (15% of revenue, subject to limits)</w:t>
      </w:r>
    </w:p>
    <w:p>
      <w:pPr>
        <w:pStyle w:val="ListBullet"/>
      </w:pPr>
      <w:r>
        <w:rPr>
          <w:b/>
        </w:rPr>
        <w:t>Taxable income before interest and depreciation/depletion</w:t>
      </w:r>
      <w:r>
        <w:t xml:space="preserve">: </w:t>
      </w:r>
      <w:r>
        <w:rPr>
          <w:b/>
        </w:rPr>
        <w:t>$150 million</w:t>
      </w:r>
    </w:p>
    <w:p>
      <w:r>
        <w:rPr>
          <w:b/>
        </w:rPr>
        <w:t>Corporate tax rate: 21%</w:t>
      </w:r>
    </w:p>
    <w:p>
      <w:r>
        <w:rPr>
          <w:b/>
        </w:rPr>
        <w:t>Thin Capitalization Test:</w:t>
      </w:r>
      <w:r>
        <w:t xml:space="preserve"> US does not have fixed debt-to-equity ratios but applies </w:t>
      </w:r>
      <w:r>
        <w:rPr>
          <w:b/>
        </w:rPr>
        <w:t>Section 163(j) earnings stripping</w:t>
      </w:r>
      <w:r>
        <w:t>.</w:t>
      </w:r>
    </w:p>
    <w:p>
      <w:r>
        <w:rPr>
          <w:b/>
        </w:rPr>
        <w:t>Required:</w:t>
      </w:r>
    </w:p>
    <w:p>
      <w:pPr>
        <w:pStyle w:val="ListNumber"/>
      </w:pPr>
      <w:r>
        <w:t xml:space="preserve">Calculate Shale Oil's </w:t>
      </w:r>
      <w:r>
        <w:rPr>
          <w:b/>
        </w:rPr>
        <w:t>Adjusted Taxable Income (ATI)</w:t>
      </w:r>
      <w:r>
        <w:t xml:space="preserve"> under Section 163(j)</w:t>
      </w:r>
    </w:p>
    <w:p>
      <w:pPr>
        <w:pStyle w:val="ListNumber"/>
      </w:pPr>
      <w:r>
        <w:t xml:space="preserve">Determine the </w:t>
      </w:r>
      <w:r>
        <w:rPr>
          <w:b/>
        </w:rPr>
        <w:t>maximum deductible interest expense</w:t>
      </w:r>
    </w:p>
    <w:p>
      <w:pPr>
        <w:pStyle w:val="ListNumber"/>
      </w:pPr>
      <w:r>
        <w:t xml:space="preserve">Calculate </w:t>
      </w:r>
      <w:r>
        <w:rPr>
          <w:b/>
        </w:rPr>
        <w:t>taxable income</w:t>
      </w:r>
      <w:r>
        <w:t xml:space="preserve"> and </w:t>
      </w:r>
      <w:r>
        <w:rPr>
          <w:b/>
        </w:rPr>
        <w:t>tax liability</w:t>
      </w:r>
    </w:p>
    <w:p>
      <w:pPr>
        <w:pStyle w:val="ListNumber"/>
      </w:pPr>
      <w:r>
        <w:t xml:space="preserve">Determine </w:t>
      </w:r>
      <w:r>
        <w:rPr>
          <w:b/>
        </w:rPr>
        <w:t>disallowed interest</w:t>
      </w:r>
      <w:r>
        <w:t xml:space="preserve"> and carryforward treatment</w:t>
      </w:r>
    </w:p>
    <w:p>
      <w:r>
        <w:rPr>
          <w:b/>
        </w:rPr>
        <w:t>Analysis:</w:t>
      </w:r>
    </w:p>
    <w:p>
      <w:r>
        <w:rPr>
          <w:b/>
        </w:rPr>
        <w:t>Part 1: Calculation of ATI</w:t>
      </w:r>
    </w:p>
    <w:p>
      <w:r>
        <w:t xml:space="preserve">For tax years beginning after December 31, 2024, </w:t>
      </w:r>
      <w:r>
        <w:rPr>
          <w:b/>
        </w:rPr>
        <w:t>ATI = EBITDA + Depletion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/>
            <w:r>
              <w:t>Revenue</w:t>
            </w:r>
          </w:p>
        </w:tc>
        <w:tc>
          <w:tcPr>
            <w:tcW w:type="dxa" w:w="4320"/>
          </w:tcPr>
          <w:p>
            <w:r/>
            <w:r>
              <w:t>$300M</w:t>
            </w:r>
          </w:p>
        </w:tc>
      </w:tr>
      <w:tr>
        <w:tc>
          <w:tcPr>
            <w:tcW w:type="dxa" w:w="4320"/>
          </w:tcPr>
          <w:p>
            <w:r/>
            <w:r>
              <w:t>Less: Operating expenses</w:t>
            </w:r>
          </w:p>
        </w:tc>
        <w:tc>
          <w:tcPr>
            <w:tcW w:type="dxa" w:w="4320"/>
          </w:tcPr>
          <w:p>
            <w:r/>
            <w:r>
              <w:t>($150M)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EBIT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$150M</w:t>
            </w:r>
          </w:p>
        </w:tc>
      </w:tr>
      <w:tr>
        <w:tc>
          <w:tcPr>
            <w:tcW w:type="dxa" w:w="4320"/>
          </w:tcPr>
          <w:p>
            <w:r/>
            <w:r>
              <w:t>Add back: Depreciation</w:t>
            </w:r>
          </w:p>
        </w:tc>
        <w:tc>
          <w:tcPr>
            <w:tcW w:type="dxa" w:w="4320"/>
          </w:tcPr>
          <w:p>
            <w:r/>
            <w:r>
              <w:t>$30M</w:t>
            </w:r>
          </w:p>
        </w:tc>
      </w:tr>
      <w:tr>
        <w:tc>
          <w:tcPr>
            <w:tcW w:type="dxa" w:w="4320"/>
          </w:tcPr>
          <w:p>
            <w:r/>
            <w:r>
              <w:t xml:space="preserve">Add back: </w:t>
            </w:r>
            <w:r>
              <w:rPr>
                <w:b/>
              </w:rPr>
              <w:t>Depletion</w:t>
            </w:r>
          </w:p>
        </w:tc>
        <w:tc>
          <w:tcPr>
            <w:tcW w:type="dxa" w:w="4320"/>
          </w:tcPr>
          <w:p>
            <w:r/>
            <w:r>
              <w:t>$25M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ATI (EBITDA + Depletion)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$205M</w:t>
            </w:r>
          </w:p>
        </w:tc>
      </w:tr>
    </w:tbl>
    <w:p/>
    <w:p>
      <w:r>
        <w:rPr>
          <w:b/>
        </w:rPr>
        <w:t>Part 2: Maximum Deductible Interest</w:t>
      </w:r>
    </w:p>
    <w:p>
      <w:r>
        <w:t xml:space="preserve">Under </w:t>
      </w:r>
      <w:r>
        <w:rPr>
          <w:b/>
        </w:rPr>
        <w:t>Section 163(j)</w:t>
      </w:r>
      <w:r>
        <w:t>:</w:t>
      </w:r>
    </w:p>
    <w:p>
      <w:pPr>
        <w:pStyle w:val="ListBullet"/>
      </w:pPr>
      <w:r>
        <w:rPr>
          <w:b/>
        </w:rPr>
        <w:t>Maximum deductible interest = 30% × ATI</w:t>
      </w:r>
    </w:p>
    <w:p>
      <w:pPr>
        <w:pStyle w:val="ListBullet"/>
      </w:pPr>
      <w:r>
        <w:rPr>
          <w:b/>
        </w:rPr>
        <w:t>= 30% × $205M = $61.5 million</w:t>
      </w:r>
    </w:p>
    <w:p>
      <w:r>
        <w:t xml:space="preserve">Actual interest expense: </w:t>
      </w:r>
      <w:r>
        <w:rPr>
          <w:b/>
        </w:rPr>
        <w:t>$42 million</w:t>
      </w:r>
    </w:p>
    <w:p>
      <w:r>
        <w:t xml:space="preserve">Since $42M &lt; $61.5M, </w:t>
      </w:r>
      <w:r>
        <w:rPr>
          <w:b/>
        </w:rPr>
        <w:t>all interest is deductible</w:t>
      </w:r>
      <w:r>
        <w:t xml:space="preserve"> (not limited by Section 163(j)).</w:t>
      </w:r>
    </w:p>
    <w:p>
      <w:r>
        <w:rPr>
          <w:b/>
        </w:rPr>
        <w:t>Part 3: Taxable Income and Tax Liability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/>
            <w:r>
              <w:t>EBIT</w:t>
            </w:r>
          </w:p>
        </w:tc>
        <w:tc>
          <w:tcPr>
            <w:tcW w:type="dxa" w:w="4320"/>
          </w:tcPr>
          <w:p>
            <w:r/>
            <w:r>
              <w:t>$150M</w:t>
            </w:r>
          </w:p>
        </w:tc>
      </w:tr>
      <w:tr>
        <w:tc>
          <w:tcPr>
            <w:tcW w:type="dxa" w:w="4320"/>
          </w:tcPr>
          <w:p>
            <w:r/>
            <w:r>
              <w:t>Less: Interest expense (fully deductible)</w:t>
            </w:r>
          </w:p>
        </w:tc>
        <w:tc>
          <w:tcPr>
            <w:tcW w:type="dxa" w:w="4320"/>
          </w:tcPr>
          <w:p>
            <w:r/>
            <w:r>
              <w:t>($42M)</w:t>
            </w:r>
          </w:p>
        </w:tc>
      </w:tr>
      <w:tr>
        <w:tc>
          <w:tcPr>
            <w:tcW w:type="dxa" w:w="4320"/>
          </w:tcPr>
          <w:p>
            <w:r/>
            <w:r>
              <w:t>Less: Depreciation</w:t>
            </w:r>
          </w:p>
        </w:tc>
        <w:tc>
          <w:tcPr>
            <w:tcW w:type="dxa" w:w="4320"/>
          </w:tcPr>
          <w:p>
            <w:r/>
            <w:r>
              <w:t>($30M)</w:t>
            </w:r>
          </w:p>
        </w:tc>
      </w:tr>
      <w:tr>
        <w:tc>
          <w:tcPr>
            <w:tcW w:type="dxa" w:w="4320"/>
          </w:tcPr>
          <w:p>
            <w:r/>
            <w:r>
              <w:t>Less: Depletion</w:t>
            </w:r>
          </w:p>
        </w:tc>
        <w:tc>
          <w:tcPr>
            <w:tcW w:type="dxa" w:w="4320"/>
          </w:tcPr>
          <w:p>
            <w:r/>
            <w:r>
              <w:t>($25M)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Taxable income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$53M</w:t>
            </w:r>
          </w:p>
        </w:tc>
      </w:tr>
      <w:tr>
        <w:tc>
          <w:tcPr>
            <w:tcW w:type="dxa" w:w="4320"/>
          </w:tcPr>
          <w:p>
            <w:r/>
            <w:r>
              <w:t>Tax at 21%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$11.13M</w:t>
            </w:r>
          </w:p>
        </w:tc>
      </w:tr>
    </w:tbl>
    <w:p/>
    <w:p>
      <w:r>
        <w:rPr>
          <w:b/>
        </w:rPr>
        <w:t>Part 4: No Disallowed Interest</w:t>
      </w:r>
    </w:p>
    <w:p>
      <w:r>
        <w:t xml:space="preserve">Since all $42M of interest is deductible, there is </w:t>
      </w:r>
      <w:r>
        <w:rPr>
          <w:b/>
        </w:rPr>
        <w:t>no disallowed interest</w:t>
      </w:r>
      <w:r>
        <w:t xml:space="preserve"> to carry forward.</w:t>
      </w:r>
    </w:p>
    <w:p>
      <w:r>
        <w:rPr>
          <w:b/>
        </w:rPr>
        <w:t>Impact of Depletion Add-Back:</w:t>
      </w:r>
    </w:p>
    <w:p>
      <w:r>
        <w:t xml:space="preserve">If depletion were </w:t>
      </w:r>
      <w:r>
        <w:rPr>
          <w:b/>
        </w:rPr>
        <w:t>not added back</w:t>
      </w:r>
      <w:r>
        <w:t xml:space="preserve"> to ATI:</w:t>
      </w:r>
    </w:p>
    <w:p>
      <w:pPr>
        <w:pStyle w:val="ListBullet"/>
      </w:pPr>
      <w:r>
        <w:t xml:space="preserve">ATI = $150M + $30M depreciation = </w:t>
      </w:r>
      <w:r>
        <w:rPr>
          <w:b/>
        </w:rPr>
        <w:t>$180M</w:t>
      </w:r>
    </w:p>
    <w:p>
      <w:pPr>
        <w:pStyle w:val="ListBullet"/>
      </w:pPr>
      <w:r>
        <w:t xml:space="preserve">Maximum interest = 30% × $180M = </w:t>
      </w:r>
      <w:r>
        <w:rPr>
          <w:b/>
        </w:rPr>
        <w:t>$54M</w:t>
      </w:r>
    </w:p>
    <w:p>
      <w:pPr>
        <w:pStyle w:val="ListBullet"/>
      </w:pPr>
      <w:r>
        <w:t xml:space="preserve">Still sufficient to cover $42M interest, but </w:t>
      </w:r>
      <w:r>
        <w:rPr>
          <w:b/>
        </w:rPr>
        <w:t>margin is reduced</w:t>
      </w:r>
    </w:p>
    <w:p>
      <w:r>
        <w:t>In cases with higher interest expense, the depletion add-back becomes critical.</w:t>
      </w:r>
    </w:p>
    <w:p>
      <w:r>
        <w:rPr>
          <w:b/>
        </w:rPr>
        <w:t>Tax Savings from Interest Deduction:</w:t>
      </w:r>
    </w:p>
    <w:p>
      <w:pPr>
        <w:pStyle w:val="ListBullet"/>
      </w:pPr>
      <w:r>
        <w:t xml:space="preserve">Interest deduction saves: $42M × 21% = </w:t>
      </w:r>
      <w:r>
        <w:rPr>
          <w:b/>
        </w:rPr>
        <w:t>$8.82M</w:t>
      </w:r>
      <w:r>
        <w:t xml:space="preserve"> annually</w:t>
      </w:r>
    </w:p>
    <w:p>
      <w:pPr>
        <w:pStyle w:val="ListBullet"/>
      </w:pPr>
      <w:r>
        <w:t xml:space="preserve">Present value over 10 years at 8% discount: </w:t>
      </w:r>
      <w:r>
        <w:rPr>
          <w:b/>
        </w:rPr>
        <w:t>$59.2M</w:t>
      </w:r>
    </w:p>
    <w:p>
      <w:r>
        <w:t>═══════════════════════════════════════════</w:t>
      </w:r>
    </w:p>
    <w:p>
      <w:pPr>
        <w:pStyle w:val="Heading3"/>
      </w:pPr>
      <w:r>
        <w:t>WORKED EXAMPLE 2: Debt Push-Down with Tax Consolidation</w:t>
      </w:r>
    </w:p>
    <w:p>
      <w:r>
        <w:rPr>
          <w:b/>
        </w:rPr>
        <w:t>Facts:</w:t>
      </w:r>
    </w:p>
    <w:p>
      <w:r>
        <w:t xml:space="preserve">Global Oil PLC (incorporated in </w:t>
      </w:r>
      <w:r>
        <w:rPr>
          <w:b/>
        </w:rPr>
        <w:t>UK</w:t>
      </w:r>
      <w:r>
        <w:t xml:space="preserve">) acquires </w:t>
      </w:r>
      <w:r>
        <w:rPr>
          <w:b/>
        </w:rPr>
        <w:t>100% of the shares</w:t>
      </w:r>
      <w:r>
        <w:t xml:space="preserve"> of Target Oil AS, a Norwegian oil and gas company, for </w:t>
      </w:r>
      <w:r>
        <w:rPr>
          <w:b/>
        </w:rPr>
        <w:t>€800 million</w:t>
      </w:r>
      <w:r>
        <w:t>.</w:t>
      </w:r>
    </w:p>
    <w:p>
      <w:r>
        <w:rPr>
          <w:b/>
        </w:rPr>
        <w:t>Financing Structure:</w:t>
      </w:r>
    </w:p>
    <w:p>
      <w:pPr>
        <w:pStyle w:val="ListBullet"/>
      </w:pPr>
      <w:r>
        <w:t xml:space="preserve">Global Oil establishes </w:t>
      </w:r>
      <w:r>
        <w:rPr>
          <w:b/>
        </w:rPr>
        <w:t>Target Holdco AS</w:t>
      </w:r>
      <w:r>
        <w:t>, a Norwegian subsidiary</w:t>
      </w:r>
    </w:p>
    <w:p>
      <w:pPr>
        <w:pStyle w:val="ListBullet"/>
      </w:pPr>
      <w:r>
        <w:t xml:space="preserve">Target Holdco borrows </w:t>
      </w:r>
      <w:r>
        <w:rPr>
          <w:b/>
        </w:rPr>
        <w:t>€600 million</w:t>
      </w:r>
      <w:r>
        <w:t xml:space="preserve"> from banks at </w:t>
      </w:r>
      <w:r>
        <w:rPr>
          <w:b/>
        </w:rPr>
        <w:t>5% interest</w:t>
      </w:r>
      <w:r>
        <w:t xml:space="preserve"> = </w:t>
      </w:r>
      <w:r>
        <w:rPr>
          <w:b/>
        </w:rPr>
        <w:t>€30 million/year</w:t>
      </w:r>
    </w:p>
    <w:p>
      <w:pPr>
        <w:pStyle w:val="ListBullet"/>
      </w:pPr>
      <w:r>
        <w:t xml:space="preserve">Global Oil contributes </w:t>
      </w:r>
      <w:r>
        <w:rPr>
          <w:b/>
        </w:rPr>
        <w:t>€200 million equity</w:t>
      </w:r>
      <w:r>
        <w:t xml:space="preserve"> to Target Holdco</w:t>
      </w:r>
    </w:p>
    <w:p>
      <w:pPr>
        <w:pStyle w:val="ListBullet"/>
      </w:pPr>
      <w:r>
        <w:t>Target Holdco uses total €800M to acquire Target Oil shares</w:t>
      </w:r>
    </w:p>
    <w:p>
      <w:r>
        <w:rPr>
          <w:b/>
        </w:rPr>
        <w:t>Target Oil Financial Information:</w:t>
      </w:r>
    </w:p>
    <w:p>
      <w:pPr>
        <w:pStyle w:val="ListBullet"/>
      </w:pPr>
      <w:r>
        <w:t xml:space="preserve">Annual </w:t>
      </w:r>
      <w:r>
        <w:rPr>
          <w:b/>
        </w:rPr>
        <w:t>taxable income</w:t>
      </w:r>
      <w:r>
        <w:t xml:space="preserve">: </w:t>
      </w:r>
      <w:r>
        <w:rPr>
          <w:b/>
        </w:rPr>
        <w:t>€100 million</w:t>
      </w:r>
      <w:r>
        <w:t xml:space="preserve"> (before interest and depreciation)</w:t>
      </w:r>
    </w:p>
    <w:p>
      <w:pPr>
        <w:pStyle w:val="ListBullet"/>
      </w:pPr>
      <w:r>
        <w:t xml:space="preserve">Annual </w:t>
      </w:r>
      <w:r>
        <w:rPr>
          <w:b/>
        </w:rPr>
        <w:t>depreciation</w:t>
      </w:r>
      <w:r>
        <w:t>: €15 million</w:t>
      </w:r>
    </w:p>
    <w:p>
      <w:pPr>
        <w:pStyle w:val="ListBullet"/>
      </w:pPr>
      <w:r>
        <w:rPr>
          <w:b/>
        </w:rPr>
        <w:t>Norwegian corporate tax rate</w:t>
      </w:r>
      <w:r>
        <w:t xml:space="preserve">: </w:t>
      </w:r>
      <w:r>
        <w:rPr>
          <w:b/>
        </w:rPr>
        <w:t>22%</w:t>
      </w:r>
    </w:p>
    <w:p>
      <w:r>
        <w:rPr>
          <w:b/>
        </w:rPr>
        <w:t>Norway Tax Rules:</w:t>
      </w:r>
    </w:p>
    <w:p>
      <w:pPr>
        <w:pStyle w:val="ListBullet"/>
      </w:pPr>
      <w:r>
        <w:t xml:space="preserve">Allows </w:t>
      </w:r>
      <w:r>
        <w:rPr>
          <w:b/>
        </w:rPr>
        <w:t>group contribution scheme</w:t>
      </w:r>
      <w:r>
        <w:t xml:space="preserve"> for Norwegian companies in 90%+ ownership</w:t>
      </w:r>
    </w:p>
    <w:p>
      <w:pPr>
        <w:pStyle w:val="ListBullet"/>
      </w:pPr>
      <w:r>
        <w:rPr>
          <w:b/>
        </w:rPr>
        <w:t>Thin capitalization</w:t>
      </w:r>
      <w:r>
        <w:t xml:space="preserve">: No specific debt-to-equity rules, but </w:t>
      </w:r>
      <w:r>
        <w:rPr>
          <w:b/>
        </w:rPr>
        <w:t>arm's length principle</w:t>
      </w:r>
      <w:r>
        <w:t xml:space="preserve"> applies to related-party debt</w:t>
      </w:r>
    </w:p>
    <w:p>
      <w:pPr>
        <w:pStyle w:val="ListBullet"/>
      </w:pPr>
      <w:r>
        <w:rPr>
          <w:b/>
        </w:rPr>
        <w:t>Interest limitation rule</w:t>
      </w:r>
      <w:r>
        <w:t>: Currently 25% of tax EBITDA (Norway adopted stricter rules than the OECD BEPS Action 4 recommendation of 30%)</w:t>
      </w:r>
    </w:p>
    <w:p>
      <w:r>
        <w:rPr>
          <w:b/>
        </w:rPr>
        <w:t>Required:</w:t>
      </w:r>
    </w:p>
    <w:p>
      <w:pPr>
        <w:pStyle w:val="ListNumber"/>
      </w:pPr>
      <w:r>
        <w:t>Determine if thin cap rules are breached</w:t>
      </w:r>
    </w:p>
    <w:p>
      <w:pPr>
        <w:pStyle w:val="ListNumber"/>
      </w:pPr>
      <w:r>
        <w:t xml:space="preserve">Calculate </w:t>
      </w:r>
      <w:r>
        <w:rPr>
          <w:b/>
        </w:rPr>
        <w:t>Section 163(j)-equivalent limitation</w:t>
      </w:r>
      <w:r>
        <w:t xml:space="preserve"> under Norwegian interest limitation</w:t>
      </w:r>
    </w:p>
    <w:p>
      <w:pPr>
        <w:pStyle w:val="ListNumber"/>
      </w:pPr>
      <w:r>
        <w:t xml:space="preserve">Calculate </w:t>
      </w:r>
      <w:r>
        <w:rPr>
          <w:b/>
        </w:rPr>
        <w:t>Norwegian tax liability</w:t>
      </w:r>
      <w:r>
        <w:t xml:space="preserve"> with and without debt push-down</w:t>
      </w:r>
    </w:p>
    <w:p>
      <w:pPr>
        <w:pStyle w:val="ListNumber"/>
      </w:pPr>
      <w:r>
        <w:t xml:space="preserve">Quantify </w:t>
      </w:r>
      <w:r>
        <w:rPr>
          <w:b/>
        </w:rPr>
        <w:t>annual tax savings</w:t>
      </w:r>
      <w:r>
        <w:t xml:space="preserve"> from debt push-down structure</w:t>
      </w:r>
    </w:p>
    <w:p>
      <w:r>
        <w:rPr>
          <w:b/>
        </w:rPr>
        <w:t>Analysis:</w:t>
      </w:r>
    </w:p>
    <w:p>
      <w:r>
        <w:rPr>
          <w:b/>
        </w:rPr>
        <w:t>Part 1: Thin Capitalization Assessment</w:t>
      </w:r>
    </w:p>
    <w:p>
      <w:r>
        <w:rPr>
          <w:b/>
        </w:rPr>
        <w:t>Target Holdco's balance sheet:</w:t>
      </w:r>
    </w:p>
    <w:p>
      <w:pPr>
        <w:pStyle w:val="ListBullet"/>
      </w:pPr>
      <w:r>
        <w:t>Assets: €800M (shares in Target Oil)</w:t>
      </w:r>
    </w:p>
    <w:p>
      <w:pPr>
        <w:pStyle w:val="ListBullet"/>
      </w:pPr>
      <w:r>
        <w:t>Debt: €600M</w:t>
      </w:r>
    </w:p>
    <w:p>
      <w:pPr>
        <w:pStyle w:val="ListBullet"/>
      </w:pPr>
      <w:r>
        <w:t>Equity: €200M</w:t>
      </w:r>
    </w:p>
    <w:p>
      <w:pPr>
        <w:pStyle w:val="ListBullet"/>
      </w:pPr>
      <w:r>
        <w:rPr>
          <w:b/>
        </w:rPr>
        <w:t>Debt-to-equity ratio: 3:1</w:t>
      </w:r>
    </w:p>
    <w:p>
      <w:r>
        <w:t xml:space="preserve">Norway does not have fixed debt-to-equity thin cap rules, but the </w:t>
      </w:r>
      <w:r>
        <w:rPr>
          <w:b/>
        </w:rPr>
        <w:t>3:1 ratio is within common market practices</w:t>
      </w:r>
      <w:r>
        <w:t xml:space="preserve"> for acquisition financing. The arm's length principle would likely accept this structure if third-party banks provided the debt.</w:t>
      </w:r>
    </w:p>
    <w:p>
      <w:r>
        <w:rPr>
          <w:b/>
        </w:rPr>
        <w:t>Part 2: Interest Limitation Rule (EBITDA-Based)</w:t>
      </w:r>
    </w:p>
    <w:p>
      <w:r>
        <w:rPr>
          <w:b/>
        </w:rPr>
        <w:t>Consolidated Group (Target Holdco + Target Oil):</w:t>
      </w:r>
    </w:p>
    <w:p>
      <w:r>
        <w:t>Target Holdco:</w:t>
      </w:r>
    </w:p>
    <w:p>
      <w:pPr>
        <w:pStyle w:val="ListBullet"/>
      </w:pPr>
      <w:r>
        <w:t>Interest expense: €30M</w:t>
      </w:r>
    </w:p>
    <w:p>
      <w:pPr>
        <w:pStyle w:val="ListBullet"/>
      </w:pPr>
      <w:r>
        <w:t>No operating income</w:t>
      </w:r>
    </w:p>
    <w:p>
      <w:r>
        <w:t>Target Oil:</w:t>
      </w:r>
    </w:p>
    <w:p>
      <w:pPr>
        <w:pStyle w:val="ListBullet"/>
      </w:pPr>
      <w:r>
        <w:t>Operating income: €100M</w:t>
      </w:r>
    </w:p>
    <w:p>
      <w:pPr>
        <w:pStyle w:val="ListBullet"/>
      </w:pPr>
      <w:r>
        <w:t>Depreciation: €15M</w:t>
      </w:r>
    </w:p>
    <w:p>
      <w:r>
        <w:rPr>
          <w:b/>
        </w:rPr>
        <w:t>Consolidated EBITDA:</w:t>
      </w:r>
    </w:p>
    <w:p>
      <w:pPr>
        <w:pStyle w:val="ListBullet"/>
      </w:pPr>
      <w:r>
        <w:t>EBIT: €100M (Target Oil)</w:t>
      </w:r>
    </w:p>
    <w:p>
      <w:pPr>
        <w:pStyle w:val="ListBullet"/>
      </w:pPr>
      <w:r>
        <w:t>Add back: Depreciation: €15M</w:t>
      </w:r>
    </w:p>
    <w:p>
      <w:pPr>
        <w:pStyle w:val="ListBullet"/>
      </w:pPr>
      <w:r>
        <w:rPr>
          <w:b/>
        </w:rPr>
        <w:t>EBITDA: €115M</w:t>
      </w:r>
    </w:p>
    <w:p>
      <w:r>
        <w:rPr>
          <w:b/>
        </w:rPr>
        <w:t>Maximum deductible interest (25% of tax EBITDA):</w:t>
      </w:r>
    </w:p>
    <w:p>
      <w:pPr>
        <w:pStyle w:val="ListBullet"/>
      </w:pPr>
      <w:r>
        <w:rPr>
          <w:b/>
        </w:rPr>
        <w:t>= 25% × €115M = €28.75M</w:t>
      </w:r>
    </w:p>
    <w:p>
      <w:r>
        <w:t xml:space="preserve">Actual interest: </w:t>
      </w:r>
      <w:r>
        <w:rPr>
          <w:b/>
        </w:rPr>
        <w:t>€30M</w:t>
      </w:r>
    </w:p>
    <w:p>
      <w:r>
        <w:t xml:space="preserve">Since €30M &gt; €28.75M, </w:t>
      </w:r>
      <w:r>
        <w:rPr>
          <w:b/>
        </w:rPr>
        <w:t>€1.25M of interest is non-deductible</w:t>
      </w:r>
      <w:r>
        <w:t xml:space="preserve"> under Norway's interest limitation rule. Only €28.75M is deductible.</w:t>
      </w:r>
    </w:p>
    <w:p>
      <w:r>
        <w:rPr>
          <w:b/>
        </w:rPr>
        <w:t>Part 3: Tax Liability Comparison</w:t>
      </w:r>
    </w:p>
    <w:p>
      <w:r>
        <w:rPr>
          <w:b/>
        </w:rPr>
        <w:t>(a) Without Debt Push-Down (Global Oil borrows at UK parent level):</w:t>
      </w:r>
    </w:p>
    <w:p>
      <w:r>
        <w:t>Target Oil standalone (Norway):</w:t>
      </w:r>
    </w:p>
    <w:p>
      <w:pPr>
        <w:pStyle w:val="ListBullet"/>
      </w:pPr>
      <w:r>
        <w:t xml:space="preserve">Taxable income: €100M - €15M depreciation = </w:t>
      </w:r>
      <w:r>
        <w:rPr>
          <w:b/>
        </w:rPr>
        <w:t>€85M</w:t>
      </w:r>
    </w:p>
    <w:p>
      <w:pPr>
        <w:pStyle w:val="ListBullet"/>
      </w:pPr>
      <w:r>
        <w:t xml:space="preserve">Norwegian tax at 22%: </w:t>
      </w:r>
      <w:r>
        <w:rPr>
          <w:b/>
        </w:rPr>
        <w:t>€18.7M</w:t>
      </w:r>
    </w:p>
    <w:p>
      <w:r>
        <w:t>Global Oil (UK):</w:t>
      </w:r>
    </w:p>
    <w:p>
      <w:pPr>
        <w:pStyle w:val="ListBullet"/>
      </w:pPr>
      <w:r>
        <w:t>Interest expense: €30M (deductible in UK against other income)</w:t>
      </w:r>
    </w:p>
    <w:p>
      <w:pPr>
        <w:pStyle w:val="ListBullet"/>
      </w:pPr>
      <w:r>
        <w:t>Assume UK tax rate 19%: UK tax relief = €30M × 19% = €5.7M</w:t>
      </w:r>
    </w:p>
    <w:p>
      <w:r>
        <w:rPr>
          <w:b/>
        </w:rPr>
        <w:t>Total group tax: €18.7M (Norway) - €5.7M (UK relief) = €13.0M net</w:t>
      </w:r>
    </w:p>
    <w:p>
      <w:r>
        <w:rPr>
          <w:b/>
        </w:rPr>
        <w:t>(b) With Debt Push-Down and Consolidation:</w:t>
      </w:r>
    </w:p>
    <w:p>
      <w:r>
        <w:rPr>
          <w:b/>
        </w:rPr>
        <w:t>Consolidated Norwegian Group (Target Holdco + Target Oil):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/>
            <w:r>
              <w:t>Target Oil operating income</w:t>
            </w:r>
          </w:p>
        </w:tc>
        <w:tc>
          <w:tcPr>
            <w:tcW w:type="dxa" w:w="4320"/>
          </w:tcPr>
          <w:p>
            <w:r/>
            <w:r>
              <w:t>€100M</w:t>
            </w:r>
          </w:p>
        </w:tc>
      </w:tr>
      <w:tr>
        <w:tc>
          <w:tcPr>
            <w:tcW w:type="dxa" w:w="4320"/>
          </w:tcPr>
          <w:p>
            <w:r/>
            <w:r>
              <w:t>Less: Deductible interest (Target Holdco)</w:t>
            </w:r>
          </w:p>
        </w:tc>
        <w:tc>
          <w:tcPr>
            <w:tcW w:type="dxa" w:w="4320"/>
          </w:tcPr>
          <w:p>
            <w:r/>
            <w:r>
              <w:t>(€28.75M)</w:t>
            </w:r>
          </w:p>
        </w:tc>
      </w:tr>
      <w:tr>
        <w:tc>
          <w:tcPr>
            <w:tcW w:type="dxa" w:w="4320"/>
          </w:tcPr>
          <w:p>
            <w:r/>
            <w:r>
              <w:t>Less: Depreciation (Target Oil)</w:t>
            </w:r>
          </w:p>
        </w:tc>
        <w:tc>
          <w:tcPr>
            <w:tcW w:type="dxa" w:w="4320"/>
          </w:tcPr>
          <w:p>
            <w:r/>
            <w:r>
              <w:t>(€15M)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Consolidated taxable income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€56.25M</w:t>
            </w:r>
          </w:p>
        </w:tc>
      </w:tr>
      <w:tr>
        <w:tc>
          <w:tcPr>
            <w:tcW w:type="dxa" w:w="4320"/>
          </w:tcPr>
          <w:p>
            <w:r/>
            <w:r>
              <w:t>Norwegian tax at 22%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€12.375M</w:t>
            </w:r>
          </w:p>
        </w:tc>
      </w:tr>
    </w:tbl>
    <w:p/>
    <w:p>
      <w:r>
        <w:rPr>
          <w:b/>
        </w:rPr>
        <w:t>Note</w:t>
      </w:r>
      <w:r>
        <w:t>: €1.25M of interest is non-deductible due to the 25% EBITDA limitation.</w:t>
      </w:r>
    </w:p>
    <w:p>
      <w:r>
        <w:t>Global Oil (UK):</w:t>
      </w:r>
    </w:p>
    <w:p>
      <w:pPr>
        <w:pStyle w:val="ListBullet"/>
      </w:pPr>
      <w:r>
        <w:t>No interest expense at UK level</w:t>
      </w:r>
    </w:p>
    <w:p>
      <w:r>
        <w:rPr>
          <w:b/>
        </w:rPr>
        <w:t>Total group tax: €12.375M</w:t>
      </w:r>
    </w:p>
    <w:p>
      <w:r>
        <w:rPr>
          <w:b/>
        </w:rPr>
        <w:t>Part 4: Tax Savings</w:t>
      </w:r>
    </w:p>
    <w:p>
      <w:r>
        <w:rPr>
          <w:b/>
        </w:rPr>
        <w:t>Annual tax savings from debt push-down:</w:t>
      </w:r>
    </w:p>
    <w:p>
      <w:pPr>
        <w:pStyle w:val="ListBullet"/>
      </w:pPr>
      <w:r>
        <w:t>Without debt push-down: €13.0M</w:t>
      </w:r>
    </w:p>
    <w:p>
      <w:pPr>
        <w:pStyle w:val="ListBullet"/>
      </w:pPr>
      <w:r>
        <w:t>With debt push-down: €12.375M</w:t>
      </w:r>
    </w:p>
    <w:p>
      <w:pPr>
        <w:pStyle w:val="ListBullet"/>
      </w:pPr>
      <w:r>
        <w:rPr>
          <w:b/>
        </w:rPr>
        <w:t>Savings: €0.625M per year</w:t>
      </w:r>
      <w:r>
        <w:t xml:space="preserve"> (approx. </w:t>
      </w:r>
      <w:r>
        <w:rPr>
          <w:b/>
        </w:rPr>
        <w:t>4.8% improvement</w:t>
      </w:r>
      <w:r>
        <w:t>)</w:t>
      </w:r>
    </w:p>
    <w:p>
      <w:r>
        <w:t xml:space="preserve">Over 10 years (assuming debt remains): </w:t>
      </w:r>
      <w:r>
        <w:rPr>
          <w:b/>
        </w:rPr>
        <w:t>€6.25M cumulative</w:t>
      </w:r>
    </w:p>
    <w:p>
      <w:r>
        <w:t xml:space="preserve">Present value at 7% discount: </w:t>
      </w:r>
      <w:r>
        <w:rPr>
          <w:b/>
        </w:rPr>
        <w:t>€4.4M</w:t>
      </w:r>
    </w:p>
    <w:p>
      <w:r>
        <w:rPr>
          <w:b/>
        </w:rPr>
        <w:t>Explanation of Savings:</w:t>
      </w:r>
    </w:p>
    <w:p>
      <w:r>
        <w:t xml:space="preserve">The debt push-down structure allows interest deductions (subject to the 25% EBITDA limitation) to offset Norwegian income taxed at </w:t>
      </w:r>
      <w:r>
        <w:rPr>
          <w:b/>
        </w:rPr>
        <w:t>22%</w:t>
      </w:r>
      <w:r>
        <w:t xml:space="preserve">, compared to UK tax relief at </w:t>
      </w:r>
      <w:r>
        <w:rPr>
          <w:b/>
        </w:rPr>
        <w:t>19%</w:t>
      </w:r>
      <w:r>
        <w:t xml:space="preserve">. The </w:t>
      </w:r>
      <w:r>
        <w:rPr>
          <w:b/>
        </w:rPr>
        <w:t>3 percentage point differential</w:t>
      </w:r>
      <w:r>
        <w:t xml:space="preserve"> creates the annual benefit, though it is partially offset by the €1.25M non-deductible interest under Norway's interest limitation rule.</w:t>
      </w:r>
    </w:p>
    <w:p>
      <w:r>
        <w:rPr>
          <w:b/>
        </w:rPr>
        <w:t>Additional Benefits:</w:t>
      </w:r>
    </w:p>
    <w:p>
      <w:pPr>
        <w:pStyle w:val="ListBullet"/>
      </w:pPr>
      <w:r>
        <w:t>Simplified group structure (all operations in Norway)</w:t>
      </w:r>
    </w:p>
    <w:p>
      <w:pPr>
        <w:pStyle w:val="ListBullet"/>
      </w:pPr>
      <w:r>
        <w:t>No cross-border withholding taxes on interest payments</w:t>
      </w:r>
    </w:p>
    <w:p>
      <w:pPr>
        <w:pStyle w:val="ListBullet"/>
      </w:pPr>
      <w:r>
        <w:t>Better alignment of debt with operating cash flows</w:t>
      </w:r>
    </w:p>
    <w:p>
      <w:r>
        <w:rPr>
          <w:b/>
        </w:rPr>
        <w:t>Risks and Considerations:</w:t>
      </w:r>
    </w:p>
    <w:p>
      <w:pPr>
        <w:pStyle w:val="ListBullet"/>
      </w:pPr>
      <w:r>
        <w:t xml:space="preserve">Norwegian tax authorities may challenge the </w:t>
      </w:r>
      <w:r>
        <w:rPr>
          <w:b/>
        </w:rPr>
        <w:t>commercial substance</w:t>
      </w:r>
      <w:r>
        <w:t xml:space="preserve"> of Target Holdco</w:t>
      </w:r>
    </w:p>
    <w:p>
      <w:pPr>
        <w:pStyle w:val="ListBullet"/>
      </w:pPr>
      <w:r>
        <w:rPr>
          <w:b/>
        </w:rPr>
        <w:t>Transfer pricing</w:t>
      </w:r>
      <w:r>
        <w:t xml:space="preserve"> scrutiny if future intra-group loans are used</w:t>
      </w:r>
    </w:p>
    <w:p>
      <w:pPr>
        <w:pStyle w:val="ListBullet"/>
      </w:pPr>
      <w:r>
        <w:rPr>
          <w:b/>
        </w:rPr>
        <w:t>BEPS anti-avoidance</w:t>
      </w:r>
      <w:r>
        <w:t xml:space="preserve"> measures may apply if structure lacks economic purpose</w:t>
      </w:r>
    </w:p>
    <w:p>
      <w:pPr>
        <w:pStyle w:val="ListBullet"/>
      </w:pPr>
      <w:r>
        <w:rPr>
          <w:b/>
        </w:rPr>
        <w:t>Change of control</w:t>
      </w:r>
      <w:r>
        <w:t xml:space="preserve"> provisions in licenses may require government approval</w:t>
      </w:r>
    </w:p>
    <w:p>
      <w:r>
        <w:t>═══════════════════════════════════════════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