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Depreciation and asset step up</w:t>
      </w:r>
    </w:p>
    <w:p>
      <w:pPr>
        <w:pStyle w:val="Heading1"/>
      </w:pPr>
      <w:r>
        <w:t>ADIT Module 3.04 - Energy Resources Option</w:t>
      </w:r>
    </w:p>
    <w:p>
      <w:pPr>
        <w:pStyle w:val="Heading2"/>
      </w:pPr>
      <w:r>
        <w:t>Topic 30: Mergers and Acquisitions</w:t>
      </w:r>
    </w:p>
    <w:p>
      <w:pPr>
        <w:pStyle w:val="Heading3"/>
      </w:pPr>
      <w:r>
        <w:t>Depreciation and Asset Step Up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1. Introduction</w:t>
      </w:r>
    </w:p>
    <w:p>
      <w:pPr>
        <w:pStyle w:val="Heading3"/>
      </w:pPr>
      <w:r>
        <w:t>1.1 The Value of Tax Basis</w:t>
      </w:r>
    </w:p>
    <w:p>
      <w:r>
        <w:t xml:space="preserve">In oil and gas acquisitions, the </w:t>
      </w:r>
      <w:r>
        <w:rPr>
          <w:b/>
        </w:rPr>
        <w:t>tax basis</w:t>
      </w:r>
      <w:r>
        <w:t xml:space="preserve"> of acquired assets determines the quantum and timing of future </w:t>
      </w:r>
      <w:r>
        <w:rPr>
          <w:b/>
        </w:rPr>
        <w:t>depreciation</w:t>
      </w:r>
      <w:r>
        <w:t xml:space="preserve">, </w:t>
      </w:r>
      <w:r>
        <w:rPr>
          <w:b/>
        </w:rPr>
        <w:t>depletion</w:t>
      </w:r>
      <w:r>
        <w:t xml:space="preserve">, and </w:t>
      </w:r>
      <w:r>
        <w:rPr>
          <w:b/>
        </w:rPr>
        <w:t>amortization</w:t>
      </w:r>
      <w:r>
        <w:t xml:space="preserve"> deductions. A higher tax basis translates directly into:</w:t>
      </w:r>
    </w:p>
    <w:p>
      <w:pPr>
        <w:pStyle w:val="ListBullet"/>
      </w:pPr>
      <w:r>
        <w:t>Greater annual tax deductions</w:t>
      </w:r>
    </w:p>
    <w:p>
      <w:pPr>
        <w:pStyle w:val="ListBullet"/>
      </w:pPr>
      <w:r>
        <w:t>Lower effective tax rate</w:t>
      </w:r>
    </w:p>
    <w:p>
      <w:pPr>
        <w:pStyle w:val="ListBullet"/>
      </w:pPr>
      <w:r>
        <w:t>Enhanced after-tax cash flow</w:t>
      </w:r>
    </w:p>
    <w:p>
      <w:pPr>
        <w:pStyle w:val="ListBullet"/>
      </w:pPr>
      <w:r>
        <w:t>Increased transaction value</w:t>
      </w:r>
    </w:p>
    <w:p>
      <w:r>
        <w:t xml:space="preserve">The ability to obtain a </w:t>
      </w:r>
      <w:r>
        <w:rPr>
          <w:b/>
        </w:rPr>
        <w:t>stepped-up tax basis</w:t>
      </w:r>
      <w:r>
        <w:t xml:space="preserve"> (increasing the basis from the seller's historical cost to the purchase price) can add 10-25% to the present value of an acquisition, making it one of the most significant tax value drivers in M&amp;A transactions.</w:t>
      </w:r>
    </w:p>
    <w:p>
      <w:pPr>
        <w:pStyle w:val="Heading3"/>
      </w:pPr>
      <w:r>
        <w:t>1.2 Asset Step-Up: Definition and Mechanics</w:t>
      </w:r>
    </w:p>
    <w:p>
      <w:r>
        <w:t xml:space="preserve">An </w:t>
      </w:r>
      <w:r>
        <w:rPr>
          <w:b/>
        </w:rPr>
        <w:t>asset step-up</w:t>
      </w:r>
      <w:r>
        <w:t xml:space="preserve"> occurs when the purchaser obtains a </w:t>
      </w:r>
      <w:r>
        <w:rPr>
          <w:b/>
        </w:rPr>
        <w:t>tax basis</w:t>
      </w:r>
      <w:r>
        <w:t xml:space="preserve"> in acquired assets equal to their </w:t>
      </w:r>
      <w:r>
        <w:rPr>
          <w:b/>
        </w:rPr>
        <w:t>fair market value</w:t>
      </w:r>
      <w:r>
        <w:t xml:space="preserve"> or </w:t>
      </w:r>
      <w:r>
        <w:rPr>
          <w:b/>
        </w:rPr>
        <w:t>purchase price allocation</w:t>
      </w:r>
      <w:r>
        <w:t>, rather than inheriting the seller's historical basis.</w:t>
      </w:r>
    </w:p>
    <w:p>
      <w:r>
        <w:rPr>
          <w:b/>
        </w:rPr>
        <w:t>Example:</w:t>
      </w:r>
    </w:p>
    <w:p>
      <w:pPr>
        <w:pStyle w:val="ListBullet"/>
      </w:pPr>
      <w:r>
        <w:t xml:space="preserve">Seller's tax basis in oil production equipment: </w:t>
      </w:r>
      <w:r>
        <w:rPr>
          <w:b/>
        </w:rPr>
        <w:t>$20 million</w:t>
      </w:r>
      <w:r>
        <w:t xml:space="preserve"> (original cost $50M, less accumulated depreciation $30M)</w:t>
      </w:r>
    </w:p>
    <w:p>
      <w:pPr>
        <w:pStyle w:val="ListBullet"/>
      </w:pPr>
      <w:r>
        <w:t xml:space="preserve">Purchase price allocated to equipment: </w:t>
      </w:r>
      <w:r>
        <w:rPr>
          <w:b/>
        </w:rPr>
        <w:t>$60 million</w:t>
      </w:r>
    </w:p>
    <w:p>
      <w:pPr>
        <w:pStyle w:val="ListBullet"/>
      </w:pPr>
      <w:r>
        <w:rPr>
          <w:b/>
        </w:rPr>
        <w:t>Step-up:</w:t>
      </w:r>
      <w:r>
        <w:t xml:space="preserve"> Buyer's basis = </w:t>
      </w:r>
      <w:r>
        <w:rPr>
          <w:b/>
        </w:rPr>
        <w:t>$60 million</w:t>
      </w:r>
      <w:r>
        <w:t xml:space="preserve"> (not $20 million)</w:t>
      </w:r>
    </w:p>
    <w:p>
      <w:pPr>
        <w:pStyle w:val="ListBullet"/>
      </w:pPr>
      <w:r>
        <w:rPr>
          <w:b/>
        </w:rPr>
        <w:t>Incremental basis: $40 million</w:t>
      </w:r>
    </w:p>
    <w:p>
      <w:r>
        <w:t>This additional $40 million basis can be depreciated over the asset's remaining useful life, generating substantial tax savings.</w:t>
      </w:r>
    </w:p>
    <w:p>
      <w:pPr>
        <w:pStyle w:val="Heading3"/>
      </w:pPr>
      <w:r>
        <w:t>1.3 Examination Focus</w:t>
      </w:r>
    </w:p>
    <w:p>
      <w:r>
        <w:t>Candidates must understand:</w:t>
      </w:r>
    </w:p>
    <w:p>
      <w:pPr>
        <w:pStyle w:val="ListBullet"/>
      </w:pPr>
      <w:r>
        <w:t>Conditions under which step-up is available</w:t>
      </w:r>
    </w:p>
    <w:p>
      <w:pPr>
        <w:pStyle w:val="ListBullet"/>
      </w:pPr>
      <w:r>
        <w:t>Asset classification and depreciation methods</w:t>
      </w:r>
    </w:p>
    <w:p>
      <w:pPr>
        <w:pStyle w:val="ListBullet"/>
      </w:pPr>
      <w:r>
        <w:t>Purchase price allocation (PPA) principles</w:t>
      </w:r>
    </w:p>
    <w:p>
      <w:pPr>
        <w:pStyle w:val="ListBullet"/>
      </w:pPr>
      <w:r>
        <w:t xml:space="preserve">Interaction with </w:t>
      </w:r>
      <w:r>
        <w:rPr>
          <w:b/>
        </w:rPr>
        <w:t>Section 1245/1250 recapture</w:t>
      </w:r>
      <w:r>
        <w:t xml:space="preserve"> rules</w:t>
      </w:r>
    </w:p>
    <w:p>
      <w:pPr>
        <w:pStyle w:val="ListBullet"/>
      </w:pPr>
      <w:r>
        <w:t>Goodwill and intangible assets treatment</w:t>
      </w:r>
    </w:p>
    <w:p>
      <w:pPr>
        <w:pStyle w:val="ListBullet"/>
      </w:pPr>
      <w:r>
        <w:t>Cross-border and treaty implications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2. Conditions for Asset Step-Up</w:t>
      </w:r>
    </w:p>
    <w:p>
      <w:pPr>
        <w:pStyle w:val="Heading3"/>
      </w:pPr>
      <w:r>
        <w:t>2.1 Asset Purchase vs. Share Purchase</w:t>
      </w:r>
    </w:p>
    <w:p>
      <w:pPr>
        <w:pStyle w:val="Heading4"/>
      </w:pPr>
      <w:r>
        <w:t>2.1.1 Asset Purchase → Step-Up Available</w:t>
      </w:r>
    </w:p>
    <w:p>
      <w:r>
        <w:t xml:space="preserve">When a buyer acquires </w:t>
      </w:r>
      <w:r>
        <w:rPr>
          <w:b/>
        </w:rPr>
        <w:t>specific assets</w:t>
      </w:r>
      <w:r>
        <w:t xml:space="preserve"> (petroleum licenses, drilling rigs, pipelines, production facilities), the buyer establishes a </w:t>
      </w:r>
      <w:r>
        <w:rPr>
          <w:b/>
        </w:rPr>
        <w:t>new tax basis</w:t>
      </w:r>
      <w:r>
        <w:t xml:space="preserve"> equal to:</w:t>
      </w:r>
    </w:p>
    <w:p>
      <w:pPr>
        <w:pStyle w:val="ListBullet"/>
      </w:pPr>
      <w:r>
        <w:rPr>
          <w:b/>
        </w:rPr>
        <w:t>Purchase price</w:t>
      </w:r>
      <w:r>
        <w:t xml:space="preserve"> allocated to each asset, </w:t>
      </w:r>
      <w:r>
        <w:rPr>
          <w:b/>
        </w:rPr>
        <w:t>plus</w:t>
      </w:r>
    </w:p>
    <w:p>
      <w:pPr>
        <w:pStyle w:val="ListBullet"/>
      </w:pPr>
      <w:r>
        <w:rPr>
          <w:b/>
        </w:rPr>
        <w:t>Transaction costs</w:t>
      </w:r>
      <w:r>
        <w:t xml:space="preserve"> directly attributable to asset acquisition (legal fees, due diligence, transfer taxes)</w:t>
      </w:r>
    </w:p>
    <w:p>
      <w:r>
        <w:rPr>
          <w:b/>
        </w:rPr>
        <w:t>Statutory Basis:</w:t>
      </w:r>
    </w:p>
    <w:p>
      <w:pPr>
        <w:pStyle w:val="ListBullet"/>
      </w:pPr>
      <w:r>
        <w:rPr>
          <w:b/>
        </w:rPr>
        <w:t>US</w:t>
      </w:r>
      <w:r>
        <w:t>: US Internal Revenue Code Section 1012 - basis = cost</w:t>
      </w:r>
    </w:p>
    <w:p>
      <w:pPr>
        <w:pStyle w:val="ListBullet"/>
      </w:pPr>
      <w:r>
        <w:rPr>
          <w:b/>
        </w:rPr>
        <w:t>UK</w:t>
      </w:r>
      <w:r>
        <w:t>: Taxation of Chargeable Gains Act 1992 (TCGA 1992), Section 38 - acquisition cost</w:t>
      </w:r>
    </w:p>
    <w:p>
      <w:pPr>
        <w:pStyle w:val="ListBullet"/>
      </w:pPr>
      <w:r>
        <w:rPr>
          <w:b/>
        </w:rPr>
        <w:t>Australia</w:t>
      </w:r>
      <w:r>
        <w:t>: Income Tax Assessment Act 1997 (ITAA 1997), Division 110 - cost base includes acquisition expenditure</w:t>
      </w:r>
    </w:p>
    <w:p>
      <w:pPr>
        <w:pStyle w:val="Heading4"/>
      </w:pPr>
      <w:r>
        <w:t>2.1.2 Share Purchase → No Step-Up (General Rule)</w:t>
      </w:r>
    </w:p>
    <w:p>
      <w:r>
        <w:t>Acquiring shares in a company that owns assets results in:</w:t>
      </w:r>
    </w:p>
    <w:p>
      <w:pPr>
        <w:pStyle w:val="ListBullet"/>
      </w:pPr>
      <w:r>
        <w:rPr>
          <w:b/>
        </w:rPr>
        <w:t>No change</w:t>
      </w:r>
      <w:r>
        <w:t xml:space="preserve"> in the target company's tax basis in its assets</w:t>
      </w:r>
    </w:p>
    <w:p>
      <w:pPr>
        <w:pStyle w:val="ListBullet"/>
      </w:pPr>
      <w:r>
        <w:t xml:space="preserve">Buyer's basis is in the </w:t>
      </w:r>
      <w:r>
        <w:rPr>
          <w:b/>
        </w:rPr>
        <w:t>shares</w:t>
      </w:r>
      <w:r>
        <w:t>, not the underlying assets</w:t>
      </w:r>
    </w:p>
    <w:p>
      <w:pPr>
        <w:pStyle w:val="ListBullet"/>
      </w:pPr>
      <w:r>
        <w:rPr>
          <w:b/>
        </w:rPr>
        <w:t>Historical depreciation</w:t>
      </w:r>
      <w:r>
        <w:t xml:space="preserve"> continues unchanged</w:t>
      </w:r>
    </w:p>
    <w:p>
      <w:r>
        <w:rPr>
          <w:b/>
        </w:rPr>
        <w:t>Exception - US Internal Revenue Code Section 338 Election:</w:t>
      </w:r>
    </w:p>
    <w:p>
      <w:r>
        <w:t xml:space="preserve">Under </w:t>
      </w:r>
      <w:r>
        <w:rPr>
          <w:b/>
        </w:rPr>
        <w:t>US Internal Revenue Code Section 338</w:t>
      </w:r>
      <w:r>
        <w:t xml:space="preserve">, a buyer acquiring 80%+ of a corporation's stock can elect to treat the transaction as an </w:t>
      </w:r>
      <w:r>
        <w:rPr>
          <w:b/>
        </w:rPr>
        <w:t>deemed asset purchase</w:t>
      </w:r>
      <w:r>
        <w:t xml:space="preserve"> for tax purposes:</w:t>
      </w:r>
    </w:p>
    <w:p>
      <w:pPr>
        <w:pStyle w:val="ListBullet"/>
      </w:pPr>
      <w:r>
        <w:t>Target is treated as selling all assets at FMV (triggering gain recognition)</w:t>
      </w:r>
    </w:p>
    <w:p>
      <w:pPr>
        <w:pStyle w:val="ListBullet"/>
      </w:pPr>
      <w:r>
        <w:t>Buyer obtains stepped-up basis in assets</w:t>
      </w:r>
    </w:p>
    <w:p>
      <w:pPr>
        <w:pStyle w:val="ListBullet"/>
      </w:pPr>
      <w:r>
        <w:rPr>
          <w:b/>
        </w:rPr>
        <w:t>Rarely used</w:t>
      </w:r>
      <w:r>
        <w:t xml:space="preserve"> due to seller-level tax cost (unless seller has losses or is tax-exempt)</w:t>
      </w:r>
    </w:p>
    <w:p>
      <w:pPr>
        <w:pStyle w:val="Heading3"/>
      </w:pPr>
      <w:r>
        <w:t>2.2 Purchase Price Allocation</w:t>
      </w:r>
    </w:p>
    <w:p>
      <w:pPr>
        <w:pStyle w:val="Heading4"/>
      </w:pPr>
      <w:r>
        <w:t>2.2.1 Allocation Principles</w:t>
      </w:r>
    </w:p>
    <w:p>
      <w:r>
        <w:t xml:space="preserve">When multiple assets are acquired in a single transaction, the purchase price must be </w:t>
      </w:r>
      <w:r>
        <w:rPr>
          <w:b/>
        </w:rPr>
        <w:t>allocated</w:t>
      </w:r>
      <w:r>
        <w:t xml:space="preserve"> among:</w:t>
      </w:r>
    </w:p>
    <w:p>
      <w:pPr>
        <w:pStyle w:val="ListBullet"/>
      </w:pPr>
      <w:r>
        <w:rPr>
          <w:b/>
        </w:rPr>
        <w:t>Tangible assets</w:t>
      </w:r>
      <w:r>
        <w:t>: Drilling equipment, production facilities, pipelines, vehicles</w:t>
      </w:r>
    </w:p>
    <w:p>
      <w:pPr>
        <w:pStyle w:val="ListBullet"/>
      </w:pPr>
      <w:r>
        <w:rPr>
          <w:b/>
        </w:rPr>
        <w:t>Intangible assets</w:t>
      </w:r>
      <w:r>
        <w:t>: Petroleum licenses, drilling permits, seismic data, customer contracts</w:t>
      </w:r>
    </w:p>
    <w:p>
      <w:pPr>
        <w:pStyle w:val="ListBullet"/>
      </w:pPr>
      <w:r>
        <w:rPr>
          <w:b/>
        </w:rPr>
        <w:t>Natural resources</w:t>
      </w:r>
      <w:r>
        <w:t>: Proven and probable reserves</w:t>
      </w:r>
    </w:p>
    <w:p>
      <w:pPr>
        <w:pStyle w:val="ListBullet"/>
      </w:pPr>
      <w:r>
        <w:rPr>
          <w:b/>
        </w:rPr>
        <w:t>Goodwill</w:t>
      </w:r>
      <w:r>
        <w:t>: Residual amount after allocating to identified assets</w:t>
      </w:r>
    </w:p>
    <w:p>
      <w:r>
        <w:rPr>
          <w:b/>
        </w:rPr>
        <w:t>Tax Rules Governing Allocation:</w:t>
      </w:r>
    </w:p>
    <w:p>
      <w:r>
        <w:rPr>
          <w:b/>
        </w:rPr>
        <w:t>US - US Internal Revenue Code Section 1060 (Applicable Asset Acquisition):</w:t>
      </w:r>
    </w:p>
    <w:p>
      <w:r>
        <w:t xml:space="preserve">Requires allocation using the </w:t>
      </w:r>
      <w:r>
        <w:rPr>
          <w:b/>
        </w:rPr>
        <w:t>residual method</w:t>
      </w:r>
      <w:r>
        <w:t xml:space="preserve"> under seven asset classes: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Asset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Basis</w:t>
            </w:r>
          </w:p>
        </w:tc>
      </w:tr>
      <w:tr>
        <w:tc>
          <w:tcPr>
            <w:tcW w:type="dxa" w:w="2880"/>
          </w:tcPr>
          <w:p>
            <w:r/>
            <w:r>
              <w:t>I</w:t>
            </w:r>
          </w:p>
        </w:tc>
        <w:tc>
          <w:tcPr>
            <w:tcW w:type="dxa" w:w="2880"/>
          </w:tcPr>
          <w:p>
            <w:r/>
            <w:r>
              <w:t>Cash and cash equivalents</w:t>
            </w:r>
          </w:p>
        </w:tc>
        <w:tc>
          <w:tcPr>
            <w:tcW w:type="dxa" w:w="2880"/>
          </w:tcPr>
          <w:p>
            <w:r/>
            <w:r>
              <w:t>Face value</w:t>
            </w:r>
          </w:p>
        </w:tc>
      </w:tr>
      <w:tr>
        <w:tc>
          <w:tcPr>
            <w:tcW w:type="dxa" w:w="2880"/>
          </w:tcPr>
          <w:p>
            <w:r/>
            <w:r>
              <w:t>II</w:t>
            </w:r>
          </w:p>
        </w:tc>
        <w:tc>
          <w:tcPr>
            <w:tcW w:type="dxa" w:w="2880"/>
          </w:tcPr>
          <w:p>
            <w:r/>
            <w:r>
              <w:t>Actively traded securities</w:t>
            </w:r>
          </w:p>
        </w:tc>
        <w:tc>
          <w:tcPr>
            <w:tcW w:type="dxa" w:w="2880"/>
          </w:tcPr>
          <w:p>
            <w:r/>
            <w:r>
              <w:t>FMV</w:t>
            </w:r>
          </w:p>
        </w:tc>
      </w:tr>
      <w:tr>
        <w:tc>
          <w:tcPr>
            <w:tcW w:type="dxa" w:w="2880"/>
          </w:tcPr>
          <w:p>
            <w:r/>
            <w:r>
              <w:t>III</w:t>
            </w:r>
          </w:p>
        </w:tc>
        <w:tc>
          <w:tcPr>
            <w:tcW w:type="dxa" w:w="2880"/>
          </w:tcPr>
          <w:p>
            <w:r/>
            <w:r>
              <w:t>Accounts receivable, mortgages</w:t>
            </w:r>
          </w:p>
        </w:tc>
        <w:tc>
          <w:tcPr>
            <w:tcW w:type="dxa" w:w="2880"/>
          </w:tcPr>
          <w:p>
            <w:r/>
            <w:r>
              <w:t>FMV</w:t>
            </w:r>
          </w:p>
        </w:tc>
      </w:tr>
      <w:tr>
        <w:tc>
          <w:tcPr>
            <w:tcW w:type="dxa" w:w="2880"/>
          </w:tcPr>
          <w:p>
            <w:r/>
            <w:r>
              <w:t>IV</w:t>
            </w:r>
          </w:p>
        </w:tc>
        <w:tc>
          <w:tcPr>
            <w:tcW w:type="dxa" w:w="2880"/>
          </w:tcPr>
          <w:p>
            <w:r/>
            <w:r>
              <w:t>Inventory, stock-in-trade</w:t>
            </w:r>
          </w:p>
        </w:tc>
        <w:tc>
          <w:tcPr>
            <w:tcW w:type="dxa" w:w="2880"/>
          </w:tcPr>
          <w:p>
            <w:r/>
            <w:r>
              <w:t>FMV</w:t>
            </w:r>
          </w:p>
        </w:tc>
      </w:tr>
      <w:tr>
        <w:tc>
          <w:tcPr>
            <w:tcW w:type="dxa" w:w="2880"/>
          </w:tcPr>
          <w:p>
            <w:r/>
            <w:r>
              <w:t>V</w:t>
            </w:r>
          </w:p>
        </w:tc>
        <w:tc>
          <w:tcPr>
            <w:tcW w:type="dxa" w:w="2880"/>
          </w:tcPr>
          <w:p>
            <w:r/>
            <w:r>
              <w:t>All assets not in other classes (equipment, buildings, land)</w:t>
            </w:r>
          </w:p>
        </w:tc>
        <w:tc>
          <w:tcPr>
            <w:tcW w:type="dxa" w:w="2880"/>
          </w:tcPr>
          <w:p>
            <w:r/>
            <w:r>
              <w:t>FMV</w:t>
            </w:r>
          </w:p>
        </w:tc>
      </w:tr>
      <w:tr>
        <w:tc>
          <w:tcPr>
            <w:tcW w:type="dxa" w:w="2880"/>
          </w:tcPr>
          <w:p>
            <w:r/>
            <w:r>
              <w:t>VI</w:t>
            </w:r>
          </w:p>
        </w:tc>
        <w:tc>
          <w:tcPr>
            <w:tcW w:type="dxa" w:w="2880"/>
          </w:tcPr>
          <w:p>
            <w:r/>
            <w:r>
              <w:t>US Internal Revenue Code Section 197 intangibles (licenses, permits, goodwill)</w:t>
            </w:r>
          </w:p>
        </w:tc>
        <w:tc>
          <w:tcPr>
            <w:tcW w:type="dxa" w:w="2880"/>
          </w:tcPr>
          <w:p>
            <w:r/>
            <w:r>
              <w:t>FMV</w:t>
            </w:r>
          </w:p>
        </w:tc>
      </w:tr>
      <w:tr>
        <w:tc>
          <w:tcPr>
            <w:tcW w:type="dxa" w:w="2880"/>
          </w:tcPr>
          <w:p>
            <w:r/>
            <w:r>
              <w:t>VII</w:t>
            </w:r>
          </w:p>
        </w:tc>
        <w:tc>
          <w:tcPr>
            <w:tcW w:type="dxa" w:w="2880"/>
          </w:tcPr>
          <w:p>
            <w:r/>
            <w:r>
              <w:t>Goodwill and going concern value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Residual</w:t>
            </w:r>
          </w:p>
        </w:tc>
      </w:tr>
    </w:tbl>
    <w:p/>
    <w:p>
      <w:r>
        <w:rPr>
          <w:b/>
        </w:rPr>
        <w:t>UK - Taxation of Chargeable Gains Act 1992, Section 52:</w:t>
      </w:r>
    </w:p>
    <w:p>
      <w:r>
        <w:t xml:space="preserve">Allocation based on </w:t>
      </w:r>
      <w:r>
        <w:rPr>
          <w:b/>
        </w:rPr>
        <w:t>market value</w:t>
      </w:r>
      <w:r>
        <w:t xml:space="preserve"> of each asset on acquisition date.</w:t>
      </w:r>
    </w:p>
    <w:p>
      <w:r>
        <w:rPr>
          <w:b/>
        </w:rPr>
        <w:t>International Financial Reporting Standard 3 (IFRS 3) - Business Combinations:</w:t>
      </w:r>
    </w:p>
    <w:p>
      <w:r>
        <w:t xml:space="preserve">For financial reporting, allocation based on </w:t>
      </w:r>
      <w:r>
        <w:rPr>
          <w:b/>
        </w:rPr>
        <w:t>fair value</w:t>
      </w:r>
      <w:r>
        <w:t xml:space="preserve"> at acquisition date:</w:t>
      </w:r>
    </w:p>
    <w:p>
      <w:pPr>
        <w:pStyle w:val="ListBullet"/>
      </w:pPr>
      <w:r>
        <w:t>Tangible assets: Replacement cost or discounted cash flow</w:t>
      </w:r>
    </w:p>
    <w:p>
      <w:pPr>
        <w:pStyle w:val="ListBullet"/>
      </w:pPr>
      <w:r>
        <w:t>Intangible assets: Relief-from-royalty method, multi-period excess earnings</w:t>
      </w:r>
    </w:p>
    <w:p>
      <w:pPr>
        <w:pStyle w:val="ListBullet"/>
      </w:pPr>
      <w:r>
        <w:t>Reserves: Discounted future cash flows (proved reserves)</w:t>
      </w:r>
    </w:p>
    <w:p>
      <w:r>
        <w:rPr>
          <w:b/>
        </w:rPr>
        <w:t>Tax vs. Accounting Basis:</w:t>
      </w:r>
    </w:p>
    <w:p>
      <w:r>
        <w:t>Tax authorities may challenge allocations that deviate significantly from IFRS fair values, particularly if they:</w:t>
      </w:r>
    </w:p>
    <w:p>
      <w:pPr>
        <w:pStyle w:val="ListBullet"/>
      </w:pPr>
      <w:r>
        <w:t>Overallocate to high-depreciation assets</w:t>
      </w:r>
    </w:p>
    <w:p>
      <w:pPr>
        <w:pStyle w:val="ListBullet"/>
      </w:pPr>
      <w:r>
        <w:t>Undervalue goodwill to accelerate deductions</w:t>
      </w:r>
    </w:p>
    <w:p>
      <w:pPr>
        <w:pStyle w:val="ListBullet"/>
      </w:pPr>
      <w:r>
        <w:t>Lack supporting valuation reports</w:t>
      </w:r>
    </w:p>
    <w:p>
      <w:pPr>
        <w:pStyle w:val="Heading4"/>
      </w:pPr>
      <w:r>
        <w:t>2.2.2 Valuation Methodologies</w:t>
      </w:r>
    </w:p>
    <w:p>
      <w:r>
        <w:rPr>
          <w:b/>
        </w:rPr>
        <w:t>Tangible Assets:</w:t>
      </w:r>
    </w:p>
    <w:p>
      <w:pPr>
        <w:pStyle w:val="ListBullet"/>
      </w:pPr>
      <w:r>
        <w:rPr>
          <w:b/>
        </w:rPr>
        <w:t>Cost approach</w:t>
      </w:r>
      <w:r>
        <w:t>: Replacement cost new, less physical depreciation</w:t>
      </w:r>
    </w:p>
    <w:p>
      <w:pPr>
        <w:pStyle w:val="ListBullet"/>
      </w:pPr>
      <w:r>
        <w:rPr>
          <w:b/>
        </w:rPr>
        <w:t>Market approach</w:t>
      </w:r>
      <w:r>
        <w:t>: Comparable sales of similar equipment</w:t>
      </w:r>
    </w:p>
    <w:p>
      <w:pPr>
        <w:pStyle w:val="ListBullet"/>
      </w:pPr>
      <w:r>
        <w:rPr>
          <w:b/>
        </w:rPr>
        <w:t>Income approach</w:t>
      </w:r>
      <w:r>
        <w:t>: Discounted cash flows attributable to the asset</w:t>
      </w:r>
    </w:p>
    <w:p>
      <w:r>
        <w:rPr>
          <w:b/>
        </w:rPr>
        <w:t>Petroleum Reserves:</w:t>
      </w:r>
    </w:p>
    <w:p>
      <w:pPr>
        <w:pStyle w:val="ListBullet"/>
      </w:pPr>
      <w:r>
        <w:rPr>
          <w:b/>
        </w:rPr>
        <w:t>Reserve-based valuation</w:t>
      </w:r>
      <w:r>
        <w:t>: Net present value of proved developed producing (PDP), proved developed non-producing (PDNP), and proved undeveloped (PUD) reserves</w:t>
      </w:r>
    </w:p>
    <w:p>
      <w:pPr>
        <w:pStyle w:val="ListBullet"/>
      </w:pPr>
      <w:r>
        <w:rPr>
          <w:b/>
        </w:rPr>
        <w:t>Discount rates</w:t>
      </w:r>
      <w:r>
        <w:t>: Typically 10-15% for risked reserves</w:t>
      </w:r>
    </w:p>
    <w:p>
      <w:pPr>
        <w:pStyle w:val="ListBullet"/>
      </w:pPr>
      <w:r>
        <w:rPr>
          <w:b/>
        </w:rPr>
        <w:t>Price assumptions</w:t>
      </w:r>
      <w:r>
        <w:t>: Forward curve or long-term price deck</w:t>
      </w:r>
    </w:p>
    <w:p>
      <w:r>
        <w:rPr>
          <w:b/>
        </w:rPr>
        <w:t>Intangible Assets:</w:t>
      </w:r>
    </w:p>
    <w:p>
      <w:pPr>
        <w:pStyle w:val="ListBullet"/>
      </w:pPr>
      <w:r>
        <w:rPr>
          <w:b/>
        </w:rPr>
        <w:t>Licenses and permits</w:t>
      </w:r>
      <w:r>
        <w:t>: Relief-from-royalty method (royalty rate × discounted revenue)</w:t>
      </w:r>
    </w:p>
    <w:p>
      <w:pPr>
        <w:pStyle w:val="ListBullet"/>
      </w:pPr>
      <w:r>
        <w:rPr>
          <w:b/>
        </w:rPr>
        <w:t>Seismic data</w:t>
      </w:r>
      <w:r>
        <w:t>: Cost approach (replacement cost)</w:t>
      </w:r>
    </w:p>
    <w:p>
      <w:pPr>
        <w:pStyle w:val="ListBullet"/>
      </w:pPr>
      <w:r>
        <w:rPr>
          <w:b/>
        </w:rPr>
        <w:t>Customer relationships</w:t>
      </w:r>
      <w:r>
        <w:t>: Multi-period excess earnings method</w:t>
      </w:r>
    </w:p>
    <w:p>
      <w:r>
        <w:rPr>
          <w:b/>
        </w:rPr>
        <w:t>Goodwill:</w:t>
      </w:r>
    </w:p>
    <w:p>
      <w:pPr>
        <w:pStyle w:val="ListBullet"/>
      </w:pPr>
      <w:r>
        <w:rPr>
          <w:b/>
        </w:rPr>
        <w:t>Residual</w:t>
      </w:r>
      <w:r>
        <w:t>: Purchase price less sum of FMV of identifiable assets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3. Depreciation Methods and Asset Lives</w:t>
      </w:r>
    </w:p>
    <w:p>
      <w:pPr>
        <w:pStyle w:val="Heading3"/>
      </w:pPr>
      <w:r>
        <w:t>3.1 Asset Classification</w:t>
      </w:r>
    </w:p>
    <w:p>
      <w:r>
        <w:t xml:space="preserve">Oil and gas assets are classified into different categories, each with specific </w:t>
      </w:r>
      <w:r>
        <w:rPr>
          <w:b/>
        </w:rPr>
        <w:t>depreciation methods</w:t>
      </w:r>
      <w:r>
        <w:t xml:space="preserve"> and </w:t>
      </w:r>
      <w:r>
        <w:rPr>
          <w:b/>
        </w:rPr>
        <w:t>recovery periods</w:t>
      </w:r>
      <w:r>
        <w:t>:</w:t>
      </w:r>
    </w:p>
    <w:p>
      <w:pPr>
        <w:pStyle w:val="Heading4"/>
      </w:pPr>
      <w:r>
        <w:t>3.1.1 Tangible Depreciable Property</w:t>
      </w:r>
    </w:p>
    <w:p>
      <w:r>
        <w:rPr>
          <w:b/>
        </w:rPr>
        <w:t>US Tax Classification (MACRS):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Asset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Recovery Period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</w:tr>
      <w:tr>
        <w:tc>
          <w:tcPr>
            <w:tcW w:type="dxa" w:w="2880"/>
          </w:tcPr>
          <w:p>
            <w:r/>
            <w:r>
              <w:t>Drilling equipment, pumps, compressors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7 years</w:t>
            </w:r>
          </w:p>
        </w:tc>
        <w:tc>
          <w:tcPr>
            <w:tcW w:type="dxa" w:w="2880"/>
          </w:tcPr>
          <w:p>
            <w:r/>
            <w:r>
              <w:t>200% declining balance</w:t>
            </w:r>
          </w:p>
        </w:tc>
      </w:tr>
      <w:tr>
        <w:tc>
          <w:tcPr>
            <w:tcW w:type="dxa" w:w="2880"/>
          </w:tcPr>
          <w:p>
            <w:r/>
            <w:r>
              <w:t>Production platforms, gathering systems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7 years</w:t>
            </w:r>
          </w:p>
        </w:tc>
        <w:tc>
          <w:tcPr>
            <w:tcW w:type="dxa" w:w="2880"/>
          </w:tcPr>
          <w:p>
            <w:r/>
            <w:r>
              <w:t>200% declining balance</w:t>
            </w:r>
          </w:p>
        </w:tc>
      </w:tr>
      <w:tr>
        <w:tc>
          <w:tcPr>
            <w:tcW w:type="dxa" w:w="2880"/>
          </w:tcPr>
          <w:p>
            <w:r/>
            <w:r>
              <w:t>Gas pipelines (natural gas distribution)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15 years</w:t>
            </w:r>
          </w:p>
        </w:tc>
        <w:tc>
          <w:tcPr>
            <w:tcW w:type="dxa" w:w="2880"/>
          </w:tcPr>
          <w:p>
            <w:r/>
            <w:r>
              <w:t>150% declining balance</w:t>
            </w:r>
          </w:p>
        </w:tc>
      </w:tr>
      <w:tr>
        <w:tc>
          <w:tcPr>
            <w:tcW w:type="dxa" w:w="2880"/>
          </w:tcPr>
          <w:p>
            <w:r/>
            <w:r>
              <w:t>Oil pipelines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7 years</w:t>
            </w:r>
          </w:p>
        </w:tc>
        <w:tc>
          <w:tcPr>
            <w:tcW w:type="dxa" w:w="2880"/>
          </w:tcPr>
          <w:p>
            <w:r/>
            <w:r>
              <w:t>200% declining balance</w:t>
            </w:r>
          </w:p>
        </w:tc>
      </w:tr>
      <w:tr>
        <w:tc>
          <w:tcPr>
            <w:tcW w:type="dxa" w:w="2880"/>
          </w:tcPr>
          <w:p>
            <w:r/>
            <w:r>
              <w:t>Offshore structures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7 years</w:t>
            </w:r>
          </w:p>
        </w:tc>
        <w:tc>
          <w:tcPr>
            <w:tcW w:type="dxa" w:w="2880"/>
          </w:tcPr>
          <w:p>
            <w:r/>
            <w:r>
              <w:t>200% declining balance</w:t>
            </w:r>
          </w:p>
        </w:tc>
      </w:tr>
      <w:tr>
        <w:tc>
          <w:tcPr>
            <w:tcW w:type="dxa" w:w="2880"/>
          </w:tcPr>
          <w:p>
            <w:r/>
            <w:r>
              <w:t>Buildings and structural components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39 years</w:t>
            </w:r>
          </w:p>
        </w:tc>
        <w:tc>
          <w:tcPr>
            <w:tcW w:type="dxa" w:w="2880"/>
          </w:tcPr>
          <w:p>
            <w:r/>
            <w:r>
              <w:t>Straight-line</w:t>
            </w:r>
          </w:p>
        </w:tc>
      </w:tr>
    </w:tbl>
    <w:p/>
    <w:p>
      <w:r>
        <w:rPr>
          <w:b/>
        </w:rPr>
        <w:t>200% Declining Balance:</w:t>
      </w:r>
    </w:p>
    <w:p>
      <w:pPr>
        <w:pStyle w:val="ListBullet"/>
      </w:pPr>
      <w:r>
        <w:t>Double depreciation = (2 ÷ recovery period) × book value</w:t>
      </w:r>
    </w:p>
    <w:p>
      <w:pPr>
        <w:pStyle w:val="ListBullet"/>
      </w:pPr>
      <w:r>
        <w:t>Year 1: (2 ÷ 7) × $100M = $28.57M</w:t>
      </w:r>
    </w:p>
    <w:p>
      <w:pPr>
        <w:pStyle w:val="ListBullet"/>
      </w:pPr>
      <w:r>
        <w:t>Year 2: (2 ÷ 7) × ($100M - $28.57M) = $20.41M</w:t>
      </w:r>
    </w:p>
    <w:p>
      <w:pPr>
        <w:pStyle w:val="ListBullet"/>
      </w:pPr>
      <w:r>
        <w:t>Switches to straight-line when that method yields higher deduction</w:t>
      </w:r>
    </w:p>
    <w:p>
      <w:r>
        <w:rPr>
          <w:b/>
        </w:rPr>
        <w:t>Bonus Depreciation (US):</w:t>
      </w:r>
    </w:p>
    <w:p>
      <w:r>
        <w:t>Under the Tax Cuts and Jobs Act (TCJA), bonus depreciation was phasing down:</w:t>
      </w:r>
    </w:p>
    <w:p>
      <w:pPr>
        <w:pStyle w:val="ListBullet"/>
      </w:pPr>
      <w:r>
        <w:rPr>
          <w:b/>
        </w:rPr>
        <w:t>2022 and earlier</w:t>
      </w:r>
      <w:r>
        <w:t>: 100% immediate expensing</w:t>
      </w:r>
    </w:p>
    <w:p>
      <w:pPr>
        <w:pStyle w:val="ListBullet"/>
      </w:pPr>
      <w:r>
        <w:rPr>
          <w:b/>
        </w:rPr>
        <w:t>2023</w:t>
      </w:r>
      <w:r>
        <w:t>: 80%</w:t>
      </w:r>
    </w:p>
    <w:p>
      <w:pPr>
        <w:pStyle w:val="ListBullet"/>
      </w:pPr>
      <w:r>
        <w:rPr>
          <w:b/>
        </w:rPr>
        <w:t>2024</w:t>
      </w:r>
      <w:r>
        <w:t>: 60%</w:t>
      </w:r>
    </w:p>
    <w:p>
      <w:pPr>
        <w:pStyle w:val="ListBullet"/>
      </w:pPr>
      <w:r>
        <w:rPr>
          <w:b/>
        </w:rPr>
        <w:t>2025</w:t>
      </w:r>
      <w:r>
        <w:t>: 40% (for property placed in service before January 20, 2025)</w:t>
      </w:r>
    </w:p>
    <w:p>
      <w:pPr>
        <w:pStyle w:val="ListBullet"/>
      </w:pPr>
      <w:r>
        <w:rPr>
          <w:b/>
        </w:rPr>
        <w:t>2025 onwards</w:t>
      </w:r>
      <w:r>
        <w:t xml:space="preserve"> (from January 20, 2025): 100% restored under the One, Big, Beautiful Bill Act</w:t>
      </w:r>
    </w:p>
    <w:p>
      <w:pPr>
        <w:pStyle w:val="ListBullet"/>
      </w:pPr>
      <w:r>
        <w:t>Applies to new and used property with recovery period ≤ 20 years</w:t>
      </w:r>
    </w:p>
    <w:p>
      <w:pPr>
        <w:pStyle w:val="ListBullet"/>
      </w:pPr>
      <w:r>
        <w:t>Significant planning tool to accelerate deductions</w:t>
      </w:r>
    </w:p>
    <w:p>
      <w:pPr>
        <w:pStyle w:val="Heading4"/>
      </w:pPr>
      <w:r>
        <w:t>3.1.2 Depletion (Natural Resources)</w:t>
      </w:r>
    </w:p>
    <w:p>
      <w:r>
        <w:rPr>
          <w:b/>
        </w:rPr>
        <w:t>Cost Depletion:</w:t>
      </w:r>
    </w:p>
    <w:p>
      <w:r>
        <w:t>Basis in mineral property is recovered proportionally as reserves are extracted:</w:t>
      </w:r>
    </w:p>
    <w:p>
      <w:r>
        <w:rPr>
          <w:b/>
        </w:rPr>
        <w:t>Formula:</w:t>
      </w:r>
    </w:p>
    <w:p>
      <w:pPr>
        <w:pStyle w:val="ListBullet"/>
      </w:pPr>
      <w:r>
        <w:rPr>
          <w:b/>
        </w:rPr>
        <w:t>Cost depletion per unit = (Adjusted basis in property ÷ Total recoverable units) × Units sold during year</w:t>
      </w:r>
    </w:p>
    <w:p>
      <w:r>
        <w:rPr>
          <w:b/>
        </w:rPr>
        <w:t>Example:</w:t>
      </w:r>
    </w:p>
    <w:p>
      <w:pPr>
        <w:pStyle w:val="ListBullet"/>
      </w:pPr>
      <w:r>
        <w:t>Basis in proven reserves: $100 million</w:t>
      </w:r>
    </w:p>
    <w:p>
      <w:pPr>
        <w:pStyle w:val="ListBullet"/>
      </w:pPr>
      <w:r>
        <w:t>Total recoverable reserves: 50 million barrels</w:t>
      </w:r>
    </w:p>
    <w:p>
      <w:pPr>
        <w:pStyle w:val="ListBullet"/>
      </w:pPr>
      <w:r>
        <w:t>Production in Year 1: 3 million barrels</w:t>
      </w:r>
    </w:p>
    <w:p>
      <w:pPr>
        <w:pStyle w:val="ListBullet"/>
      </w:pPr>
      <w:r>
        <w:rPr>
          <w:b/>
        </w:rPr>
        <w:t>Cost depletion = ($100M ÷ 50M bbls) × 3M bbls = $6 million</w:t>
      </w:r>
    </w:p>
    <w:p>
      <w:r>
        <w:rPr>
          <w:b/>
        </w:rPr>
        <w:t>Percentage Depletion (US - Limited Availability):</w:t>
      </w:r>
    </w:p>
    <w:p>
      <w:r>
        <w:t xml:space="preserve">Independent producers and royalty owners can elect </w:t>
      </w:r>
      <w:r>
        <w:rPr>
          <w:b/>
        </w:rPr>
        <w:t>percentage depletion</w:t>
      </w:r>
      <w:r>
        <w:t xml:space="preserve"> at </w:t>
      </w:r>
      <w:r>
        <w:rPr>
          <w:b/>
        </w:rPr>
        <w:t>15% of gross income</w:t>
      </w:r>
      <w:r>
        <w:t xml:space="preserve"> from the property, subject to:</w:t>
      </w:r>
    </w:p>
    <w:p>
      <w:pPr>
        <w:pStyle w:val="ListBullet"/>
      </w:pPr>
      <w:r>
        <w:rPr>
          <w:b/>
        </w:rPr>
        <w:t>Limit</w:t>
      </w:r>
      <w:r>
        <w:t xml:space="preserve">: Cannot exceed </w:t>
      </w:r>
      <w:r>
        <w:rPr>
          <w:b/>
        </w:rPr>
        <w:t>100% of taxable income</w:t>
      </w:r>
      <w:r>
        <w:t xml:space="preserve"> from the property (before depletion)</w:t>
      </w:r>
    </w:p>
    <w:p>
      <w:pPr>
        <w:pStyle w:val="ListBullet"/>
      </w:pPr>
      <w:r>
        <w:rPr>
          <w:b/>
        </w:rPr>
        <w:t>Depletable quantity limit</w:t>
      </w:r>
      <w:r>
        <w:t>: 1,000 bbls/day of oil (or 6,000 Mcf/day of gas) per producer</w:t>
      </w:r>
    </w:p>
    <w:p>
      <w:pPr>
        <w:pStyle w:val="ListBullet"/>
      </w:pPr>
      <w:r>
        <w:rPr>
          <w:b/>
        </w:rPr>
        <w:t>Small producer exception</w:t>
      </w:r>
      <w:r>
        <w:t>: Applies to independent producers only (not integrated oil companies)</w:t>
      </w:r>
    </w:p>
    <w:p>
      <w:r>
        <w:t xml:space="preserve">Percentage depletion can </w:t>
      </w:r>
      <w:r>
        <w:rPr>
          <w:b/>
        </w:rPr>
        <w:t>exceed cost basis</w:t>
      </w:r>
      <w:r>
        <w:t>, providing ongoing deductions even after basis is fully recovered.</w:t>
      </w:r>
    </w:p>
    <w:p>
      <w:pPr>
        <w:pStyle w:val="Heading4"/>
      </w:pPr>
      <w:r>
        <w:t>3.1.3 Intangible Assets</w:t>
      </w:r>
    </w:p>
    <w:p>
      <w:r>
        <w:rPr>
          <w:b/>
        </w:rPr>
        <w:t>US Internal Revenue Code Section 197 Intangibles:</w:t>
      </w:r>
    </w:p>
    <w:p>
      <w:r>
        <w:t xml:space="preserve">Amortized over </w:t>
      </w:r>
      <w:r>
        <w:rPr>
          <w:b/>
        </w:rPr>
        <w:t>15 years</w:t>
      </w:r>
      <w:r>
        <w:t xml:space="preserve"> straight-line:</w:t>
      </w:r>
    </w:p>
    <w:p>
      <w:pPr>
        <w:pStyle w:val="ListBullet"/>
      </w:pPr>
      <w:r>
        <w:t>Goodwill</w:t>
      </w:r>
    </w:p>
    <w:p>
      <w:pPr>
        <w:pStyle w:val="ListBullet"/>
      </w:pPr>
      <w:r>
        <w:t>Going concern value</w:t>
      </w:r>
    </w:p>
    <w:p>
      <w:pPr>
        <w:pStyle w:val="ListBullet"/>
      </w:pPr>
      <w:r>
        <w:t>Licenses, permits, franchises</w:t>
      </w:r>
    </w:p>
    <w:p>
      <w:pPr>
        <w:pStyle w:val="ListBullet"/>
      </w:pPr>
      <w:r>
        <w:t>Customer lists and contracts</w:t>
      </w:r>
    </w:p>
    <w:p>
      <w:pPr>
        <w:pStyle w:val="ListBullet"/>
      </w:pPr>
      <w:r>
        <w:t>Covenants not to compete</w:t>
      </w:r>
    </w:p>
    <w:p>
      <w:r>
        <w:rPr>
          <w:b/>
        </w:rPr>
        <w:t>Non-Section 197 Intangibles (US):</w:t>
      </w:r>
    </w:p>
    <w:p>
      <w:r>
        <w:t xml:space="preserve">Some intangibles are </w:t>
      </w:r>
      <w:r>
        <w:rPr>
          <w:b/>
        </w:rPr>
        <w:t>not subject to 15-year amortization</w:t>
      </w:r>
      <w:r>
        <w:t xml:space="preserve"> under US law:</w:t>
      </w:r>
    </w:p>
    <w:p>
      <w:pPr>
        <w:pStyle w:val="ListBullet"/>
      </w:pPr>
      <w:r>
        <w:rPr>
          <w:b/>
        </w:rPr>
        <w:t>Seismic data</w:t>
      </w:r>
      <w:r>
        <w:t xml:space="preserve">: May qualify for immediate expensing under </w:t>
      </w:r>
      <w:r>
        <w:rPr>
          <w:b/>
        </w:rPr>
        <w:t>IDC provisions</w:t>
      </w:r>
      <w:r>
        <w:t xml:space="preserve"> or amortized over useful life</w:t>
      </w:r>
    </w:p>
    <w:p>
      <w:pPr>
        <w:pStyle w:val="ListBullet"/>
      </w:pPr>
      <w:r>
        <w:rPr>
          <w:b/>
        </w:rPr>
        <w:t>Software</w:t>
      </w:r>
      <w:r>
        <w:t>: 36 months straight-line</w:t>
      </w:r>
    </w:p>
    <w:p>
      <w:pPr>
        <w:pStyle w:val="ListBullet"/>
      </w:pPr>
      <w:r>
        <w:rPr>
          <w:b/>
        </w:rPr>
        <w:t>Self-created intangibles</w:t>
      </w:r>
      <w:r>
        <w:t>: Generally not amortizable (e.g., proprietary technology developed internally)</w:t>
      </w:r>
    </w:p>
    <w:p>
      <w:pPr>
        <w:pStyle w:val="Heading3"/>
      </w:pPr>
      <w:r>
        <w:t>3.2 Intangible Drilling Costs (IDCs)</w:t>
      </w:r>
    </w:p>
    <w:p>
      <w:r>
        <w:rPr>
          <w:b/>
        </w:rPr>
        <w:t>Definition:</w:t>
      </w:r>
    </w:p>
    <w:p>
      <w:r>
        <w:rPr>
          <w:b/>
        </w:rPr>
        <w:t>Intangible drilling and development costs</w:t>
      </w:r>
      <w:r>
        <w:t xml:space="preserve"> are expenditures for drilling and preparing wells for production that have </w:t>
      </w:r>
      <w:r>
        <w:rPr>
          <w:b/>
        </w:rPr>
        <w:t>no salvage value</w:t>
      </w:r>
      <w:r>
        <w:t>, including:</w:t>
      </w:r>
    </w:p>
    <w:p>
      <w:pPr>
        <w:pStyle w:val="ListBullet"/>
      </w:pPr>
      <w:r>
        <w:t>Wages, fuel, repairs</w:t>
      </w:r>
    </w:p>
    <w:p>
      <w:pPr>
        <w:pStyle w:val="ListBullet"/>
      </w:pPr>
      <w:r>
        <w:t>Hauling and supplies</w:t>
      </w:r>
    </w:p>
    <w:p>
      <w:pPr>
        <w:pStyle w:val="ListBullet"/>
      </w:pPr>
      <w:r>
        <w:t>Survey and ground clearing</w:t>
      </w:r>
    </w:p>
    <w:p>
      <w:pPr>
        <w:pStyle w:val="ListBullet"/>
      </w:pPr>
      <w:r>
        <w:t>Drilling mud and chemicals</w:t>
      </w:r>
    </w:p>
    <w:p>
      <w:r>
        <w:rPr>
          <w:b/>
        </w:rPr>
        <w:t>Tax Treatment (US):</w:t>
      </w:r>
    </w:p>
    <w:p>
      <w:pPr>
        <w:pStyle w:val="ListBullet"/>
      </w:pPr>
      <w:r>
        <w:rPr>
          <w:b/>
        </w:rPr>
        <w:t>Domestic wells</w:t>
      </w:r>
      <w:r>
        <w:t>: 100% immediately deductible (election to capitalize and amortize over 60 months)</w:t>
      </w:r>
    </w:p>
    <w:p>
      <w:pPr>
        <w:pStyle w:val="ListBullet"/>
      </w:pPr>
      <w:r>
        <w:rPr>
          <w:b/>
        </w:rPr>
        <w:t>Foreign wells</w:t>
      </w:r>
      <w:r>
        <w:t>: Must be capitalized and amortized over 10 years (unless §59(e) election made for 5-year amortization)</w:t>
      </w:r>
    </w:p>
    <w:p>
      <w:r>
        <w:rPr>
          <w:b/>
        </w:rPr>
        <w:t>Impact on M&amp;A:</w:t>
      </w:r>
    </w:p>
    <w:p>
      <w:r>
        <w:t xml:space="preserve">Seller may have </w:t>
      </w:r>
      <w:r>
        <w:rPr>
          <w:b/>
        </w:rPr>
        <w:t>deducted IDCs</w:t>
      </w:r>
      <w:r>
        <w:t xml:space="preserve"> as incurred. Upon sale:</w:t>
      </w:r>
    </w:p>
    <w:p>
      <w:pPr>
        <w:pStyle w:val="ListBullet"/>
      </w:pPr>
      <w:r>
        <w:t xml:space="preserve">IDC deductions are subject to </w:t>
      </w:r>
      <w:r>
        <w:rPr>
          <w:b/>
        </w:rPr>
        <w:t>recapture as ordinary income</w:t>
      </w:r>
      <w:r>
        <w:t xml:space="preserve"> to the extent of prior deductions (similar to depreciation recapture)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4. Depreciation Recapture</w:t>
      </w:r>
    </w:p>
    <w:p>
      <w:pPr>
        <w:pStyle w:val="Heading3"/>
      </w:pPr>
      <w:r>
        <w:t>4.1 Section 1245 Recapture (Equipment and Tangible Personal Property)</w:t>
      </w:r>
    </w:p>
    <w:p>
      <w:pPr>
        <w:pStyle w:val="Heading4"/>
      </w:pPr>
      <w:r>
        <w:t>4.1.1 Recapture Rule</w:t>
      </w:r>
    </w:p>
    <w:p>
      <w:r>
        <w:t xml:space="preserve">When depreciable personal property is sold under </w:t>
      </w:r>
      <w:r>
        <w:rPr>
          <w:b/>
        </w:rPr>
        <w:t>US Internal Revenue Code Section 1245</w:t>
      </w:r>
      <w:r>
        <w:t xml:space="preserve">, </w:t>
      </w:r>
      <w:r>
        <w:rPr>
          <w:b/>
        </w:rPr>
        <w:t>gain is treated as ordinary income</w:t>
      </w:r>
      <w:r>
        <w:t xml:space="preserve"> to the extent of </w:t>
      </w:r>
      <w:r>
        <w:rPr>
          <w:b/>
        </w:rPr>
        <w:t>prior depreciation</w:t>
      </w:r>
      <w:r>
        <w:t xml:space="preserve"> claimed.</w:t>
      </w:r>
    </w:p>
    <w:p>
      <w:r>
        <w:rPr>
          <w:b/>
        </w:rPr>
        <w:t>Formula:</w:t>
      </w:r>
    </w:p>
    <w:p>
      <w:pPr>
        <w:pStyle w:val="ListBullet"/>
      </w:pPr>
      <w:r>
        <w:rPr>
          <w:b/>
        </w:rPr>
        <w:t>US Internal Revenue Code Section 1245 recapture (ordinary income) = Lesser of:</w:t>
      </w:r>
    </w:p>
    <w:p>
      <w:pPr>
        <w:pStyle w:val="ListBullet"/>
        <w:ind w:left="360"/>
      </w:pPr>
      <w:r>
        <w:rPr>
          <w:b/>
        </w:rPr>
        <w:t>(a) Gain realized</w:t>
      </w:r>
      <w:r>
        <w:t>, or</w:t>
      </w:r>
    </w:p>
    <w:p>
      <w:pPr>
        <w:pStyle w:val="ListBullet"/>
        <w:ind w:left="360"/>
      </w:pPr>
      <w:r>
        <w:rPr>
          <w:b/>
        </w:rPr>
        <w:t>(b) Total depreciation claimed</w:t>
      </w:r>
    </w:p>
    <w:p>
      <w:r>
        <w:rPr>
          <w:b/>
        </w:rPr>
        <w:t>Example:</w:t>
      </w:r>
    </w:p>
    <w:p>
      <w:pPr>
        <w:pStyle w:val="ListBullet"/>
      </w:pPr>
      <w:r>
        <w:t xml:space="preserve">Original cost of drilling equipment: </w:t>
      </w:r>
      <w:r>
        <w:rPr>
          <w:b/>
        </w:rPr>
        <w:t>$50 million</w:t>
      </w:r>
    </w:p>
    <w:p>
      <w:pPr>
        <w:pStyle w:val="ListBullet"/>
      </w:pPr>
      <w:r>
        <w:t xml:space="preserve">Accumulated depreciation: </w:t>
      </w:r>
      <w:r>
        <w:rPr>
          <w:b/>
        </w:rPr>
        <w:t>$30 million</w:t>
      </w:r>
    </w:p>
    <w:p>
      <w:pPr>
        <w:pStyle w:val="ListBullet"/>
      </w:pPr>
      <w:r>
        <w:t xml:space="preserve">Adjusted basis: </w:t>
      </w:r>
      <w:r>
        <w:rPr>
          <w:b/>
        </w:rPr>
        <w:t>$20 million</w:t>
      </w:r>
    </w:p>
    <w:p>
      <w:pPr>
        <w:pStyle w:val="ListBullet"/>
      </w:pPr>
      <w:r>
        <w:t xml:space="preserve">Sale price: </w:t>
      </w:r>
      <w:r>
        <w:rPr>
          <w:b/>
        </w:rPr>
        <w:t>$45 million</w:t>
      </w:r>
    </w:p>
    <w:p>
      <w:pPr>
        <w:pStyle w:val="ListBullet"/>
      </w:pPr>
      <w:r>
        <w:rPr>
          <w:b/>
        </w:rPr>
        <w:t>Gain realized: $45M - $20M = $25 million</w:t>
      </w:r>
    </w:p>
    <w:p>
      <w:r>
        <w:t>Recapture calculation:</w:t>
      </w:r>
    </w:p>
    <w:p>
      <w:pPr>
        <w:pStyle w:val="ListBullet"/>
      </w:pPr>
      <w:r>
        <w:t xml:space="preserve">Lesser of: (a) $25M gain, or (b) $30M prior depreciation = </w:t>
      </w:r>
      <w:r>
        <w:rPr>
          <w:b/>
        </w:rPr>
        <w:t>$25 million</w:t>
      </w:r>
    </w:p>
    <w:p>
      <w:pPr>
        <w:pStyle w:val="ListBullet"/>
      </w:pPr>
      <w:r>
        <w:rPr>
          <w:b/>
        </w:rPr>
        <w:t>Ordinary income (recapture): $25 million</w:t>
      </w:r>
      <w:r>
        <w:t xml:space="preserve"> (taxed at corporate rate, e.g., 25%)</w:t>
      </w:r>
    </w:p>
    <w:p>
      <w:pPr>
        <w:pStyle w:val="ListBullet"/>
      </w:pPr>
      <w:r>
        <w:rPr>
          <w:b/>
        </w:rPr>
        <w:t>Capital gain: $0</w:t>
      </w:r>
    </w:p>
    <w:p>
      <w:r>
        <w:t>If sale price had been $55 million:</w:t>
      </w:r>
    </w:p>
    <w:p>
      <w:pPr>
        <w:pStyle w:val="ListBullet"/>
      </w:pPr>
      <w:r>
        <w:t xml:space="preserve">Gain realized: $55M - $20M = </w:t>
      </w:r>
      <w:r>
        <w:rPr>
          <w:b/>
        </w:rPr>
        <w:t>$35 million</w:t>
      </w:r>
    </w:p>
    <w:p>
      <w:pPr>
        <w:pStyle w:val="ListBullet"/>
      </w:pPr>
      <w:r>
        <w:t xml:space="preserve">Recapture: Lesser of (a) $35M, or (b) $30M = </w:t>
      </w:r>
      <w:r>
        <w:rPr>
          <w:b/>
        </w:rPr>
        <w:t>$30 million ordinary income</w:t>
      </w:r>
    </w:p>
    <w:p>
      <w:pPr>
        <w:pStyle w:val="ListBullet"/>
      </w:pPr>
      <w:r>
        <w:rPr>
          <w:b/>
        </w:rPr>
        <w:t>Capital gain: $5 million</w:t>
      </w:r>
      <w:r>
        <w:t xml:space="preserve"> (excess over original cost)</w:t>
      </w:r>
    </w:p>
    <w:p>
      <w:pPr>
        <w:pStyle w:val="Heading4"/>
      </w:pPr>
      <w:r>
        <w:t>4.1.2 Impact on Seller's Tax Liability</w:t>
      </w:r>
    </w:p>
    <w:p>
      <w:r>
        <w:t>Depreciation recapture increases seller's tax cost in asset sales:</w:t>
      </w:r>
    </w:p>
    <w:p>
      <w:pPr>
        <w:pStyle w:val="ListBullet"/>
      </w:pPr>
      <w:r>
        <w:rPr>
          <w:b/>
        </w:rPr>
        <w:t>Ordinary income tax rate</w:t>
      </w:r>
      <w:r>
        <w:t>: 21-35% (depending on jurisdiction)</w:t>
      </w:r>
    </w:p>
    <w:p>
      <w:pPr>
        <w:pStyle w:val="ListBullet"/>
      </w:pPr>
      <w:r>
        <w:rPr>
          <w:b/>
        </w:rPr>
        <w:t>Capital gains rate</w:t>
      </w:r>
      <w:r>
        <w:t>: 15-20% (often lower)</w:t>
      </w:r>
    </w:p>
    <w:p>
      <w:r>
        <w:t xml:space="preserve">This creates an economic incentive for sellers to prefer </w:t>
      </w:r>
      <w:r>
        <w:rPr>
          <w:b/>
        </w:rPr>
        <w:t>share sales</w:t>
      </w:r>
      <w:r>
        <w:t>, where recapture is avoided.</w:t>
      </w:r>
    </w:p>
    <w:p>
      <w:pPr>
        <w:pStyle w:val="Heading3"/>
      </w:pPr>
      <w:r>
        <w:t>4.2 Section 1250 Recapture (Real Property)</w:t>
      </w:r>
    </w:p>
    <w:p>
      <w:r>
        <w:t xml:space="preserve">For </w:t>
      </w:r>
      <w:r>
        <w:rPr>
          <w:b/>
        </w:rPr>
        <w:t>real property</w:t>
      </w:r>
      <w:r>
        <w:t xml:space="preserve"> (buildings, offshore platforms treated as structures) under </w:t>
      </w:r>
      <w:r>
        <w:rPr>
          <w:b/>
        </w:rPr>
        <w:t>US Internal Revenue Code Section 1250</w:t>
      </w:r>
      <w:r>
        <w:t xml:space="preserve">, recapture applies only to </w:t>
      </w:r>
      <w:r>
        <w:rPr>
          <w:b/>
        </w:rPr>
        <w:t>accelerated depreciation</w:t>
      </w:r>
      <w:r>
        <w:t xml:space="preserve"> in excess of straight-line depreciation:</w:t>
      </w:r>
    </w:p>
    <w:p>
      <w:r>
        <w:rPr>
          <w:b/>
        </w:rPr>
        <w:t>Formula:</w:t>
      </w:r>
    </w:p>
    <w:p>
      <w:pPr>
        <w:pStyle w:val="ListBullet"/>
      </w:pPr>
      <w:r>
        <w:rPr>
          <w:b/>
        </w:rPr>
        <w:t>US Internal Revenue Code Section 1250 recapture = Gain × (Accelerated depreciation - Straight-line depreciation)</w:t>
      </w:r>
    </w:p>
    <w:p>
      <w:r>
        <w:t xml:space="preserve">Since most real property uses </w:t>
      </w:r>
      <w:r>
        <w:rPr>
          <w:b/>
        </w:rPr>
        <w:t>straight-line depreciation</w:t>
      </w:r>
      <w:r>
        <w:t xml:space="preserve">, Section 1250 recapture is </w:t>
      </w:r>
      <w:r>
        <w:rPr>
          <w:b/>
        </w:rPr>
        <w:t>rarely triggered</w:t>
      </w:r>
      <w:r>
        <w:t xml:space="preserve"> in oil and gas transactions.</w:t>
      </w:r>
    </w:p>
    <w:p>
      <w:r>
        <w:t xml:space="preserve">However, </w:t>
      </w:r>
      <w:r>
        <w:rPr>
          <w:b/>
        </w:rPr>
        <w:t>unrecaptured Section 1250 gain</w:t>
      </w:r>
      <w:r>
        <w:t xml:space="preserve"> (depreciation on real property) is taxed at </w:t>
      </w:r>
      <w:r>
        <w:rPr>
          <w:b/>
        </w:rPr>
        <w:t>25%</w:t>
      </w:r>
      <w:r>
        <w:t xml:space="preserve"> (higher than normal capital gains rate of 15-20%).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5. Goodwill and Section 197 Intangibles</w:t>
      </w:r>
    </w:p>
    <w:p>
      <w:pPr>
        <w:pStyle w:val="Heading3"/>
      </w:pPr>
      <w:r>
        <w:t>5.1 Goodwill in Oil &amp; Gas Acquisitions</w:t>
      </w:r>
    </w:p>
    <w:p>
      <w:r>
        <w:rPr>
          <w:b/>
        </w:rPr>
        <w:t>Goodwill</w:t>
      </w:r>
      <w:r>
        <w:t xml:space="preserve"> arises when purchase price exceeds the fair market value of identifiable net assets:</w:t>
      </w:r>
    </w:p>
    <w:p>
      <w:r>
        <w:rPr>
          <w:b/>
        </w:rPr>
        <w:t>Purchase Price Allocation:</w:t>
      </w:r>
    </w:p>
    <w:p>
      <w:pPr>
        <w:pStyle w:val="ListBullet"/>
      </w:pPr>
      <w:r>
        <w:t xml:space="preserve">Total purchase price: </w:t>
      </w:r>
      <w:r>
        <w:rPr>
          <w:b/>
        </w:rPr>
        <w:t>$500 million</w:t>
      </w:r>
    </w:p>
    <w:p>
      <w:pPr>
        <w:pStyle w:val="ListBullet"/>
      </w:pPr>
      <w:r>
        <w:t xml:space="preserve">Less: FMV of tangible assets (equipment, facilities): </w:t>
      </w:r>
      <w:r>
        <w:rPr>
          <w:b/>
        </w:rPr>
        <w:t>$200 million</w:t>
      </w:r>
    </w:p>
    <w:p>
      <w:pPr>
        <w:pStyle w:val="ListBullet"/>
      </w:pPr>
      <w:r>
        <w:t xml:space="preserve">Less: FMV of identifiable intangibles (licenses, reserves): </w:t>
      </w:r>
      <w:r>
        <w:rPr>
          <w:b/>
        </w:rPr>
        <w:t>$250 million</w:t>
      </w:r>
    </w:p>
    <w:p>
      <w:pPr>
        <w:pStyle w:val="ListBullet"/>
      </w:pPr>
      <w:r>
        <w:rPr>
          <w:b/>
        </w:rPr>
        <w:t>Goodwill (residual): $50 million</w:t>
      </w:r>
    </w:p>
    <w:p>
      <w:r>
        <w:rPr>
          <w:b/>
        </w:rPr>
        <w:t>Tax Treatment (US):</w:t>
      </w:r>
    </w:p>
    <w:p>
      <w:pPr>
        <w:pStyle w:val="ListBullet"/>
      </w:pPr>
      <w:r>
        <w:t xml:space="preserve">Goodwill is amortized over </w:t>
      </w:r>
      <w:r>
        <w:rPr>
          <w:b/>
        </w:rPr>
        <w:t>15 years straight-line</w:t>
      </w:r>
      <w:r>
        <w:t xml:space="preserve"> under </w:t>
      </w:r>
      <w:r>
        <w:rPr>
          <w:b/>
        </w:rPr>
        <w:t>US Internal Revenue Code Section 197</w:t>
      </w:r>
    </w:p>
    <w:p>
      <w:pPr>
        <w:pStyle w:val="ListBullet"/>
      </w:pPr>
      <w:r>
        <w:rPr>
          <w:b/>
        </w:rPr>
        <w:t>Annual amortization: $50M ÷ 15 = $3.33 million per year</w:t>
      </w:r>
    </w:p>
    <w:p>
      <w:pPr>
        <w:pStyle w:val="Heading3"/>
      </w:pPr>
      <w:r>
        <w:t>5.2 Strategic Allocation to Goodwill</w:t>
      </w:r>
    </w:p>
    <w:p>
      <w:r>
        <w:t xml:space="preserve">Buyers prefer to </w:t>
      </w:r>
      <w:r>
        <w:rPr>
          <w:b/>
        </w:rPr>
        <w:t>minimize goodwill</w:t>
      </w:r>
      <w:r>
        <w:t xml:space="preserve"> allocation and </w:t>
      </w:r>
      <w:r>
        <w:rPr>
          <w:b/>
        </w:rPr>
        <w:t>maximize allocation to shorter-lived assets</w:t>
      </w:r>
      <w:r>
        <w:t>:</w:t>
      </w:r>
    </w:p>
    <w:p>
      <w:r>
        <w:rPr>
          <w:b/>
        </w:rPr>
        <w:t>Preference Ranking (Buyer Perspective):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Asset Class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Recovery Period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Tax Benefit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1. IDCs</w:t>
            </w:r>
          </w:p>
        </w:tc>
        <w:tc>
          <w:tcPr>
            <w:tcW w:type="dxa" w:w="2880"/>
          </w:tcPr>
          <w:p>
            <w:r/>
            <w:r>
              <w:t>Immediate</w:t>
            </w:r>
          </w:p>
        </w:tc>
        <w:tc>
          <w:tcPr>
            <w:tcW w:type="dxa" w:w="2880"/>
          </w:tcPr>
          <w:p>
            <w:r/>
            <w:r>
              <w:t>Highest (immediate deduction)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2. Equipment (7-year MACRS)</w:t>
            </w:r>
          </w:p>
        </w:tc>
        <w:tc>
          <w:tcPr>
            <w:tcW w:type="dxa" w:w="2880"/>
          </w:tcPr>
          <w:p>
            <w:r/>
            <w:r>
              <w:t>7 years</w:t>
            </w:r>
          </w:p>
        </w:tc>
        <w:tc>
          <w:tcPr>
            <w:tcW w:type="dxa" w:w="2880"/>
          </w:tcPr>
          <w:p>
            <w:r/>
            <w:r>
              <w:t>High (fast depreciation)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3. Reserves (cost depletion)</w:t>
            </w:r>
          </w:p>
        </w:tc>
        <w:tc>
          <w:tcPr>
            <w:tcW w:type="dxa" w:w="2880"/>
          </w:tcPr>
          <w:p>
            <w:r/>
            <w:r>
              <w:t>Production-based</w:t>
            </w:r>
          </w:p>
        </w:tc>
        <w:tc>
          <w:tcPr>
            <w:tcW w:type="dxa" w:w="2880"/>
          </w:tcPr>
          <w:p>
            <w:r/>
            <w:r>
              <w:t>Medium (matches production)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4. Licenses (US IRC Section 197)</w:t>
            </w:r>
          </w:p>
        </w:tc>
        <w:tc>
          <w:tcPr>
            <w:tcW w:type="dxa" w:w="2880"/>
          </w:tcPr>
          <w:p>
            <w:r/>
            <w:r>
              <w:t>15 years</w:t>
            </w:r>
          </w:p>
        </w:tc>
        <w:tc>
          <w:tcPr>
            <w:tcW w:type="dxa" w:w="2880"/>
          </w:tcPr>
          <w:p>
            <w:r/>
            <w:r>
              <w:t>Lower (long amortization)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5. Goodwill (US IRC Section 197)</w:t>
            </w:r>
          </w:p>
        </w:tc>
        <w:tc>
          <w:tcPr>
            <w:tcW w:type="dxa" w:w="2880"/>
          </w:tcPr>
          <w:p>
            <w:r/>
            <w:r>
              <w:t>15 years</w:t>
            </w:r>
          </w:p>
        </w:tc>
        <w:tc>
          <w:tcPr>
            <w:tcW w:type="dxa" w:w="2880"/>
          </w:tcPr>
          <w:p>
            <w:r/>
            <w:r>
              <w:t>Lowest (residual, slow recovery)</w:t>
            </w:r>
          </w:p>
        </w:tc>
      </w:tr>
    </w:tbl>
    <w:p/>
    <w:p>
      <w:r>
        <w:rPr>
          <w:b/>
        </w:rPr>
        <w:t>Tax Authority Scrutiny:</w:t>
      </w:r>
    </w:p>
    <w:p>
      <w:r>
        <w:t>Aggressive allocations that minimize goodwill face IRS or HMRC challenges. Taxpayers must support allocations with:</w:t>
      </w:r>
    </w:p>
    <w:p>
      <w:pPr>
        <w:pStyle w:val="ListBullet"/>
      </w:pPr>
      <w:r>
        <w:rPr>
          <w:b/>
        </w:rPr>
        <w:t>Independent appraisals</w:t>
      </w:r>
    </w:p>
    <w:p>
      <w:pPr>
        <w:pStyle w:val="ListBullet"/>
      </w:pPr>
      <w:r>
        <w:rPr>
          <w:b/>
        </w:rPr>
        <w:t>Market comparables</w:t>
      </w:r>
    </w:p>
    <w:p>
      <w:pPr>
        <w:pStyle w:val="ListBullet"/>
      </w:pPr>
      <w:r>
        <w:rPr>
          <w:b/>
        </w:rPr>
        <w:t>Discounted cash flow models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6. Asset Step-Up in Cross-Border Transactions</w:t>
      </w:r>
    </w:p>
    <w:p>
      <w:pPr>
        <w:pStyle w:val="Heading3"/>
      </w:pPr>
      <w:r>
        <w:t>6.1 Transfer Pricing Considerations</w:t>
      </w:r>
    </w:p>
    <w:p>
      <w:r>
        <w:t xml:space="preserve">When acquiring assets from a </w:t>
      </w:r>
      <w:r>
        <w:rPr>
          <w:b/>
        </w:rPr>
        <w:t>related party</w:t>
      </w:r>
      <w:r>
        <w:t xml:space="preserve"> (e.g., sister company within same group), the purchase price must be </w:t>
      </w:r>
      <w:r>
        <w:rPr>
          <w:b/>
        </w:rPr>
        <w:t>arm's length</w:t>
      </w:r>
      <w:r>
        <w:t>:</w:t>
      </w:r>
    </w:p>
    <w:p>
      <w:pPr>
        <w:pStyle w:val="ListBullet"/>
      </w:pPr>
      <w:r>
        <w:rPr>
          <w:b/>
        </w:rPr>
        <w:t>Transfer pricing rules</w:t>
      </w:r>
      <w:r>
        <w:t xml:space="preserve"> require documentation supporting fair market value</w:t>
      </w:r>
    </w:p>
    <w:p>
      <w:pPr>
        <w:pStyle w:val="ListBullet"/>
      </w:pPr>
      <w:r>
        <w:t>Tax authorities may adjust basis if price is not arm's length</w:t>
      </w:r>
    </w:p>
    <w:p>
      <w:pPr>
        <w:pStyle w:val="ListBullet"/>
      </w:pPr>
      <w:r>
        <w:rPr>
          <w:b/>
        </w:rPr>
        <w:t>Penalties</w:t>
      </w:r>
      <w:r>
        <w:t xml:space="preserve"> for inadequate documentation</w:t>
      </w:r>
    </w:p>
    <w:p>
      <w:pPr>
        <w:pStyle w:val="Heading3"/>
      </w:pPr>
      <w:r>
        <w:t>6.2 Tax Treaty Impact</w:t>
      </w:r>
    </w:p>
    <w:p>
      <w:r>
        <w:t>Some tax treaties contain provisions affecting capital gains and depreciation on asset sales:</w:t>
      </w:r>
    </w:p>
    <w:p>
      <w:r>
        <w:rPr>
          <w:b/>
        </w:rPr>
        <w:t>OECD Model Article 13 (Capital Gains):</w:t>
      </w:r>
    </w:p>
    <w:p>
      <w:pPr>
        <w:pStyle w:val="ListBullet"/>
      </w:pPr>
      <w:r>
        <w:rPr>
          <w:b/>
        </w:rPr>
        <w:t>Immovable property</w:t>
      </w:r>
      <w:r>
        <w:t>: Taxable in country where located</w:t>
      </w:r>
    </w:p>
    <w:p>
      <w:pPr>
        <w:pStyle w:val="ListBullet"/>
      </w:pPr>
      <w:r>
        <w:rPr>
          <w:b/>
        </w:rPr>
        <w:t>Business property of PE</w:t>
      </w:r>
      <w:r>
        <w:t>: Taxable in PE country</w:t>
      </w:r>
    </w:p>
    <w:p>
      <w:pPr>
        <w:pStyle w:val="ListBullet"/>
      </w:pPr>
      <w:r>
        <w:rPr>
          <w:b/>
        </w:rPr>
        <w:t>Shares deriving value from immovable property</w:t>
      </w:r>
      <w:r>
        <w:t>: May be taxable in source country</w:t>
      </w:r>
    </w:p>
    <w:p>
      <w:r>
        <w:rPr>
          <w:b/>
        </w:rPr>
        <w:t>Depreciation Cross-Border:</w:t>
      </w:r>
    </w:p>
    <w:p>
      <w:pPr>
        <w:pStyle w:val="ListBullet"/>
      </w:pPr>
      <w:r>
        <w:t xml:space="preserve">Most countries allow depreciation only on assets </w:t>
      </w:r>
      <w:r>
        <w:rPr>
          <w:b/>
        </w:rPr>
        <w:t>used in domestic trade or business</w:t>
      </w:r>
    </w:p>
    <w:p>
      <w:pPr>
        <w:pStyle w:val="ListBullet"/>
      </w:pPr>
      <w:r>
        <w:t>Assets used in foreign PE may not generate deductions in home country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7. Worked Examples</w:t>
      </w:r>
    </w:p>
    <w:p>
      <w:pPr>
        <w:pStyle w:val="Heading3"/>
      </w:pPr>
      <w:r>
        <w:t>WORKED EXAMPLE 1: Asset Step-Up and Depreciation Benefit</w:t>
      </w:r>
    </w:p>
    <w:p>
      <w:r>
        <w:rPr>
          <w:b/>
        </w:rPr>
        <w:t>Facts:</w:t>
      </w:r>
    </w:p>
    <w:p>
      <w:r>
        <w:t xml:space="preserve">Buyer Corp acquires oil production assets from Seller Inc. for </w:t>
      </w:r>
      <w:r>
        <w:rPr>
          <w:b/>
        </w:rPr>
        <w:t>$300 million</w:t>
      </w:r>
      <w:r>
        <w:t>. The assets include: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Asset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Seller's Adjusted Basis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Purchase Price Allocation</w:t>
            </w:r>
          </w:p>
        </w:tc>
      </w:tr>
      <w:tr>
        <w:tc>
          <w:tcPr>
            <w:tcW w:type="dxa" w:w="2880"/>
          </w:tcPr>
          <w:p>
            <w:r/>
            <w:r>
              <w:t>Drilling equipment (7-year MACRS)</w:t>
            </w:r>
          </w:p>
        </w:tc>
        <w:tc>
          <w:tcPr>
            <w:tcW w:type="dxa" w:w="2880"/>
          </w:tcPr>
          <w:p>
            <w:r/>
            <w:r>
              <w:t>$40M</w:t>
            </w:r>
          </w:p>
        </w:tc>
        <w:tc>
          <w:tcPr>
            <w:tcW w:type="dxa" w:w="2880"/>
          </w:tcPr>
          <w:p>
            <w:r/>
            <w:r>
              <w:t>$120M</w:t>
            </w:r>
          </w:p>
        </w:tc>
      </w:tr>
      <w:tr>
        <w:tc>
          <w:tcPr>
            <w:tcW w:type="dxa" w:w="2880"/>
          </w:tcPr>
          <w:p>
            <w:r/>
            <w:r>
              <w:t>Production facilities (7-year MACRS)</w:t>
            </w:r>
          </w:p>
        </w:tc>
        <w:tc>
          <w:tcPr>
            <w:tcW w:type="dxa" w:w="2880"/>
          </w:tcPr>
          <w:p>
            <w:r/>
            <w:r>
              <w:t>$30M</w:t>
            </w:r>
          </w:p>
        </w:tc>
        <w:tc>
          <w:tcPr>
            <w:tcW w:type="dxa" w:w="2880"/>
          </w:tcPr>
          <w:p>
            <w:r/>
            <w:r>
              <w:t>$100M</w:t>
            </w:r>
          </w:p>
        </w:tc>
      </w:tr>
      <w:tr>
        <w:tc>
          <w:tcPr>
            <w:tcW w:type="dxa" w:w="2880"/>
          </w:tcPr>
          <w:p>
            <w:r/>
            <w:r>
              <w:t>Gathering pipelines (15-year MACRS)</w:t>
            </w:r>
          </w:p>
        </w:tc>
        <w:tc>
          <w:tcPr>
            <w:tcW w:type="dxa" w:w="2880"/>
          </w:tcPr>
          <w:p>
            <w:r/>
            <w:r>
              <w:t>$20M</w:t>
            </w:r>
          </w:p>
        </w:tc>
        <w:tc>
          <w:tcPr>
            <w:tcW w:type="dxa" w:w="2880"/>
          </w:tcPr>
          <w:p>
            <w:r/>
            <w:r>
              <w:t>$50M</w:t>
            </w:r>
          </w:p>
        </w:tc>
      </w:tr>
      <w:tr>
        <w:tc>
          <w:tcPr>
            <w:tcW w:type="dxa" w:w="2880"/>
          </w:tcPr>
          <w:p>
            <w:r/>
            <w:r>
              <w:t>Proven reserves (cost depletion)</w:t>
            </w:r>
          </w:p>
        </w:tc>
        <w:tc>
          <w:tcPr>
            <w:tcW w:type="dxa" w:w="2880"/>
          </w:tcPr>
          <w:p>
            <w:r/>
            <w:r>
              <w:t>$10M</w:t>
            </w:r>
          </w:p>
        </w:tc>
        <w:tc>
          <w:tcPr>
            <w:tcW w:type="dxa" w:w="2880"/>
          </w:tcPr>
          <w:p>
            <w:r/>
            <w:r>
              <w:t>$20M</w:t>
            </w:r>
          </w:p>
        </w:tc>
      </w:tr>
      <w:tr>
        <w:tc>
          <w:tcPr>
            <w:tcW w:type="dxa" w:w="2880"/>
          </w:tcPr>
          <w:p>
            <w:r/>
            <w:r>
              <w:t>Goodwill (Section 197 amortization)</w:t>
            </w:r>
          </w:p>
        </w:tc>
        <w:tc>
          <w:tcPr>
            <w:tcW w:type="dxa" w:w="2880"/>
          </w:tcPr>
          <w:p>
            <w:r/>
            <w:r>
              <w:t>$0</w:t>
            </w:r>
          </w:p>
        </w:tc>
        <w:tc>
          <w:tcPr>
            <w:tcW w:type="dxa" w:w="2880"/>
          </w:tcPr>
          <w:p>
            <w:r/>
            <w:r>
              <w:t>$10M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$100M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$300M</w:t>
            </w:r>
          </w:p>
        </w:tc>
      </w:tr>
    </w:tbl>
    <w:p/>
    <w:p>
      <w:r>
        <w:rPr>
          <w:b/>
        </w:rPr>
        <w:t>Tax rates:</w:t>
      </w:r>
    </w:p>
    <w:p>
      <w:pPr>
        <w:pStyle w:val="ListBullet"/>
      </w:pPr>
      <w:r>
        <w:t xml:space="preserve">Corporate income tax: </w:t>
      </w:r>
      <w:r>
        <w:rPr>
          <w:b/>
        </w:rPr>
        <w:t>25%</w:t>
      </w:r>
    </w:p>
    <w:p>
      <w:pPr>
        <w:pStyle w:val="ListBullet"/>
      </w:pPr>
      <w:r>
        <w:t xml:space="preserve">Discount rate: </w:t>
      </w:r>
      <w:r>
        <w:rPr>
          <w:b/>
        </w:rPr>
        <w:t>10%</w:t>
      </w:r>
    </w:p>
    <w:p>
      <w:r>
        <w:rPr>
          <w:b/>
        </w:rPr>
        <w:t>Required:</w:t>
      </w:r>
    </w:p>
    <w:p>
      <w:pPr>
        <w:pStyle w:val="ListNumber"/>
      </w:pPr>
      <w:r>
        <w:t xml:space="preserve">Calculate annual depreciation/depletion for Years 1-3 under </w:t>
      </w:r>
      <w:r>
        <w:rPr>
          <w:b/>
        </w:rPr>
        <w:t>Buyer's stepped-up basis</w:t>
      </w:r>
    </w:p>
    <w:p>
      <w:pPr>
        <w:pStyle w:val="ListNumber"/>
      </w:pPr>
      <w:r>
        <w:t>Compare to depreciation Seller was claiming (no step-up scenario)</w:t>
      </w:r>
    </w:p>
    <w:p>
      <w:pPr>
        <w:pStyle w:val="ListNumber"/>
      </w:pPr>
      <w:r>
        <w:t>Calculate present value of incremental tax savings from step-up</w:t>
      </w:r>
    </w:p>
    <w:p>
      <w:r>
        <w:rPr>
          <w:b/>
        </w:rPr>
        <w:t>Analysis:</w:t>
      </w:r>
    </w:p>
    <w:p>
      <w:r>
        <w:rPr>
          <w:b/>
        </w:rPr>
        <w:t>Part 1: Buyer's Annual Depreciation (Years 1-3)</w:t>
      </w:r>
    </w:p>
    <w:p>
      <w:r>
        <w:rPr>
          <w:b/>
        </w:rPr>
        <w:t>Drilling Equipment ($120M, 7-year MACRS, 200% DB):</w:t>
      </w:r>
    </w:p>
    <w:p>
      <w:r>
        <w:t>MACRS 7-year percentages: 14.29%, 24.49%, 17.49%, 12.49%, 8.93%, 8.92%, 8.93%, 4.46%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Depreciation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 xml:space="preserve">$120M × 14.29% = </w:t>
            </w:r>
            <w:r>
              <w:rPr>
                <w:b/>
              </w:rPr>
              <w:t>$17.15M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 xml:space="preserve">$120M × 24.49% = </w:t>
            </w:r>
            <w:r>
              <w:rPr>
                <w:b/>
              </w:rPr>
              <w:t>$29.39M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 xml:space="preserve">$120M × 17.49% = </w:t>
            </w:r>
            <w:r>
              <w:rPr>
                <w:b/>
              </w:rPr>
              <w:t>$20.99M</w:t>
            </w:r>
          </w:p>
        </w:tc>
      </w:tr>
    </w:tbl>
    <w:p/>
    <w:p>
      <w:r>
        <w:rPr>
          <w:b/>
        </w:rPr>
        <w:t>Production Facilities ($100M, 7-year MACRS):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Depreciation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 xml:space="preserve">$100M × 14.29% = </w:t>
            </w:r>
            <w:r>
              <w:rPr>
                <w:b/>
              </w:rPr>
              <w:t>$14.29M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 xml:space="preserve">$100M × 24.49% = </w:t>
            </w:r>
            <w:r>
              <w:rPr>
                <w:b/>
              </w:rPr>
              <w:t>$24.49M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 xml:space="preserve">$100M × 17.49% = </w:t>
            </w:r>
            <w:r>
              <w:rPr>
                <w:b/>
              </w:rPr>
              <w:t>$17.49M</w:t>
            </w:r>
          </w:p>
        </w:tc>
      </w:tr>
    </w:tbl>
    <w:p/>
    <w:p>
      <w:r>
        <w:rPr>
          <w:b/>
        </w:rPr>
        <w:t>Gathering Pipelines ($50M, 15-year MACRS, 150% DB):</w:t>
      </w:r>
    </w:p>
    <w:p>
      <w:r>
        <w:t>15-year MACRS percentages: 5%, 9.50%, 8.55%, 7.70%, 6.93%, ...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Depreciation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 xml:space="preserve">$50M × 5% = </w:t>
            </w:r>
            <w:r>
              <w:rPr>
                <w:b/>
              </w:rPr>
              <w:t>$2.50M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 xml:space="preserve">$50M × 9.50% = </w:t>
            </w:r>
            <w:r>
              <w:rPr>
                <w:b/>
              </w:rPr>
              <w:t>$4.75M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 xml:space="preserve">$50M × 8.55% = </w:t>
            </w:r>
            <w:r>
              <w:rPr>
                <w:b/>
              </w:rPr>
              <w:t>$4.28M</w:t>
            </w:r>
          </w:p>
        </w:tc>
      </w:tr>
    </w:tbl>
    <w:p/>
    <w:p>
      <w:r>
        <w:rPr>
          <w:b/>
        </w:rPr>
        <w:t>Proven Reserves ($20M, cost depletion):</w:t>
      </w:r>
    </w:p>
    <w:p>
      <w:r>
        <w:t>Assume 10 million barrels of reserves, production of 1 million bbls/year:</w:t>
      </w:r>
    </w:p>
    <w:p>
      <w:pPr>
        <w:pStyle w:val="ListBullet"/>
      </w:pPr>
      <w:r>
        <w:t xml:space="preserve">Cost depletion per barrel: $20M ÷ 10M = </w:t>
      </w:r>
      <w:r>
        <w:rPr>
          <w:b/>
        </w:rPr>
        <w:t>$2/bbl</w:t>
      </w:r>
    </w:p>
    <w:p>
      <w:pPr>
        <w:pStyle w:val="ListBullet"/>
      </w:pPr>
      <w:r>
        <w:rPr>
          <w:b/>
        </w:rPr>
        <w:t>Annual depletion: 1M bbls × $2 = $2M per year</w:t>
      </w:r>
    </w:p>
    <w:p>
      <w:r>
        <w:rPr>
          <w:b/>
        </w:rPr>
        <w:t>Goodwill ($10M, US Internal Revenue Code Section 197 amortization):</w:t>
      </w:r>
    </w:p>
    <w:p>
      <w:pPr>
        <w:pStyle w:val="ListBullet"/>
      </w:pPr>
      <w:r>
        <w:rPr>
          <w:b/>
        </w:rPr>
        <w:t>Annual amortization: $10M ÷ 15 years = $0.67M per year</w:t>
      </w:r>
    </w:p>
    <w:p>
      <w:r>
        <w:rPr>
          <w:b/>
        </w:rPr>
        <w:t>Total Annual Deductions: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Equipment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Facilities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Pipelines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Depletion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Goodwill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Total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$17.15M</w:t>
            </w:r>
          </w:p>
        </w:tc>
        <w:tc>
          <w:tcPr>
            <w:tcW w:type="dxa" w:w="1234"/>
          </w:tcPr>
          <w:p>
            <w:r/>
            <w:r>
              <w:t>$14.29M</w:t>
            </w:r>
          </w:p>
        </w:tc>
        <w:tc>
          <w:tcPr>
            <w:tcW w:type="dxa" w:w="1234"/>
          </w:tcPr>
          <w:p>
            <w:r/>
            <w:r>
              <w:t>$2.50M</w:t>
            </w:r>
          </w:p>
        </w:tc>
        <w:tc>
          <w:tcPr>
            <w:tcW w:type="dxa" w:w="1234"/>
          </w:tcPr>
          <w:p>
            <w:r/>
            <w:r>
              <w:t>$2.00M</w:t>
            </w:r>
          </w:p>
        </w:tc>
        <w:tc>
          <w:tcPr>
            <w:tcW w:type="dxa" w:w="1234"/>
          </w:tcPr>
          <w:p>
            <w:r/>
            <w:r>
              <w:t>$0.67M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$36.61M</w:t>
            </w:r>
          </w:p>
        </w:tc>
      </w:tr>
      <w:tr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$29.39M</w:t>
            </w:r>
          </w:p>
        </w:tc>
        <w:tc>
          <w:tcPr>
            <w:tcW w:type="dxa" w:w="1234"/>
          </w:tcPr>
          <w:p>
            <w:r/>
            <w:r>
              <w:t>$24.49M</w:t>
            </w:r>
          </w:p>
        </w:tc>
        <w:tc>
          <w:tcPr>
            <w:tcW w:type="dxa" w:w="1234"/>
          </w:tcPr>
          <w:p>
            <w:r/>
            <w:r>
              <w:t>$4.75M</w:t>
            </w:r>
          </w:p>
        </w:tc>
        <w:tc>
          <w:tcPr>
            <w:tcW w:type="dxa" w:w="1234"/>
          </w:tcPr>
          <w:p>
            <w:r/>
            <w:r>
              <w:t>$2.00M</w:t>
            </w:r>
          </w:p>
        </w:tc>
        <w:tc>
          <w:tcPr>
            <w:tcW w:type="dxa" w:w="1234"/>
          </w:tcPr>
          <w:p>
            <w:r/>
            <w:r>
              <w:t>$0.67M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$61.30M</w:t>
            </w:r>
          </w:p>
        </w:tc>
      </w:tr>
      <w:tr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$20.99M</w:t>
            </w:r>
          </w:p>
        </w:tc>
        <w:tc>
          <w:tcPr>
            <w:tcW w:type="dxa" w:w="1234"/>
          </w:tcPr>
          <w:p>
            <w:r/>
            <w:r>
              <w:t>$17.49M</w:t>
            </w:r>
          </w:p>
        </w:tc>
        <w:tc>
          <w:tcPr>
            <w:tcW w:type="dxa" w:w="1234"/>
          </w:tcPr>
          <w:p>
            <w:r/>
            <w:r>
              <w:t>$4.28M</w:t>
            </w:r>
          </w:p>
        </w:tc>
        <w:tc>
          <w:tcPr>
            <w:tcW w:type="dxa" w:w="1234"/>
          </w:tcPr>
          <w:p>
            <w:r/>
            <w:r>
              <w:t>$2.00M</w:t>
            </w:r>
          </w:p>
        </w:tc>
        <w:tc>
          <w:tcPr>
            <w:tcW w:type="dxa" w:w="1234"/>
          </w:tcPr>
          <w:p>
            <w:r/>
            <w:r>
              <w:t>$0.67M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$45.43M</w:t>
            </w:r>
          </w:p>
        </w:tc>
      </w:tr>
    </w:tbl>
    <w:p/>
    <w:p>
      <w:r>
        <w:rPr>
          <w:b/>
        </w:rPr>
        <w:t>Part 2: Seller's Historical Depreciation (No Step-Up)</w:t>
      </w:r>
    </w:p>
    <w:p>
      <w:r>
        <w:t>Based on Seller's adjusted basis of $100M:</w:t>
      </w:r>
    </w:p>
    <w:p>
      <w:r>
        <w:t>Assume assets were partially depreciated, with remaining basis: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Asset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Remaining Basis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Annual Depreciation</w:t>
            </w:r>
          </w:p>
        </w:tc>
      </w:tr>
      <w:tr>
        <w:tc>
          <w:tcPr>
            <w:tcW w:type="dxa" w:w="2880"/>
          </w:tcPr>
          <w:p>
            <w:r/>
            <w:r>
              <w:t>Drilling equipment</w:t>
            </w:r>
          </w:p>
        </w:tc>
        <w:tc>
          <w:tcPr>
            <w:tcW w:type="dxa" w:w="2880"/>
          </w:tcPr>
          <w:p>
            <w:r/>
            <w:r>
              <w:t>$40M</w:t>
            </w:r>
          </w:p>
        </w:tc>
        <w:tc>
          <w:tcPr>
            <w:tcW w:type="dxa" w:w="2880"/>
          </w:tcPr>
          <w:p>
            <w:r/>
            <w:r>
              <w:t xml:space="preserve">$40M ÷ 4 years remaining = </w:t>
            </w:r>
            <w:r>
              <w:rPr>
                <w:b/>
              </w:rPr>
              <w:t>$10M</w:t>
            </w:r>
          </w:p>
        </w:tc>
      </w:tr>
      <w:tr>
        <w:tc>
          <w:tcPr>
            <w:tcW w:type="dxa" w:w="2880"/>
          </w:tcPr>
          <w:p>
            <w:r/>
            <w:r>
              <w:t>Production facilities</w:t>
            </w:r>
          </w:p>
        </w:tc>
        <w:tc>
          <w:tcPr>
            <w:tcW w:type="dxa" w:w="2880"/>
          </w:tcPr>
          <w:p>
            <w:r/>
            <w:r>
              <w:t>$30M</w:t>
            </w:r>
          </w:p>
        </w:tc>
        <w:tc>
          <w:tcPr>
            <w:tcW w:type="dxa" w:w="2880"/>
          </w:tcPr>
          <w:p>
            <w:r/>
            <w:r>
              <w:t xml:space="preserve">$30M ÷ 3 years = </w:t>
            </w:r>
            <w:r>
              <w:rPr>
                <w:b/>
              </w:rPr>
              <w:t>$10M</w:t>
            </w:r>
          </w:p>
        </w:tc>
      </w:tr>
      <w:tr>
        <w:tc>
          <w:tcPr>
            <w:tcW w:type="dxa" w:w="2880"/>
          </w:tcPr>
          <w:p>
            <w:r/>
            <w:r>
              <w:t>Gathering pipelines</w:t>
            </w:r>
          </w:p>
        </w:tc>
        <w:tc>
          <w:tcPr>
            <w:tcW w:type="dxa" w:w="2880"/>
          </w:tcPr>
          <w:p>
            <w:r/>
            <w:r>
              <w:t>$20M</w:t>
            </w:r>
          </w:p>
        </w:tc>
        <w:tc>
          <w:tcPr>
            <w:tcW w:type="dxa" w:w="2880"/>
          </w:tcPr>
          <w:p>
            <w:r/>
            <w:r>
              <w:t xml:space="preserve">$20M ÷ 10 years = </w:t>
            </w:r>
            <w:r>
              <w:rPr>
                <w:b/>
              </w:rPr>
              <w:t>$2M</w:t>
            </w:r>
          </w:p>
        </w:tc>
      </w:tr>
      <w:tr>
        <w:tc>
          <w:tcPr>
            <w:tcW w:type="dxa" w:w="2880"/>
          </w:tcPr>
          <w:p>
            <w:r/>
            <w:r>
              <w:t>Proven reserves</w:t>
            </w:r>
          </w:p>
        </w:tc>
        <w:tc>
          <w:tcPr>
            <w:tcW w:type="dxa" w:w="2880"/>
          </w:tcPr>
          <w:p>
            <w:r/>
            <w:r>
              <w:t>$10M</w:t>
            </w:r>
          </w:p>
        </w:tc>
        <w:tc>
          <w:tcPr>
            <w:tcW w:type="dxa" w:w="2880"/>
          </w:tcPr>
          <w:p>
            <w:r/>
            <w:r>
              <w:t xml:space="preserve">$10M ÷ 10M bbls × 1M bbls = </w:t>
            </w:r>
            <w:r>
              <w:rPr>
                <w:b/>
              </w:rPr>
              <w:t>$1M</w:t>
            </w:r>
          </w:p>
        </w:tc>
      </w:tr>
      <w:tr>
        <w:tc>
          <w:tcPr>
            <w:tcW w:type="dxa" w:w="2880"/>
          </w:tcPr>
          <w:p>
            <w:r/>
            <w:r>
              <w:t>Goodwill</w:t>
            </w:r>
          </w:p>
        </w:tc>
        <w:tc>
          <w:tcPr>
            <w:tcW w:type="dxa" w:w="2880"/>
          </w:tcPr>
          <w:p>
            <w:r/>
            <w:r>
              <w:t>$0</w:t>
            </w:r>
          </w:p>
        </w:tc>
        <w:tc>
          <w:tcPr>
            <w:tcW w:type="dxa" w:w="2880"/>
          </w:tcPr>
          <w:p>
            <w:r/>
            <w:r>
              <w:t>$0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$100M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$23M per year</w:t>
            </w:r>
          </w:p>
        </w:tc>
      </w:tr>
    </w:tbl>
    <w:p/>
    <w:p>
      <w:r>
        <w:rPr>
          <w:b/>
        </w:rPr>
        <w:t>Part 3: Incremental Tax Savings</w:t>
      </w:r>
    </w:p>
    <w:p>
      <w:r>
        <w:rPr>
          <w:b/>
        </w:rPr>
        <w:t>Year 1:</w:t>
      </w:r>
    </w:p>
    <w:p>
      <w:pPr>
        <w:pStyle w:val="ListBullet"/>
      </w:pPr>
      <w:r>
        <w:t xml:space="preserve">Additional deductions from step-up: $36.61M - $23M = </w:t>
      </w:r>
      <w:r>
        <w:rPr>
          <w:b/>
        </w:rPr>
        <w:t>$13.61M</w:t>
      </w:r>
    </w:p>
    <w:p>
      <w:pPr>
        <w:pStyle w:val="ListBullet"/>
      </w:pPr>
      <w:r>
        <w:t xml:space="preserve">Tax savings: $13.61M × 25% = </w:t>
      </w:r>
      <w:r>
        <w:rPr>
          <w:b/>
        </w:rPr>
        <w:t>$3.40M</w:t>
      </w:r>
    </w:p>
    <w:p>
      <w:r>
        <w:rPr>
          <w:b/>
        </w:rPr>
        <w:t>Year 2:</w:t>
      </w:r>
    </w:p>
    <w:p>
      <w:pPr>
        <w:pStyle w:val="ListBullet"/>
      </w:pPr>
      <w:r>
        <w:t xml:space="preserve">Additional deductions: $61.30M - $23M = </w:t>
      </w:r>
      <w:r>
        <w:rPr>
          <w:b/>
        </w:rPr>
        <w:t>$38.30M</w:t>
      </w:r>
    </w:p>
    <w:p>
      <w:pPr>
        <w:pStyle w:val="ListBullet"/>
      </w:pPr>
      <w:r>
        <w:t xml:space="preserve">Tax savings: $38.30M × 25% = </w:t>
      </w:r>
      <w:r>
        <w:rPr>
          <w:b/>
        </w:rPr>
        <w:t>$9.58M</w:t>
      </w:r>
    </w:p>
    <w:p>
      <w:r>
        <w:rPr>
          <w:b/>
        </w:rPr>
        <w:t>Year 3:</w:t>
      </w:r>
    </w:p>
    <w:p>
      <w:pPr>
        <w:pStyle w:val="ListBullet"/>
      </w:pPr>
      <w:r>
        <w:t xml:space="preserve">Additional deductions: $45.43M - $23M = </w:t>
      </w:r>
      <w:r>
        <w:rPr>
          <w:b/>
        </w:rPr>
        <w:t>$22.43M</w:t>
      </w:r>
    </w:p>
    <w:p>
      <w:pPr>
        <w:pStyle w:val="ListBullet"/>
      </w:pPr>
      <w:r>
        <w:t xml:space="preserve">Tax savings: $22.43M × 25% = </w:t>
      </w:r>
      <w:r>
        <w:rPr>
          <w:b/>
        </w:rPr>
        <w:t>$5.61M</w:t>
      </w:r>
    </w:p>
    <w:p>
      <w:r>
        <w:rPr>
          <w:b/>
        </w:rPr>
        <w:t>Present Value Calculation (10% discount):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Tax Savings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PV Factor (10%)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Present Value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$3.40M</w:t>
            </w:r>
          </w:p>
        </w:tc>
        <w:tc>
          <w:tcPr>
            <w:tcW w:type="dxa" w:w="2160"/>
          </w:tcPr>
          <w:p>
            <w:r/>
            <w:r>
              <w:t>0.909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$3.09M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$9.58M</w:t>
            </w:r>
          </w:p>
        </w:tc>
        <w:tc>
          <w:tcPr>
            <w:tcW w:type="dxa" w:w="2160"/>
          </w:tcPr>
          <w:p>
            <w:r/>
            <w:r>
              <w:t>0.826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$7.91M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$5.61M</w:t>
            </w:r>
          </w:p>
        </w:tc>
        <w:tc>
          <w:tcPr>
            <w:tcW w:type="dxa" w:w="2160"/>
          </w:tcPr>
          <w:p>
            <w:r/>
            <w:r>
              <w:t>0.751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$4.21M</w:t>
            </w:r>
          </w:p>
        </w:tc>
      </w:tr>
      <w:tr>
        <w:tc>
          <w:tcPr>
            <w:tcW w:type="dxa" w:w="2160"/>
          </w:tcPr>
          <w:p>
            <w:r/>
            <w:r>
              <w:t>4-15</w:t>
            </w:r>
          </w:p>
        </w:tc>
        <w:tc>
          <w:tcPr>
            <w:tcW w:type="dxa" w:w="2160"/>
          </w:tcPr>
          <w:p>
            <w:r/>
            <w:r>
              <w:t>(continue depreciation)</w:t>
            </w:r>
          </w:p>
        </w:tc>
        <w:tc>
          <w:tcPr>
            <w:tcW w:type="dxa" w:w="2160"/>
          </w:tcPr>
          <w:p>
            <w:r/>
            <w:r>
              <w:t>...</w:t>
            </w:r>
          </w:p>
        </w:tc>
        <w:tc>
          <w:tcPr>
            <w:tcW w:type="dxa" w:w="2160"/>
          </w:tcPr>
          <w:p>
            <w:r/>
            <w:r>
              <w:t>$35M (approx.)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 PV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/>
              </w:rPr>
              <w:t>~$50M</w:t>
            </w:r>
          </w:p>
        </w:tc>
      </w:tr>
    </w:tbl>
    <w:p/>
    <w:p>
      <w:r>
        <w:rPr>
          <w:b/>
        </w:rPr>
        <w:t>Conclusion:</w:t>
      </w:r>
    </w:p>
    <w:p>
      <w:r>
        <w:t xml:space="preserve">The asset step-up generates approximately </w:t>
      </w:r>
      <w:r>
        <w:rPr>
          <w:b/>
        </w:rPr>
        <w:t>$50 million in present value</w:t>
      </w:r>
      <w:r>
        <w:t xml:space="preserve"> tax savings over the asset lives, representing </w:t>
      </w:r>
      <w:r>
        <w:rPr>
          <w:b/>
        </w:rPr>
        <w:t>16.7% of the $300M purchase price</w:t>
      </w:r>
      <w:r>
        <w:t>. This substantial benefit justifies the buyer's preference for asset purchases despite higher seller tax costs.</w:t>
      </w:r>
    </w:p>
    <w:p>
      <w:r>
        <w:t>═══════════════════════════════════════════</w:t>
      </w:r>
    </w:p>
    <w:p>
      <w:pPr>
        <w:pStyle w:val="Heading3"/>
      </w:pPr>
      <w:r>
        <w:t>WORKED EXAMPLE 2: Depreciation Recapture and Asset Step-Up Combined</w:t>
      </w:r>
    </w:p>
    <w:p>
      <w:r>
        <w:rPr>
          <w:b/>
        </w:rPr>
        <w:t>Facts:</w:t>
      </w:r>
    </w:p>
    <w:p>
      <w:r>
        <w:t>Seller Corp is disposing of its offshore oil production platform and related equipment as part of an asset sale. Details: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Original Cost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Accumulated Depreciation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Adjusted Basis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Sale Price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Offshore platform</w:t>
            </w:r>
          </w:p>
        </w:tc>
        <w:tc>
          <w:tcPr>
            <w:tcW w:type="dxa" w:w="1728"/>
          </w:tcPr>
          <w:p>
            <w:r/>
            <w:r>
              <w:t>$80M</w:t>
            </w:r>
          </w:p>
        </w:tc>
        <w:tc>
          <w:tcPr>
            <w:tcW w:type="dxa" w:w="1728"/>
          </w:tcPr>
          <w:p>
            <w:r/>
            <w:r>
              <w:t>$50M</w:t>
            </w:r>
          </w:p>
        </w:tc>
        <w:tc>
          <w:tcPr>
            <w:tcW w:type="dxa" w:w="1728"/>
          </w:tcPr>
          <w:p>
            <w:r/>
            <w:r>
              <w:t>$30M</w:t>
            </w:r>
          </w:p>
        </w:tc>
        <w:tc>
          <w:tcPr>
            <w:tcW w:type="dxa" w:w="1728"/>
          </w:tcPr>
          <w:p>
            <w:r/>
            <w:r>
              <w:t>$90M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Drilling equipment</w:t>
            </w:r>
          </w:p>
        </w:tc>
        <w:tc>
          <w:tcPr>
            <w:tcW w:type="dxa" w:w="1728"/>
          </w:tcPr>
          <w:p>
            <w:r/>
            <w:r>
              <w:t>$40M</w:t>
            </w:r>
          </w:p>
        </w:tc>
        <w:tc>
          <w:tcPr>
            <w:tcW w:type="dxa" w:w="1728"/>
          </w:tcPr>
          <w:p>
            <w:r/>
            <w:r>
              <w:t>$30M</w:t>
            </w:r>
          </w:p>
        </w:tc>
        <w:tc>
          <w:tcPr>
            <w:tcW w:type="dxa" w:w="1728"/>
          </w:tcPr>
          <w:p>
            <w:r/>
            <w:r>
              <w:t>$10M</w:t>
            </w:r>
          </w:p>
        </w:tc>
        <w:tc>
          <w:tcPr>
            <w:tcW w:type="dxa" w:w="1728"/>
          </w:tcPr>
          <w:p>
            <w:r/>
            <w:r>
              <w:t>$35M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$120M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$80M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$40M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$125M</w:t>
            </w:r>
          </w:p>
        </w:tc>
      </w:tr>
    </w:tbl>
    <w:p/>
    <w:p>
      <w:r>
        <w:rPr>
          <w:b/>
        </w:rPr>
        <w:t>Seller's tax rate:</w:t>
      </w:r>
      <w:r>
        <w:t xml:space="preserve"> 25% (corporate income tax)</w:t>
      </w:r>
    </w:p>
    <w:p>
      <w:r>
        <w:rPr>
          <w:b/>
        </w:rPr>
        <w:t>Capital gains rate:</w:t>
      </w:r>
      <w:r>
        <w:t xml:space="preserve"> 15%</w:t>
      </w:r>
    </w:p>
    <w:p>
      <w:r>
        <w:rPr>
          <w:b/>
        </w:rPr>
        <w:t>Buyer will use 7-year MACRS for all assets</w:t>
      </w:r>
      <w:r>
        <w:t xml:space="preserve"> (assumes platform qualifies as equipment).</w:t>
      </w:r>
    </w:p>
    <w:p>
      <w:r>
        <w:rPr>
          <w:b/>
        </w:rPr>
        <w:t>Required:</w:t>
      </w:r>
    </w:p>
    <w:p>
      <w:pPr>
        <w:pStyle w:val="ListNumber"/>
      </w:pPr>
      <w:r>
        <w:t xml:space="preserve">Calculate Seller's </w:t>
      </w:r>
      <w:r>
        <w:rPr>
          <w:b/>
        </w:rPr>
        <w:t>depreciation recapture</w:t>
      </w:r>
      <w:r>
        <w:t xml:space="preserve"> (ordinary income) and </w:t>
      </w:r>
      <w:r>
        <w:rPr>
          <w:b/>
        </w:rPr>
        <w:t>capital gain</w:t>
      </w:r>
    </w:p>
    <w:p>
      <w:pPr>
        <w:pStyle w:val="ListNumber"/>
      </w:pPr>
      <w:r>
        <w:t xml:space="preserve">Calculate Seller's </w:t>
      </w:r>
      <w:r>
        <w:rPr>
          <w:b/>
        </w:rPr>
        <w:t>total tax liability</w:t>
      </w:r>
      <w:r>
        <w:t xml:space="preserve"> on the sale</w:t>
      </w:r>
    </w:p>
    <w:p>
      <w:pPr>
        <w:pStyle w:val="ListNumber"/>
      </w:pPr>
      <w:r>
        <w:t xml:space="preserve">Calculate Buyer's </w:t>
      </w:r>
      <w:r>
        <w:rPr>
          <w:b/>
        </w:rPr>
        <w:t>Year 1 and Year 2 depreciation</w:t>
      </w:r>
      <w:r>
        <w:t xml:space="preserve"> on stepped-up basis</w:t>
      </w:r>
    </w:p>
    <w:p>
      <w:pPr>
        <w:pStyle w:val="ListNumber"/>
      </w:pPr>
      <w:r>
        <w:t xml:space="preserve">Determine </w:t>
      </w:r>
      <w:r>
        <w:rPr>
          <w:b/>
        </w:rPr>
        <w:t>net economic benefit</w:t>
      </w:r>
      <w:r>
        <w:t xml:space="preserve"> to buyer from step-up over 7 years (PV at 10%)</w:t>
      </w:r>
    </w:p>
    <w:p>
      <w:r>
        <w:rPr>
          <w:b/>
        </w:rPr>
        <w:t>Analysis:</w:t>
      </w:r>
    </w:p>
    <w:p>
      <w:r>
        <w:rPr>
          <w:b/>
        </w:rPr>
        <w:t>Part 1: Seller's Recapture and Capital Gain</w:t>
      </w:r>
    </w:p>
    <w:p>
      <w:r>
        <w:rPr>
          <w:b/>
        </w:rPr>
        <w:t>Offshore Platform:</w:t>
      </w:r>
    </w:p>
    <w:p>
      <w:pPr>
        <w:pStyle w:val="ListBullet"/>
      </w:pPr>
      <w:r>
        <w:t xml:space="preserve">Gain realized: $90M - $30M = </w:t>
      </w:r>
      <w:r>
        <w:rPr>
          <w:b/>
        </w:rPr>
        <w:t>$60M</w:t>
      </w:r>
    </w:p>
    <w:p>
      <w:pPr>
        <w:pStyle w:val="ListBullet"/>
      </w:pPr>
      <w:r>
        <w:t>US Internal Revenue Code Section 1245 recapture (lesser of gain or accumulated depreciation):</w:t>
      </w:r>
    </w:p>
    <w:p>
      <w:pPr>
        <w:pStyle w:val="ListBullet"/>
        <w:ind w:left="360"/>
      </w:pPr>
      <w:r>
        <w:t xml:space="preserve">Lesser of $60M or $50M = </w:t>
      </w:r>
      <w:r>
        <w:rPr>
          <w:b/>
        </w:rPr>
        <w:t>$50M ordinary income</w:t>
      </w:r>
    </w:p>
    <w:p>
      <w:pPr>
        <w:pStyle w:val="ListBullet"/>
      </w:pPr>
      <w:r>
        <w:t xml:space="preserve">Capital gain (excess over original cost): $90M - $80M original cost = </w:t>
      </w:r>
      <w:r>
        <w:rPr>
          <w:b/>
        </w:rPr>
        <w:t>$10M capital gain</w:t>
      </w:r>
    </w:p>
    <w:p>
      <w:r>
        <w:rPr>
          <w:b/>
        </w:rPr>
        <w:t>Drilling Equipment:</w:t>
      </w:r>
    </w:p>
    <w:p>
      <w:pPr>
        <w:pStyle w:val="ListBullet"/>
      </w:pPr>
      <w:r>
        <w:t xml:space="preserve">Gain realized: $35M - $10M = </w:t>
      </w:r>
      <w:r>
        <w:rPr>
          <w:b/>
        </w:rPr>
        <w:t>$25M</w:t>
      </w:r>
    </w:p>
    <w:p>
      <w:pPr>
        <w:pStyle w:val="ListBullet"/>
      </w:pPr>
      <w:r>
        <w:t xml:space="preserve">US Internal Revenue Code Section 1245 recapture: Lesser of $25M or $30M depreciation = </w:t>
      </w:r>
      <w:r>
        <w:rPr>
          <w:b/>
        </w:rPr>
        <w:t>$25M ordinary income</w:t>
      </w:r>
    </w:p>
    <w:p>
      <w:pPr>
        <w:pStyle w:val="ListBullet"/>
      </w:pPr>
      <w:r>
        <w:t>Capital gain: $0 (sale price &lt; original cost)</w:t>
      </w:r>
    </w:p>
    <w:p>
      <w:r>
        <w:rPr>
          <w:b/>
        </w:rPr>
        <w:t>Total Recapture and Gains:</w:t>
      </w:r>
    </w:p>
    <w:p>
      <w:pPr>
        <w:pStyle w:val="ListBullet"/>
      </w:pPr>
      <w:r>
        <w:rPr>
          <w:b/>
        </w:rPr>
        <w:t>Ordinary income (recapture): $50M + $25M = $75M</w:t>
      </w:r>
    </w:p>
    <w:p>
      <w:pPr>
        <w:pStyle w:val="ListBullet"/>
      </w:pPr>
      <w:r>
        <w:rPr>
          <w:b/>
        </w:rPr>
        <w:t>Capital gain: $10M</w:t>
      </w:r>
    </w:p>
    <w:p>
      <w:r>
        <w:rPr>
          <w:b/>
        </w:rPr>
        <w:t>Part 2: Seller's Tax Liability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Amount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Tax</w:t>
            </w:r>
          </w:p>
        </w:tc>
      </w:tr>
      <w:tr>
        <w:tc>
          <w:tcPr>
            <w:tcW w:type="dxa" w:w="2160"/>
          </w:tcPr>
          <w:p>
            <w:r/>
            <w:r>
              <w:t>Ordinary income (recapture)</w:t>
            </w:r>
          </w:p>
        </w:tc>
        <w:tc>
          <w:tcPr>
            <w:tcW w:type="dxa" w:w="2160"/>
          </w:tcPr>
          <w:p>
            <w:r/>
            <w:r>
              <w:t>$75M</w:t>
            </w:r>
          </w:p>
        </w:tc>
        <w:tc>
          <w:tcPr>
            <w:tcW w:type="dxa" w:w="2160"/>
          </w:tcPr>
          <w:p>
            <w:r/>
            <w:r>
              <w:t>25%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$18.75M</w:t>
            </w:r>
          </w:p>
        </w:tc>
      </w:tr>
      <w:tr>
        <w:tc>
          <w:tcPr>
            <w:tcW w:type="dxa" w:w="2160"/>
          </w:tcPr>
          <w:p>
            <w:r/>
            <w:r>
              <w:t>Capital gain</w:t>
            </w:r>
          </w:p>
        </w:tc>
        <w:tc>
          <w:tcPr>
            <w:tcW w:type="dxa" w:w="2160"/>
          </w:tcPr>
          <w:p>
            <w:r/>
            <w:r>
              <w:t>$10M</w:t>
            </w:r>
          </w:p>
        </w:tc>
        <w:tc>
          <w:tcPr>
            <w:tcW w:type="dxa" w:w="2160"/>
          </w:tcPr>
          <w:p>
            <w:r/>
            <w:r>
              <w:t>15%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$1.50M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 Tax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/>
              </w:rPr>
              <w:t>$20.25M</w:t>
            </w:r>
          </w:p>
        </w:tc>
      </w:tr>
    </w:tbl>
    <w:p/>
    <w:p>
      <w:r>
        <w:rPr>
          <w:b/>
        </w:rPr>
        <w:t>Seller's net proceeds:</w:t>
      </w:r>
    </w:p>
    <w:p>
      <w:pPr>
        <w:pStyle w:val="ListBullet"/>
      </w:pPr>
      <w:r>
        <w:t>Sale price: $125M</w:t>
      </w:r>
    </w:p>
    <w:p>
      <w:pPr>
        <w:pStyle w:val="ListBullet"/>
      </w:pPr>
      <w:r>
        <w:t>Less: Tax: ($20.25M)</w:t>
      </w:r>
    </w:p>
    <w:p>
      <w:pPr>
        <w:pStyle w:val="ListBullet"/>
      </w:pPr>
      <w:r>
        <w:rPr>
          <w:b/>
        </w:rPr>
        <w:t>Net proceeds: $104.75M</w:t>
      </w:r>
    </w:p>
    <w:p>
      <w:r>
        <w:rPr>
          <w:b/>
        </w:rPr>
        <w:t>Part 3: Buyer's Depreciation on Stepped-Up Basis</w:t>
      </w:r>
    </w:p>
    <w:p>
      <w:r>
        <w:rPr>
          <w:b/>
        </w:rPr>
        <w:t>Total stepped-up basis: $125M</w:t>
      </w:r>
      <w:r>
        <w:t xml:space="preserve"> (purchase price)</w:t>
      </w:r>
    </w:p>
    <w:p>
      <w:r>
        <w:t xml:space="preserve">Using </w:t>
      </w:r>
      <w:r>
        <w:rPr>
          <w:b/>
        </w:rPr>
        <w:t>7-year MACRS (200% declining balance):</w:t>
      </w:r>
    </w:p>
    <w:p>
      <w:r>
        <w:t>MACRS percentages: 14.29% (Year 1), 24.49% (Year 2), ...</w:t>
      </w:r>
    </w:p>
    <w:p>
      <w:r>
        <w:rPr>
          <w:b/>
        </w:rPr>
        <w:t>Year 1 depreciation:</w:t>
      </w:r>
    </w:p>
    <w:p>
      <w:pPr>
        <w:pStyle w:val="ListBullet"/>
      </w:pPr>
      <w:r>
        <w:t xml:space="preserve">$125M × 14.29% = </w:t>
      </w:r>
      <w:r>
        <w:rPr>
          <w:b/>
        </w:rPr>
        <w:t>$17.86M</w:t>
      </w:r>
    </w:p>
    <w:p>
      <w:r>
        <w:rPr>
          <w:b/>
        </w:rPr>
        <w:t>Year 2 depreciation:</w:t>
      </w:r>
    </w:p>
    <w:p>
      <w:pPr>
        <w:pStyle w:val="ListBullet"/>
      </w:pPr>
      <w:r>
        <w:t xml:space="preserve">$125M × 24.49% = </w:t>
      </w:r>
      <w:r>
        <w:rPr>
          <w:b/>
        </w:rPr>
        <w:t>$30.61M</w:t>
      </w:r>
    </w:p>
    <w:p>
      <w:r>
        <w:rPr>
          <w:b/>
        </w:rPr>
        <w:t>Tax savings:</w:t>
      </w:r>
    </w:p>
    <w:p>
      <w:pPr>
        <w:pStyle w:val="ListBullet"/>
      </w:pPr>
      <w:r>
        <w:t xml:space="preserve">Year 1: $17.86M × 25% = </w:t>
      </w:r>
      <w:r>
        <w:rPr>
          <w:b/>
        </w:rPr>
        <w:t>$4.47M</w:t>
      </w:r>
    </w:p>
    <w:p>
      <w:pPr>
        <w:pStyle w:val="ListBullet"/>
      </w:pPr>
      <w:r>
        <w:t xml:space="preserve">Year 2: $30.61M × 25% = </w:t>
      </w:r>
      <w:r>
        <w:rPr>
          <w:b/>
        </w:rPr>
        <w:t>$7.65M</w:t>
      </w:r>
    </w:p>
    <w:p>
      <w:r>
        <w:rPr>
          <w:b/>
        </w:rPr>
        <w:t>Part 4: Net Economic Benefit (PV over 7 years)</w:t>
      </w:r>
    </w:p>
    <w:p>
      <w:r>
        <w:t xml:space="preserve">Total depreciation over 7 years (sum of MACRS): </w:t>
      </w:r>
      <w:r>
        <w:rPr>
          <w:b/>
        </w:rPr>
        <w:t>$125M</w:t>
      </w:r>
      <w:r>
        <w:t xml:space="preserve"> (100% recovery)</w:t>
      </w:r>
    </w:p>
    <w:p>
      <w:r>
        <w:t>Compare to Seller's remaining basis if no sale occurred:</w:t>
      </w:r>
    </w:p>
    <w:p>
      <w:pPr>
        <w:pStyle w:val="ListBullet"/>
      </w:pPr>
      <w:r>
        <w:t xml:space="preserve">Seller's adjusted basis: </w:t>
      </w:r>
      <w:r>
        <w:rPr>
          <w:b/>
        </w:rPr>
        <w:t>$40M</w:t>
      </w:r>
    </w:p>
    <w:p>
      <w:pPr>
        <w:pStyle w:val="ListBullet"/>
      </w:pPr>
      <w:r>
        <w:t xml:space="preserve">Seller would depreciate $40M over remaining life (assume 4 years): </w:t>
      </w:r>
      <w:r>
        <w:rPr>
          <w:b/>
        </w:rPr>
        <w:t>$10M/year</w:t>
      </w:r>
    </w:p>
    <w:p>
      <w:r>
        <w:rPr>
          <w:b/>
        </w:rPr>
        <w:t>Buyer's incremental depreciation:</w:t>
      </w:r>
    </w:p>
    <w:p>
      <w:pPr>
        <w:pStyle w:val="ListBullet"/>
      </w:pPr>
      <w:r>
        <w:t>Total depreciation: $125M (over 7 years)</w:t>
      </w:r>
    </w:p>
    <w:p>
      <w:pPr>
        <w:pStyle w:val="ListBullet"/>
      </w:pPr>
      <w:r>
        <w:t>Less: Depreciation without step-up: $40M (over 4 years)</w:t>
      </w:r>
    </w:p>
    <w:p>
      <w:pPr>
        <w:pStyle w:val="ListBullet"/>
      </w:pPr>
      <w:r>
        <w:rPr>
          <w:b/>
        </w:rPr>
        <w:t>Incremental: $85M</w:t>
      </w:r>
    </w:p>
    <w:p>
      <w:r>
        <w:rPr>
          <w:b/>
        </w:rPr>
        <w:t>Tax savings from incremental depreciation:</w:t>
      </w:r>
    </w:p>
    <w:p>
      <w:pPr>
        <w:pStyle w:val="ListBullet"/>
      </w:pPr>
      <w:r>
        <w:t xml:space="preserve">$85M × 25% = </w:t>
      </w:r>
      <w:r>
        <w:rPr>
          <w:b/>
        </w:rPr>
        <w:t>$21.25M total tax savings</w:t>
      </w:r>
    </w:p>
    <w:p>
      <w:r>
        <w:rPr>
          <w:b/>
        </w:rPr>
        <w:t>Present value (approximate, using mid-year convention):</w:t>
      </w:r>
    </w:p>
    <w:p>
      <w:pPr>
        <w:pStyle w:val="ListBullet"/>
      </w:pPr>
      <w:r>
        <w:t xml:space="preserve">PV at 10% over 7 years: </w:t>
      </w:r>
      <w:r>
        <w:rPr>
          <w:b/>
        </w:rPr>
        <w:t>~$16M</w:t>
      </w:r>
    </w:p>
    <w:p>
      <w:r>
        <w:rPr>
          <w:b/>
        </w:rPr>
        <w:t>Conclusion:</w:t>
      </w:r>
    </w:p>
    <w:p>
      <w:r>
        <w:t xml:space="preserve">The asset step-up provides Buyer with approximately </w:t>
      </w:r>
      <w:r>
        <w:rPr>
          <w:b/>
        </w:rPr>
        <w:t>$16M in present value</w:t>
      </w:r>
      <w:r>
        <w:t xml:space="preserve"> tax benefits. However, Seller incurs </w:t>
      </w:r>
      <w:r>
        <w:rPr>
          <w:b/>
        </w:rPr>
        <w:t>$20.25M in taxes</w:t>
      </w:r>
      <w:r>
        <w:t xml:space="preserve"> on the sale (largely due to recapture).</w:t>
      </w:r>
    </w:p>
    <w:p>
      <w:r>
        <w:rPr>
          <w:b/>
        </w:rPr>
        <w:t>Negotiation Implications:</w:t>
      </w:r>
    </w:p>
    <w:p>
      <w:pPr>
        <w:pStyle w:val="ListBullet"/>
      </w:pPr>
      <w:r>
        <w:t xml:space="preserve">Seller would demand </w:t>
      </w:r>
      <w:r>
        <w:rPr>
          <w:b/>
        </w:rPr>
        <w:t>share sale</w:t>
      </w:r>
      <w:r>
        <w:t xml:space="preserve"> structure to avoid $20M tax hit</w:t>
      </w:r>
    </w:p>
    <w:p>
      <w:pPr>
        <w:pStyle w:val="ListBullet"/>
      </w:pPr>
      <w:r>
        <w:t>If Buyer insists on asset sale, purchase price must increase by ~$15-20M to compensate Seller</w:t>
      </w:r>
    </w:p>
    <w:p>
      <w:pPr>
        <w:pStyle w:val="ListBullet"/>
      </w:pPr>
      <w:r>
        <w:t>Net economic gain (Buyer's $16M PV benefit less Seller's compensation) may be minimal</w:t>
      </w:r>
    </w:p>
    <w:p>
      <w:r>
        <w:rPr>
          <w:b/>
        </w:rPr>
        <w:t>Optimal Solution:</w:t>
      </w:r>
    </w:p>
    <w:p>
      <w:pPr>
        <w:pStyle w:val="ListBullet"/>
      </w:pPr>
      <w:r>
        <w:t xml:space="preserve">Consider </w:t>
      </w:r>
      <w:r>
        <w:rPr>
          <w:b/>
        </w:rPr>
        <w:t>installment sale</w:t>
      </w:r>
      <w:r>
        <w:t xml:space="preserve"> or </w:t>
      </w:r>
      <w:r>
        <w:rPr>
          <w:b/>
        </w:rPr>
        <w:t>like-kind exchange</w:t>
      </w:r>
      <w:r>
        <w:t xml:space="preserve"> (if available) to defer Seller's tax</w:t>
      </w:r>
    </w:p>
    <w:p>
      <w:pPr>
        <w:pStyle w:val="ListBullet"/>
      </w:pPr>
      <w:r>
        <w:t xml:space="preserve">Or negotiate </w:t>
      </w:r>
      <w:r>
        <w:rPr>
          <w:b/>
        </w:rPr>
        <w:t>mixed structure</w:t>
      </w:r>
      <w:r>
        <w:t>: some assets, some shares</w:t>
      </w:r>
    </w:p>
    <w:p>
      <w:r>
        <w:t>═══════════════════════════════════════════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