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Carry forward tax losses</w:t>
      </w:r>
    </w:p>
    <w:p>
      <w:pPr>
        <w:pStyle w:val="Heading1"/>
      </w:pPr>
      <w:r>
        <w:t>ADIT Module 3.04 - Energy Resources Option</w:t>
      </w:r>
    </w:p>
    <w:p>
      <w:pPr>
        <w:pStyle w:val="Heading2"/>
      </w:pPr>
      <w:r>
        <w:t>Topic 31: Mergers and Acquisitions</w:t>
      </w:r>
    </w:p>
    <w:p>
      <w:pPr>
        <w:pStyle w:val="Heading3"/>
      </w:pPr>
      <w:r>
        <w:t>Carry-Forward Tax Losses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The Value of Tax Losses</w:t>
      </w:r>
    </w:p>
    <w:p>
      <w:r>
        <w:rPr>
          <w:b/>
        </w:rPr>
        <w:t>Carry-forward tax losses</w:t>
      </w:r>
      <w:r>
        <w:t xml:space="preserve"> (also called </w:t>
      </w:r>
      <w:r>
        <w:rPr>
          <w:b/>
        </w:rPr>
        <w:t>tax loss carryforwards</w:t>
      </w:r>
      <w:r>
        <w:t xml:space="preserve"> or </w:t>
      </w:r>
      <w:r>
        <w:rPr>
          <w:b/>
        </w:rPr>
        <w:t>net operating losses</w:t>
      </w:r>
      <w:r>
        <w:t>) represent one of the most valuable hidden assets in oil and gas acquisitions. These losses, accumulated from:</w:t>
      </w:r>
    </w:p>
    <w:p>
      <w:pPr>
        <w:pStyle w:val="ListBullet"/>
      </w:pPr>
      <w:r>
        <w:rPr>
          <w:b/>
        </w:rPr>
        <w:t>Exploration expenditures</w:t>
      </w:r>
      <w:r>
        <w:t xml:space="preserve"> during pre-production phases</w:t>
      </w:r>
    </w:p>
    <w:p>
      <w:pPr>
        <w:pStyle w:val="ListBullet"/>
      </w:pPr>
      <w:r>
        <w:rPr>
          <w:b/>
        </w:rPr>
        <w:t>Dry holes</w:t>
      </w:r>
      <w:r>
        <w:t xml:space="preserve"> and unsuccessful drilling campaigns</w:t>
      </w:r>
    </w:p>
    <w:p>
      <w:pPr>
        <w:pStyle w:val="ListBullet"/>
      </w:pPr>
      <w:r>
        <w:rPr>
          <w:b/>
        </w:rPr>
        <w:t>Development costs</w:t>
      </w:r>
      <w:r>
        <w:t xml:space="preserve"> exceeding revenues in early production</w:t>
      </w:r>
    </w:p>
    <w:p>
      <w:pPr>
        <w:pStyle w:val="ListBullet"/>
      </w:pPr>
      <w:r>
        <w:rPr>
          <w:b/>
        </w:rPr>
        <w:t>Operating losses</w:t>
      </w:r>
      <w:r>
        <w:t xml:space="preserve"> during low commodity price cycles</w:t>
      </w:r>
    </w:p>
    <w:p>
      <w:pPr>
        <w:pStyle w:val="ListBullet"/>
      </w:pPr>
      <w:r>
        <w:rPr>
          <w:b/>
        </w:rPr>
        <w:t>Abandonment and decommissioning</w:t>
      </w:r>
      <w:r>
        <w:t xml:space="preserve"> costs</w:t>
      </w:r>
    </w:p>
    <w:p>
      <w:r>
        <w:t xml:space="preserve">can offset </w:t>
      </w:r>
      <w:r>
        <w:rPr>
          <w:b/>
        </w:rPr>
        <w:t>future taxable income</w:t>
      </w:r>
      <w:r>
        <w:t>, potentially saving millions in tax payments. The present value of tax loss carryforwards can represent 15-30% of an acquisition target's value, particularly for companies transitioning from exploration to production.</w:t>
      </w:r>
    </w:p>
    <w:p>
      <w:pPr>
        <w:pStyle w:val="Heading3"/>
      </w:pPr>
      <w:r>
        <w:t>1.2 Strategic Importance in M&amp;A</w:t>
      </w:r>
    </w:p>
    <w:p>
      <w:r>
        <w:t>From a buyer's perspective, acquiring a company with substantial tax losses offers:</w:t>
      </w:r>
    </w:p>
    <w:p>
      <w:pPr>
        <w:pStyle w:val="ListBullet"/>
      </w:pPr>
      <w:r>
        <w:rPr>
          <w:b/>
        </w:rPr>
        <w:t>Immediate tax shelter</w:t>
      </w:r>
      <w:r>
        <w:t xml:space="preserve"> for post-acquisition profits</w:t>
      </w:r>
    </w:p>
    <w:p>
      <w:pPr>
        <w:pStyle w:val="ListBullet"/>
      </w:pPr>
      <w:r>
        <w:rPr>
          <w:b/>
        </w:rPr>
        <w:t>Accelerated cash flow</w:t>
      </w:r>
      <w:r>
        <w:t xml:space="preserve"> recovery</w:t>
      </w:r>
    </w:p>
    <w:p>
      <w:pPr>
        <w:pStyle w:val="ListBullet"/>
      </w:pPr>
      <w:r>
        <w:rPr>
          <w:b/>
        </w:rPr>
        <w:t>Reduced effective tax rate</w:t>
      </w:r>
      <w:r>
        <w:t xml:space="preserve"> in consolidation</w:t>
      </w:r>
    </w:p>
    <w:p>
      <w:pPr>
        <w:pStyle w:val="ListBullet"/>
      </w:pPr>
      <w:r>
        <w:rPr>
          <w:b/>
        </w:rPr>
        <w:t>Enhanced after-tax returns</w:t>
      </w:r>
      <w:r>
        <w:t xml:space="preserve"> on investment</w:t>
      </w:r>
    </w:p>
    <w:p>
      <w:r>
        <w:t xml:space="preserve">However, tax authorities impose </w:t>
      </w:r>
      <w:r>
        <w:rPr>
          <w:b/>
        </w:rPr>
        <w:t>significant restrictions</w:t>
      </w:r>
      <w:r>
        <w:t xml:space="preserve"> on the use of acquired losses to prevent "trafficking in losses" - the practice of purchasing loss companies solely for tax benefits without genuine business purpose.</w:t>
      </w:r>
    </w:p>
    <w:p>
      <w:pPr>
        <w:pStyle w:val="Heading3"/>
      </w:pPr>
      <w:r>
        <w:t>1.3 Key Questions in M&amp;A Planning</w:t>
      </w:r>
    </w:p>
    <w:p>
      <w:r>
        <w:t>Tax advisors must address:</w:t>
      </w:r>
    </w:p>
    <w:p>
      <w:pPr>
        <w:pStyle w:val="ListBullet"/>
      </w:pPr>
      <w:r>
        <w:t xml:space="preserve">Are the target's losses </w:t>
      </w:r>
      <w:r>
        <w:rPr>
          <w:b/>
        </w:rPr>
        <w:t>preserved</w:t>
      </w:r>
      <w:r>
        <w:t xml:space="preserve"> after change of ownership?</w:t>
      </w:r>
    </w:p>
    <w:p>
      <w:pPr>
        <w:pStyle w:val="ListBullet"/>
      </w:pPr>
      <w:r>
        <w:t xml:space="preserve">What </w:t>
      </w:r>
      <w:r>
        <w:rPr>
          <w:b/>
        </w:rPr>
        <w:t>continuity tests</w:t>
      </w:r>
      <w:r>
        <w:t xml:space="preserve"> and </w:t>
      </w:r>
      <w:r>
        <w:rPr>
          <w:b/>
        </w:rPr>
        <w:t>anti-avoidance rules</w:t>
      </w:r>
      <w:r>
        <w:t xml:space="preserve"> apply?</w:t>
      </w:r>
    </w:p>
    <w:p>
      <w:pPr>
        <w:pStyle w:val="ListBullet"/>
      </w:pPr>
      <w:r>
        <w:t xml:space="preserve">Can losses be used in </w:t>
      </w:r>
      <w:r>
        <w:rPr>
          <w:b/>
        </w:rPr>
        <w:t>tax consolidation</w:t>
      </w:r>
      <w:r>
        <w:t xml:space="preserve"> with profitable entities?</w:t>
      </w:r>
    </w:p>
    <w:p>
      <w:pPr>
        <w:pStyle w:val="ListBullet"/>
      </w:pPr>
      <w:r>
        <w:t xml:space="preserve">How do </w:t>
      </w:r>
      <w:r>
        <w:rPr>
          <w:b/>
        </w:rPr>
        <w:t>PSC regimes</w:t>
      </w:r>
      <w:r>
        <w:t xml:space="preserve"> treat cost recovery balances in acquisitions?</w:t>
      </w:r>
    </w:p>
    <w:p>
      <w:pPr>
        <w:pStyle w:val="ListBullet"/>
      </w:pPr>
      <w:r>
        <w:t xml:space="preserve">What </w:t>
      </w:r>
      <w:r>
        <w:rPr>
          <w:b/>
        </w:rPr>
        <w:t>due diligence</w:t>
      </w:r>
      <w:r>
        <w:t xml:space="preserve"> is required to verify loss availability?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Types of Tax Losses and Carryforwards</w:t>
      </w:r>
    </w:p>
    <w:p>
      <w:pPr>
        <w:pStyle w:val="Heading3"/>
      </w:pPr>
      <w:r>
        <w:t>2.1 Operating Losses</w:t>
      </w:r>
    </w:p>
    <w:p>
      <w:pPr>
        <w:pStyle w:val="Heading4"/>
      </w:pPr>
      <w:r>
        <w:t>2.1.1 Net Operating Losses (NOLs)</w:t>
      </w:r>
    </w:p>
    <w:p>
      <w:r>
        <w:rPr>
          <w:b/>
        </w:rPr>
        <w:t>Net Operating Losses</w:t>
      </w:r>
      <w:r>
        <w:t xml:space="preserve"> arise when tax-deductible expenses exceed taxable revenues in a given year. In oil and gas:</w:t>
      </w:r>
    </w:p>
    <w:p>
      <w:r>
        <w:rPr>
          <w:b/>
        </w:rPr>
        <w:t>Common sources:</w:t>
      </w:r>
    </w:p>
    <w:p>
      <w:pPr>
        <w:pStyle w:val="ListBullet"/>
      </w:pPr>
      <w:r>
        <w:rPr>
          <w:b/>
        </w:rPr>
        <w:t>Intangible Drilling Costs (IDCs)</w:t>
      </w:r>
      <w:r>
        <w:t xml:space="preserve"> immediately expensed</w:t>
      </w:r>
    </w:p>
    <w:p>
      <w:pPr>
        <w:pStyle w:val="ListBullet"/>
      </w:pPr>
      <w:r>
        <w:rPr>
          <w:b/>
        </w:rPr>
        <w:t>Geological and geophysical (G&amp;G) costs</w:t>
      </w:r>
    </w:p>
    <w:p>
      <w:pPr>
        <w:pStyle w:val="ListBullet"/>
      </w:pPr>
      <w:r>
        <w:rPr>
          <w:b/>
        </w:rPr>
        <w:t>Lease acquisition costs</w:t>
      </w:r>
      <w:r>
        <w:t xml:space="preserve"> amortized over shorter periods</w:t>
      </w:r>
    </w:p>
    <w:p>
      <w:pPr>
        <w:pStyle w:val="ListBullet"/>
      </w:pPr>
      <w:r>
        <w:rPr>
          <w:b/>
        </w:rPr>
        <w:t>Depreciation</w:t>
      </w:r>
      <w:r>
        <w:t xml:space="preserve"> on production equipment</w:t>
      </w:r>
    </w:p>
    <w:p>
      <w:pPr>
        <w:pStyle w:val="ListBullet"/>
      </w:pPr>
      <w:r>
        <w:rPr>
          <w:b/>
        </w:rPr>
        <w:t>Operating expenses</w:t>
      </w:r>
      <w:r>
        <w:t xml:space="preserve"> during low production or low price periods</w:t>
      </w:r>
    </w:p>
    <w:p>
      <w:pPr>
        <w:pStyle w:val="Heading4"/>
      </w:pPr>
      <w:r>
        <w:t>US Tax Treatment</w:t>
      </w:r>
    </w:p>
    <w:p>
      <w:pPr>
        <w:pStyle w:val="ListBullet"/>
      </w:pPr>
      <w:r>
        <w:t>Pre-2018 losses: Can be carried back 2 years, forward 20 years</w:t>
      </w:r>
    </w:p>
    <w:p>
      <w:pPr>
        <w:pStyle w:val="ListBullet"/>
      </w:pPr>
      <w:r>
        <w:t xml:space="preserve">Post-2017 losses (TCJA): </w:t>
      </w:r>
      <w:r>
        <w:rPr>
          <w:b/>
        </w:rPr>
        <w:t>No carryback</w:t>
      </w:r>
      <w:r>
        <w:t xml:space="preserve">, </w:t>
      </w:r>
      <w:r>
        <w:rPr>
          <w:b/>
        </w:rPr>
        <w:t>indefinite carryforward</w:t>
      </w:r>
      <w:r>
        <w:t xml:space="preserve">, limited to </w:t>
      </w:r>
      <w:r>
        <w:rPr>
          <w:b/>
        </w:rPr>
        <w:t>80% of taxable income</w:t>
      </w:r>
    </w:p>
    <w:p>
      <w:pPr>
        <w:pStyle w:val="ListBullet"/>
      </w:pPr>
      <w:r>
        <w:rPr>
          <w:b/>
        </w:rPr>
        <w:t>CARES Act (2020)</w:t>
      </w:r>
      <w:r>
        <w:t>: Temporarily restored 5-year carryback for 2018-2020 losses</w:t>
      </w:r>
    </w:p>
    <w:p>
      <w:pPr>
        <w:pStyle w:val="Heading4"/>
      </w:pPr>
      <w:r>
        <w:t>UK Tax Treatment</w:t>
      </w:r>
    </w:p>
    <w:p>
      <w:pPr>
        <w:pStyle w:val="ListBullet"/>
      </w:pPr>
      <w:r>
        <w:t>Ring Fence Trade Losses: Can be carried forward indefinitely against future ring fence profits</w:t>
      </w:r>
    </w:p>
    <w:p>
      <w:pPr>
        <w:pStyle w:val="ListBullet"/>
      </w:pPr>
      <w:r>
        <w:t>Non-trading losses: Special rules apply</w:t>
      </w:r>
    </w:p>
    <w:p>
      <w:pPr>
        <w:pStyle w:val="ListBullet"/>
      </w:pPr>
      <w:r>
        <w:t>Group relief available for 75%+ groups</w:t>
      </w:r>
    </w:p>
    <w:p>
      <w:pPr>
        <w:pStyle w:val="Heading4"/>
      </w:pPr>
      <w:r>
        <w:t>2.1.2 Capital Losses</w:t>
      </w:r>
    </w:p>
    <w:p>
      <w:r>
        <w:t>Capital losses arise from disposal of capital assets (shares, licenses, goodwill) at a loss. These typically:</w:t>
      </w:r>
    </w:p>
    <w:p>
      <w:pPr>
        <w:pStyle w:val="ListBullet"/>
      </w:pPr>
      <w:r>
        <w:t xml:space="preserve">Can </w:t>
      </w:r>
      <w:r>
        <w:rPr>
          <w:b/>
        </w:rPr>
        <w:t>only offset capital gains</w:t>
      </w:r>
      <w:r>
        <w:t xml:space="preserve"> (not ordinary income)</w:t>
      </w:r>
    </w:p>
    <w:p>
      <w:pPr>
        <w:pStyle w:val="ListBullet"/>
      </w:pPr>
      <w:r>
        <w:t>Are less valuable in oil and gas M&amp;A (most activity generates ordinary income)</w:t>
      </w:r>
    </w:p>
    <w:p>
      <w:pPr>
        <w:pStyle w:val="ListBullet"/>
      </w:pPr>
      <w:r>
        <w:t xml:space="preserve">May have </w:t>
      </w:r>
      <w:r>
        <w:rPr>
          <w:b/>
        </w:rPr>
        <w:t>shorter carryforward periods</w:t>
      </w:r>
      <w:r>
        <w:t xml:space="preserve"> (e.g., 5 years in some jurisdictions)</w:t>
      </w:r>
    </w:p>
    <w:p>
      <w:pPr>
        <w:pStyle w:val="Heading3"/>
      </w:pPr>
      <w:r>
        <w:t>2.2 Cost Recovery Balances in PSC Regimes</w:t>
      </w:r>
    </w:p>
    <w:p>
      <w:r>
        <w:t xml:space="preserve">Under </w:t>
      </w:r>
      <w:r>
        <w:rPr>
          <w:b/>
        </w:rPr>
        <w:t>Production Sharing Contracts</w:t>
      </w:r>
      <w:r>
        <w:t xml:space="preserve">, contractors accumulate </w:t>
      </w:r>
      <w:r>
        <w:rPr>
          <w:b/>
        </w:rPr>
        <w:t>unrecovered costs</w:t>
      </w:r>
      <w:r>
        <w:t xml:space="preserve"> during exploration and development:</w:t>
      </w:r>
    </w:p>
    <w:p>
      <w:pPr>
        <w:pStyle w:val="Heading4"/>
      </w:pPr>
      <w:r>
        <w:t>Cost Oil Carryforward</w:t>
      </w:r>
    </w:p>
    <w:p>
      <w:pPr>
        <w:pStyle w:val="ListBullet"/>
      </w:pPr>
      <w:r>
        <w:t>Exploration costs not yet recovered via cost oil</w:t>
      </w:r>
    </w:p>
    <w:p>
      <w:pPr>
        <w:pStyle w:val="ListBullet"/>
      </w:pPr>
      <w:r>
        <w:t>Development capex awaiting recovery</w:t>
      </w:r>
    </w:p>
    <w:p>
      <w:pPr>
        <w:pStyle w:val="ListBullet"/>
      </w:pPr>
      <w:r>
        <w:t>Operating costs in excess of cost oil allowance</w:t>
      </w:r>
    </w:p>
    <w:p>
      <w:pPr>
        <w:pStyle w:val="Heading4"/>
      </w:pPr>
      <w:r>
        <w:t>Treatment on Acquisition</w:t>
      </w:r>
    </w:p>
    <w:p>
      <w:pPr>
        <w:pStyle w:val="ListBullet"/>
      </w:pPr>
      <w:r>
        <w:t xml:space="preserve">Cost balances typically </w:t>
      </w:r>
      <w:r>
        <w:rPr>
          <w:b/>
        </w:rPr>
        <w:t>transfer with the PSC interest</w:t>
      </w:r>
    </w:p>
    <w:p>
      <w:pPr>
        <w:pStyle w:val="ListBullet"/>
      </w:pPr>
      <w:r>
        <w:t>New contractor "steps into shoes" of previous contractor</w:t>
      </w:r>
    </w:p>
    <w:p>
      <w:pPr>
        <w:pStyle w:val="ListBullet"/>
      </w:pPr>
      <w:r>
        <w:t xml:space="preserve">Subject to </w:t>
      </w:r>
      <w:r>
        <w:rPr>
          <w:b/>
        </w:rPr>
        <w:t>government approval</w:t>
      </w:r>
      <w:r>
        <w:t xml:space="preserve"> and PSC terms</w:t>
      </w:r>
    </w:p>
    <w:p>
      <w:pPr>
        <w:pStyle w:val="Heading4"/>
      </w:pPr>
      <w:r>
        <w:t>Example - Indonesia</w:t>
      </w:r>
    </w:p>
    <w:p>
      <w:pPr>
        <w:pStyle w:val="ListBullet"/>
      </w:pPr>
      <w:r>
        <w:t>Gross Split PSCs: No cost recovery mechanism (contractor receives fixed % of production)</w:t>
      </w:r>
    </w:p>
    <w:p>
      <w:pPr>
        <w:pStyle w:val="ListBullet"/>
      </w:pPr>
      <w:r>
        <w:t xml:space="preserve">Cost Recovery PSCs: Unrecovered costs carry forward, subject to </w:t>
      </w:r>
      <w:r>
        <w:rPr>
          <w:b/>
        </w:rPr>
        <w:t>cost oil ceiling</w:t>
      </w:r>
      <w:r>
        <w:t xml:space="preserve"> (typically 50-80% of production value)</w:t>
      </w:r>
    </w:p>
    <w:p>
      <w:pPr>
        <w:pStyle w:val="Heading4"/>
      </w:pPr>
      <w:r>
        <w:t>Critical Due Diligence</w:t>
      </w:r>
    </w:p>
    <w:p>
      <w:pPr>
        <w:pStyle w:val="ListBullet"/>
      </w:pPr>
      <w:r>
        <w:t>Verify cost pool balances with government audits</w:t>
      </w:r>
    </w:p>
    <w:p>
      <w:pPr>
        <w:pStyle w:val="ListBullet"/>
      </w:pPr>
      <w:r>
        <w:t>Review any disputed costs or disallowances</w:t>
      </w:r>
    </w:p>
    <w:p>
      <w:pPr>
        <w:pStyle w:val="ListBullet"/>
      </w:pPr>
      <w:r>
        <w:t>Confirm recovery provisions in PSC survive assignment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Change of Ownership Restrictions</w:t>
      </w:r>
    </w:p>
    <w:p>
      <w:pPr>
        <w:pStyle w:val="Heading3"/>
      </w:pPr>
      <w:r>
        <w:t>3.1 Policy Rationale for Restrictions</w:t>
      </w:r>
    </w:p>
    <w:p>
      <w:r>
        <w:t xml:space="preserve">Tax authorities impose </w:t>
      </w:r>
      <w:r>
        <w:rPr>
          <w:b/>
        </w:rPr>
        <w:t>loss limitation rules</w:t>
      </w:r>
      <w:r>
        <w:t xml:space="preserve"> to prevent:</w:t>
      </w:r>
    </w:p>
    <w:p>
      <w:pPr>
        <w:pStyle w:val="ListBullet"/>
      </w:pPr>
      <w:r>
        <w:rPr>
          <w:b/>
        </w:rPr>
        <w:t>Loss trafficking</w:t>
      </w:r>
      <w:r>
        <w:t>: Acquiring loss companies solely for tax benefits</w:t>
      </w:r>
    </w:p>
    <w:p>
      <w:pPr>
        <w:pStyle w:val="ListBullet"/>
      </w:pPr>
      <w:r>
        <w:rPr>
          <w:b/>
        </w:rPr>
        <w:t>Tax arbitrage</w:t>
      </w:r>
      <w:r>
        <w:t>: Combining profitable and loss-making entities solely to reduce tax</w:t>
      </w:r>
    </w:p>
    <w:p>
      <w:pPr>
        <w:pStyle w:val="ListBullet"/>
      </w:pPr>
      <w:r>
        <w:rPr>
          <w:b/>
        </w:rPr>
        <w:t>Economic discontinuity</w:t>
      </w:r>
      <w:r>
        <w:t>: Using losses from one business to shelter income from an unrelated business</w:t>
      </w:r>
    </w:p>
    <w:p>
      <w:pPr>
        <w:pStyle w:val="Heading4"/>
      </w:pPr>
      <w:r>
        <w:t>3.1.1 Continuity Principles</w:t>
      </w:r>
    </w:p>
    <w:p>
      <w:r>
        <w:t xml:space="preserve">Most jurisdictions apply some form of </w:t>
      </w:r>
      <w:r>
        <w:rPr>
          <w:b/>
        </w:rPr>
        <w:t>continuity test</w:t>
      </w:r>
      <w:r>
        <w:t>:</w:t>
      </w:r>
    </w:p>
    <w:p>
      <w:pPr>
        <w:pStyle w:val="ListBullet"/>
      </w:pPr>
      <w:r>
        <w:rPr>
          <w:b/>
        </w:rPr>
        <w:t>Ownership continuity</w:t>
      </w:r>
      <w:r>
        <w:t>: Substantial shareholding must remain constant</w:t>
      </w:r>
    </w:p>
    <w:p>
      <w:pPr>
        <w:pStyle w:val="ListBullet"/>
      </w:pPr>
      <w:r>
        <w:rPr>
          <w:b/>
        </w:rPr>
        <w:t>Business continuity</w:t>
      </w:r>
      <w:r>
        <w:t>: Same trade or business must continue</w:t>
      </w:r>
    </w:p>
    <w:p>
      <w:pPr>
        <w:pStyle w:val="ListBullet"/>
      </w:pPr>
      <w:r>
        <w:rPr>
          <w:b/>
        </w:rPr>
        <w:t>Income continuity</w:t>
      </w:r>
      <w:r>
        <w:t>: Losses offset only income from the same or similar activities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3.2 US Section 382 Limitations</w:t>
      </w:r>
    </w:p>
    <w:p>
      <w:pPr>
        <w:pStyle w:val="Heading4"/>
      </w:pPr>
      <w:r>
        <w:t>3.2.1 The Section 382 Framework</w:t>
      </w:r>
    </w:p>
    <w:p>
      <w:r>
        <w:rPr>
          <w:b/>
        </w:rPr>
        <w:t>US Internal Revenue Code Section 382</w:t>
      </w:r>
      <w:r>
        <w:t xml:space="preserve"> is the primary US rule restricting loss carryforwards after ownership changes.</w:t>
      </w:r>
    </w:p>
    <w:p>
      <w:r>
        <w:rPr>
          <w:b/>
        </w:rPr>
        <w:t>Ownership Change Definition:</w:t>
      </w:r>
    </w:p>
    <w:p>
      <w:r>
        <w:t xml:space="preserve">An </w:t>
      </w:r>
      <w:r>
        <w:rPr>
          <w:b/>
        </w:rPr>
        <w:t>ownership change</w:t>
      </w:r>
      <w:r>
        <w:t xml:space="preserve"> occurs when:</w:t>
      </w:r>
    </w:p>
    <w:p>
      <w:pPr>
        <w:pStyle w:val="ListBullet"/>
      </w:pPr>
      <w:r>
        <w:rPr>
          <w:b/>
        </w:rPr>
        <w:t>50 percentage point increase</w:t>
      </w:r>
      <w:r>
        <w:t xml:space="preserve"> in ownership by </w:t>
      </w:r>
      <w:r>
        <w:rPr>
          <w:b/>
        </w:rPr>
        <w:t>5% shareholders</w:t>
      </w:r>
    </w:p>
    <w:p>
      <w:pPr>
        <w:pStyle w:val="ListBullet"/>
      </w:pPr>
      <w:r>
        <w:t xml:space="preserve">Measured over a </w:t>
      </w:r>
      <w:r>
        <w:rPr>
          <w:b/>
        </w:rPr>
        <w:t>3-year testing period</w:t>
      </w:r>
    </w:p>
    <w:p>
      <w:pPr>
        <w:pStyle w:val="ListBullet"/>
      </w:pPr>
      <w:r>
        <w:t>Applies to corporations only (not partnerships unless TEFRA election made)</w:t>
      </w:r>
    </w:p>
    <w:p>
      <w:r>
        <w:rPr>
          <w:b/>
        </w:rPr>
        <w:t>Example:</w:t>
      </w:r>
    </w:p>
    <w:p>
      <w:pPr>
        <w:pStyle w:val="ListBullet"/>
      </w:pPr>
      <w:r>
        <w:t>January 1, Year 1: Shareholder A owns 30%, Shareholder B owns 25%, Public owns 45%</w:t>
      </w:r>
    </w:p>
    <w:p>
      <w:pPr>
        <w:pStyle w:val="ListBullet"/>
      </w:pPr>
      <w:r>
        <w:t>December 31, Year 3: Shareholder A owns 15% (decrease 15%), Shareholder C owns 40% (new 5% shareholder)</w:t>
      </w:r>
    </w:p>
    <w:p>
      <w:pPr>
        <w:pStyle w:val="ListBullet"/>
      </w:pPr>
      <w:r>
        <w:rPr>
          <w:b/>
        </w:rPr>
        <w:t>Ownership change</w:t>
      </w:r>
      <w:r>
        <w:t>: 40% (Shareholder C increase) exceeds 50% threshold</w:t>
      </w:r>
    </w:p>
    <w:p>
      <w:pPr>
        <w:pStyle w:val="Heading4"/>
      </w:pPr>
      <w:r>
        <w:t>3.2.2 Annual Limitation Calculation</w:t>
      </w:r>
    </w:p>
    <w:p>
      <w:r>
        <w:t>Once an ownership change occurs, the annual limitation on loss usage is:</w:t>
      </w:r>
    </w:p>
    <w:p>
      <w:r>
        <w:rPr>
          <w:b/>
        </w:rPr>
        <w:t>Formula: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Limitation = Fair Market Value of Company × Long-Term Tax-Exempt Rate</w:t>
      </w:r>
    </w:p>
    <w:p/>
    <w:p>
      <w:r>
        <w:rPr>
          <w:b/>
        </w:rPr>
        <w:t>Where:</w:t>
      </w:r>
    </w:p>
    <w:p>
      <w:pPr>
        <w:pStyle w:val="ListBullet"/>
      </w:pPr>
      <w:r>
        <w:rPr>
          <w:b/>
        </w:rPr>
        <w:t>FMV</w:t>
      </w:r>
      <w:r>
        <w:t xml:space="preserve"> = Fair market value of stock immediately before ownership change</w:t>
      </w:r>
    </w:p>
    <w:p>
      <w:pPr>
        <w:pStyle w:val="ListBullet"/>
      </w:pPr>
      <w:r>
        <w:rPr>
          <w:b/>
        </w:rPr>
        <w:t>Long-term tax-exempt rate</w:t>
      </w:r>
      <w:r>
        <w:t xml:space="preserve"> = IRS published rate (currently ~3-5%)</w:t>
      </w:r>
    </w:p>
    <w:p>
      <w:r>
        <w:rPr>
          <w:b/>
        </w:rPr>
        <w:t>Example:</w:t>
      </w:r>
    </w:p>
    <w:p>
      <w:pPr>
        <w:pStyle w:val="ListBullet"/>
      </w:pPr>
      <w:r>
        <w:t xml:space="preserve">Target Oil Co. has </w:t>
      </w:r>
      <w:r>
        <w:rPr>
          <w:b/>
        </w:rPr>
        <w:t>$100 million NOLs</w:t>
      </w:r>
    </w:p>
    <w:p>
      <w:pPr>
        <w:pStyle w:val="ListBullet"/>
      </w:pPr>
      <w:r>
        <w:t xml:space="preserve">FMV immediately before acquisition: </w:t>
      </w:r>
      <w:r>
        <w:rPr>
          <w:b/>
        </w:rPr>
        <w:t>$50 million</w:t>
      </w:r>
    </w:p>
    <w:p>
      <w:pPr>
        <w:pStyle w:val="ListBullet"/>
      </w:pPr>
      <w:r>
        <w:t xml:space="preserve">Long-term tax-exempt rate: </w:t>
      </w:r>
      <w:r>
        <w:rPr>
          <w:b/>
        </w:rPr>
        <w:t>4%</w:t>
      </w:r>
    </w:p>
    <w:p>
      <w:pPr>
        <w:pStyle w:val="ListBullet"/>
      </w:pPr>
      <w:r>
        <w:rPr>
          <w:b/>
        </w:rPr>
        <w:t>Annual limitation: $50M × 4% = $2 million per year</w:t>
      </w:r>
    </w:p>
    <w:p>
      <w:r>
        <w:t xml:space="preserve">Impact: Only </w:t>
      </w:r>
      <w:r>
        <w:rPr>
          <w:b/>
        </w:rPr>
        <w:t>$2 million</w:t>
      </w:r>
      <w:r>
        <w:t xml:space="preserve"> of the $100 million NOLs can be used annually. At this rate, full utilization would take </w:t>
      </w:r>
      <w:r>
        <w:rPr>
          <w:b/>
        </w:rPr>
        <w:t>50 years</w:t>
      </w:r>
      <w:r>
        <w:t xml:space="preserve"> (but losses are usable indefinitely post-TCJA).</w:t>
      </w:r>
    </w:p>
    <w:p>
      <w:r>
        <w:rPr>
          <w:b/>
        </w:rPr>
        <w:t>3.2.3 Built-In Gains and Losses (US Internal Revenue Code Section 382(h))</w:t>
      </w:r>
    </w:p>
    <w:p>
      <w:r>
        <w:t xml:space="preserve">If target has </w:t>
      </w:r>
      <w:r>
        <w:rPr>
          <w:b/>
        </w:rPr>
        <w:t>unrealized built-in gains</w:t>
      </w:r>
      <w:r>
        <w:t xml:space="preserve"> (assets with FMV &gt; tax basis), these gains </w:t>
      </w:r>
      <w:r>
        <w:rPr>
          <w:b/>
        </w:rPr>
        <w:t>increase the annual limitation</w:t>
      </w:r>
      <w:r>
        <w:t xml:space="preserve"> if recognized within </w:t>
      </w:r>
      <w:r>
        <w:rPr>
          <w:b/>
        </w:rPr>
        <w:t>5 years</w:t>
      </w:r>
      <w:r>
        <w:t xml:space="preserve"> after ownership change.</w:t>
      </w:r>
    </w:p>
    <w:p>
      <w:r>
        <w:t xml:space="preserve">Conversely, </w:t>
      </w:r>
      <w:r>
        <w:rPr>
          <w:b/>
        </w:rPr>
        <w:t>built-in losses</w:t>
      </w:r>
      <w:r>
        <w:t xml:space="preserve"> recognized within 5 years are </w:t>
      </w:r>
      <w:r>
        <w:rPr>
          <w:b/>
        </w:rPr>
        <w:t>treated as NOLs</w:t>
      </w:r>
      <w:r>
        <w:t xml:space="preserve"> subject to the same limitation.</w:t>
      </w:r>
    </w:p>
    <w:p>
      <w:r>
        <w:rPr>
          <w:b/>
        </w:rPr>
        <w:t>Planning Opportunities:</w:t>
      </w:r>
    </w:p>
    <w:p>
      <w:pPr>
        <w:pStyle w:val="ListBullet"/>
      </w:pPr>
      <w:r>
        <w:t>Defer recognition of built-in losses</w:t>
      </w:r>
    </w:p>
    <w:p>
      <w:pPr>
        <w:pStyle w:val="ListBullet"/>
      </w:pPr>
      <w:r>
        <w:t>Accelerate recognition of built-in gains to increase limitation</w:t>
      </w:r>
    </w:p>
    <w:p>
      <w:pPr>
        <w:pStyle w:val="ListBullet"/>
      </w:pPr>
      <w:r>
        <w:t>Elect US Internal Revenue Code Section 338(h)(10) to recognize all gains/losses immediately (with full tax cost)</w:t>
      </w:r>
    </w:p>
    <w:p>
      <w:r>
        <w:rPr>
          <w:b/>
        </w:rPr>
        <w:t>3.2.4 US Internal Revenue Code Section 382(l)(5) SRLY Limitation</w:t>
      </w:r>
    </w:p>
    <w:p>
      <w:r>
        <w:t xml:space="preserve">When a loss corporation joins a consolidated group, </w:t>
      </w:r>
      <w:r>
        <w:rPr>
          <w:b/>
        </w:rPr>
        <w:t>Separate Return Limitation Year (SRLY)</w:t>
      </w:r>
      <w:r>
        <w:t xml:space="preserve"> rules may apply:</w:t>
      </w:r>
    </w:p>
    <w:p>
      <w:pPr>
        <w:pStyle w:val="ListBullet"/>
      </w:pPr>
      <w:r>
        <w:t xml:space="preserve">Target's pre-acquisition losses can only offset its </w:t>
      </w:r>
      <w:r>
        <w:rPr>
          <w:b/>
        </w:rPr>
        <w:t>own post-acquisition income</w:t>
      </w:r>
      <w:r>
        <w:t xml:space="preserve"> (not other group members' income)</w:t>
      </w:r>
    </w:p>
    <w:p>
      <w:pPr>
        <w:pStyle w:val="ListBullet"/>
      </w:pPr>
      <w:r>
        <w:t xml:space="preserve">US Internal Revenue Code Section 382 limitation applies </w:t>
      </w:r>
      <w:r>
        <w:rPr>
          <w:b/>
        </w:rPr>
        <w:t>in addition to</w:t>
      </w:r>
      <w:r>
        <w:t xml:space="preserve"> SRLY rules</w:t>
      </w:r>
    </w:p>
    <w:p>
      <w:pPr>
        <w:pStyle w:val="ListBullet"/>
      </w:pPr>
      <w:r>
        <w:t>Highly restrictive for loss companies acquired into profitable groups</w:t>
      </w:r>
    </w:p>
    <w:p>
      <w:pPr>
        <w:pStyle w:val="Heading3"/>
      </w:pPr>
      <w:r>
        <w:t>3.3 UK Change of Ownership Rules</w:t>
      </w:r>
    </w:p>
    <w:p>
      <w:pPr>
        <w:pStyle w:val="Heading4"/>
      </w:pPr>
      <w:r>
        <w:t>3.3.1 Corporation Tax Act 2010, Part 14: Loss Restriction</w:t>
      </w:r>
    </w:p>
    <w:p>
      <w:r>
        <w:t>UK rules disallow carried-forward losses if:</w:t>
      </w:r>
    </w:p>
    <w:p>
      <w:pPr>
        <w:pStyle w:val="ListBullet"/>
      </w:pPr>
      <w:r>
        <w:t xml:space="preserve">There is a </w:t>
      </w:r>
      <w:r>
        <w:rPr>
          <w:b/>
        </w:rPr>
        <w:t>change in ownership</w:t>
      </w:r>
      <w:r>
        <w:t xml:space="preserve"> of the company (&gt;50% of shares), </w:t>
      </w:r>
      <w:r>
        <w:rPr>
          <w:b/>
        </w:rPr>
        <w:t>and</w:t>
      </w:r>
    </w:p>
    <w:p>
      <w:pPr>
        <w:pStyle w:val="ListBullet"/>
      </w:pPr>
      <w:r>
        <w:t xml:space="preserve">There is a </w:t>
      </w:r>
      <w:r>
        <w:rPr>
          <w:b/>
        </w:rPr>
        <w:t>major change in the nature or conduct</w:t>
      </w:r>
      <w:r>
        <w:t xml:space="preserve"> of the trade within </w:t>
      </w:r>
      <w:r>
        <w:rPr>
          <w:b/>
        </w:rPr>
        <w:t>3 years</w:t>
      </w:r>
      <w:r>
        <w:t xml:space="preserve"> before or after the ownership change</w:t>
      </w:r>
    </w:p>
    <w:p>
      <w:r>
        <w:rPr>
          <w:b/>
        </w:rPr>
        <w:t>Major Change Indicators:</w:t>
      </w:r>
    </w:p>
    <w:p>
      <w:pPr>
        <w:pStyle w:val="ListBullet"/>
      </w:pPr>
      <w:r>
        <w:t>Change in type of property dealt in or services provided</w:t>
      </w:r>
    </w:p>
    <w:p>
      <w:pPr>
        <w:pStyle w:val="ListBullet"/>
      </w:pPr>
      <w:r>
        <w:t>Change in customers, outlets, or markets</w:t>
      </w:r>
    </w:p>
    <w:p>
      <w:pPr>
        <w:pStyle w:val="ListBullet"/>
      </w:pPr>
      <w:r>
        <w:t>Significant change in scale of activities</w:t>
      </w:r>
    </w:p>
    <w:p>
      <w:r>
        <w:rPr>
          <w:b/>
        </w:rPr>
        <w:t>Ring Fence Trade Exception:</w:t>
      </w:r>
    </w:p>
    <w:p>
      <w:r>
        <w:t xml:space="preserve">For oil and gas companies operating under </w:t>
      </w:r>
      <w:r>
        <w:rPr>
          <w:b/>
        </w:rPr>
        <w:t>Ring Fence Corporation Tax</w:t>
      </w:r>
      <w:r>
        <w:t xml:space="preserve">, losses from ring fence trade can generally be carried forward </w:t>
      </w:r>
      <w:r>
        <w:rPr>
          <w:b/>
        </w:rPr>
        <w:t>even after ownership change</w:t>
      </w:r>
      <w:r>
        <w:t>, provided:</w:t>
      </w:r>
    </w:p>
    <w:p>
      <w:pPr>
        <w:pStyle w:val="ListBullet"/>
      </w:pPr>
      <w:r>
        <w:t xml:space="preserve">The </w:t>
      </w:r>
      <w:r>
        <w:rPr>
          <w:b/>
        </w:rPr>
        <w:t>ring fence trade continues</w:t>
      </w:r>
    </w:p>
    <w:p>
      <w:pPr>
        <w:pStyle w:val="ListBullet"/>
      </w:pPr>
      <w:r>
        <w:t xml:space="preserve">Losses are used against </w:t>
      </w:r>
      <w:r>
        <w:rPr>
          <w:b/>
        </w:rPr>
        <w:t>ring fence profits</w:t>
      </w:r>
      <w:r>
        <w:t xml:space="preserve"> only</w:t>
      </w:r>
    </w:p>
    <w:p>
      <w:pPr>
        <w:pStyle w:val="Heading4"/>
      </w:pPr>
      <w:r>
        <w:t>3.3.2 Group Relief</w:t>
      </w:r>
    </w:p>
    <w:p>
      <w:r>
        <w:t xml:space="preserve">UK allows </w:t>
      </w:r>
      <w:r>
        <w:rPr>
          <w:b/>
        </w:rPr>
        <w:t>group relief</w:t>
      </w:r>
      <w:r>
        <w:t xml:space="preserve"> for 75%+ groups:</w:t>
      </w:r>
    </w:p>
    <w:p>
      <w:pPr>
        <w:pStyle w:val="ListBullet"/>
      </w:pPr>
      <w:r>
        <w:t>Current-year losses can be surrendered to profitable group members</w:t>
      </w:r>
    </w:p>
    <w:p>
      <w:pPr>
        <w:pStyle w:val="ListBullet"/>
      </w:pPr>
      <w:r>
        <w:t>Does not consume carry-forward losses (those are preserved for target's own future income)</w:t>
      </w:r>
    </w:p>
    <w:p>
      <w:pPr>
        <w:pStyle w:val="Heading3"/>
      </w:pPr>
      <w:r>
        <w:t>3.4 Other Jurisdictions</w:t>
      </w:r>
    </w:p>
    <w:p>
      <w:pPr>
        <w:pStyle w:val="Heading4"/>
      </w:pPr>
      <w:r>
        <w:t>Australia - Income Tax Assessment Act 1997, Division 165-167</w:t>
      </w:r>
    </w:p>
    <w:p>
      <w:pPr>
        <w:pStyle w:val="ListBullet"/>
      </w:pPr>
      <w:r>
        <w:rPr>
          <w:b/>
        </w:rPr>
        <w:t>Continuity of Ownership Test (COT)</w:t>
      </w:r>
      <w:r>
        <w:t>: &gt;50% same ownership</w:t>
      </w:r>
    </w:p>
    <w:p>
      <w:pPr>
        <w:pStyle w:val="ListBullet"/>
      </w:pPr>
      <w:r>
        <w:rPr>
          <w:b/>
        </w:rPr>
        <w:t>Same Business Test (SBT)</w:t>
      </w:r>
      <w:r>
        <w:t>: If COT fails, losses preserved if same business continues</w:t>
      </w:r>
    </w:p>
    <w:p>
      <w:pPr>
        <w:pStyle w:val="ListBullet"/>
      </w:pPr>
      <w:r>
        <w:t>Strict application; many M&amp;A transactions trigger loss denial</w:t>
      </w:r>
    </w:p>
    <w:p>
      <w:pPr>
        <w:pStyle w:val="Heading4"/>
      </w:pPr>
      <w:r>
        <w:t>Canada - Income Tax Act, Section 111(5)</w:t>
      </w:r>
    </w:p>
    <w:p>
      <w:pPr>
        <w:pStyle w:val="ListBullet"/>
      </w:pPr>
      <w:r>
        <w:rPr>
          <w:b/>
        </w:rPr>
        <w:t>Acquisition of control</w:t>
      </w:r>
      <w:r>
        <w:t xml:space="preserve"> restrictions</w:t>
      </w:r>
    </w:p>
    <w:p>
      <w:pPr>
        <w:pStyle w:val="ListBullet"/>
      </w:pPr>
      <w:r>
        <w:t xml:space="preserve">Losses restricted unless business continues and losses offset income from </w:t>
      </w:r>
      <w:r>
        <w:rPr>
          <w:b/>
        </w:rPr>
        <w:t>same or similar</w:t>
      </w:r>
      <w:r>
        <w:t xml:space="preserve"> business</w:t>
      </w:r>
    </w:p>
    <w:p>
      <w:pPr>
        <w:pStyle w:val="ListBullet"/>
      </w:pPr>
      <w:r>
        <w:t>Accrued losses on assets deemed realized on acquisition of control (limiting future deductions)</w:t>
      </w:r>
    </w:p>
    <w:p>
      <w:pPr>
        <w:pStyle w:val="Heading4"/>
      </w:pPr>
      <w:r>
        <w:t>Norway</w:t>
      </w:r>
    </w:p>
    <w:p>
      <w:pPr>
        <w:pStyle w:val="ListBullet"/>
      </w:pPr>
      <w:r>
        <w:t>No explicit change of ownership restrictions for petroleum tax losses</w:t>
      </w:r>
    </w:p>
    <w:p>
      <w:pPr>
        <w:pStyle w:val="ListBullet"/>
      </w:pPr>
      <w:r>
        <w:t xml:space="preserve">Losses carried forward indefinitely against </w:t>
      </w:r>
      <w:r>
        <w:rPr>
          <w:b/>
        </w:rPr>
        <w:t>same license income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Preserving Tax Losses in Acquisitions</w:t>
      </w:r>
    </w:p>
    <w:p>
      <w:pPr>
        <w:pStyle w:val="Heading3"/>
      </w:pPr>
      <w:r>
        <w:t>4.1 Structural Planning Techniques</w:t>
      </w:r>
    </w:p>
    <w:p>
      <w:pPr>
        <w:pStyle w:val="Heading4"/>
      </w:pPr>
      <w:r>
        <w:t>4.1.1 Avoid Triggering Ownership Change</w:t>
      </w:r>
    </w:p>
    <w:p>
      <w:r>
        <w:t>Strategies to stay below Section 382 thresholds:</w:t>
      </w:r>
    </w:p>
    <w:p>
      <w:r>
        <w:rPr>
          <w:b/>
        </w:rPr>
        <w:t>Stock Purchase Below 50% Threshold:</w:t>
      </w:r>
    </w:p>
    <w:p>
      <w:pPr>
        <w:pStyle w:val="ListBullet"/>
      </w:pPr>
      <w:r>
        <w:t xml:space="preserve">Acquire </w:t>
      </w:r>
      <w:r>
        <w:rPr>
          <w:b/>
        </w:rPr>
        <w:t>49.9% or less</w:t>
      </w:r>
      <w:r>
        <w:t xml:space="preserve"> of target</w:t>
      </w:r>
    </w:p>
    <w:p>
      <w:pPr>
        <w:pStyle w:val="ListBullet"/>
      </w:pPr>
      <w:r>
        <w:t xml:space="preserve">Use </w:t>
      </w:r>
      <w:r>
        <w:rPr>
          <w:b/>
        </w:rPr>
        <w:t>voting agreements</w:t>
      </w:r>
      <w:r>
        <w:t xml:space="preserve"> or </w:t>
      </w:r>
      <w:r>
        <w:rPr>
          <w:b/>
        </w:rPr>
        <w:t>options</w:t>
      </w:r>
      <w:r>
        <w:t xml:space="preserve"> to control without ownership</w:t>
      </w:r>
    </w:p>
    <w:p>
      <w:pPr>
        <w:pStyle w:val="ListBullet"/>
      </w:pPr>
      <w:r>
        <w:t xml:space="preserve">Structure as </w:t>
      </w:r>
      <w:r>
        <w:rPr>
          <w:b/>
        </w:rPr>
        <w:t>joint venture</w:t>
      </w:r>
      <w:r>
        <w:t xml:space="preserve"> rather than acquisition</w:t>
      </w:r>
    </w:p>
    <w:p>
      <w:r>
        <w:rPr>
          <w:b/>
        </w:rPr>
        <w:t>Staged Acquisitions:</w:t>
      </w:r>
    </w:p>
    <w:p>
      <w:pPr>
        <w:pStyle w:val="ListBullet"/>
      </w:pPr>
      <w:r>
        <w:t xml:space="preserve">Spread share purchases over </w:t>
      </w:r>
      <w:r>
        <w:rPr>
          <w:b/>
        </w:rPr>
        <w:t>more than 3 years</w:t>
      </w:r>
    </w:p>
    <w:p>
      <w:pPr>
        <w:pStyle w:val="ListBullet"/>
      </w:pPr>
      <w:r>
        <w:t>Reset the testing period between tranches</w:t>
      </w:r>
    </w:p>
    <w:p>
      <w:pPr>
        <w:pStyle w:val="ListBullet"/>
      </w:pPr>
      <w:r>
        <w:t>Requires patience and assumes target remains available</w:t>
      </w:r>
    </w:p>
    <w:p>
      <w:pPr>
        <w:pStyle w:val="Heading4"/>
      </w:pPr>
      <w:r>
        <w:t>4.1.2 Increase Company Value Before Ownership Change</w:t>
      </w:r>
    </w:p>
    <w:p>
      <w:r>
        <w:t>Since US Internal Revenue Code Section 382 limitation = FMV × rate, increasing FMV increases annual limitation:</w:t>
      </w:r>
    </w:p>
    <w:p>
      <w:r>
        <w:rPr>
          <w:b/>
        </w:rPr>
        <w:t>Value Enhancement Strategies:</w:t>
      </w:r>
    </w:p>
    <w:p>
      <w:pPr>
        <w:pStyle w:val="ListBullet"/>
      </w:pPr>
      <w:r>
        <w:rPr>
          <w:b/>
        </w:rPr>
        <w:t>Infuse capital</w:t>
      </w:r>
      <w:r>
        <w:t xml:space="preserve"> before ownership change (increases FMV)</w:t>
      </w:r>
    </w:p>
    <w:p>
      <w:pPr>
        <w:pStyle w:val="ListBullet"/>
      </w:pPr>
      <w:r>
        <w:rPr>
          <w:b/>
        </w:rPr>
        <w:t>Drill high-potential wells</w:t>
      </w:r>
      <w:r>
        <w:t xml:space="preserve"> to prove reserves (boosts valuation)</w:t>
      </w:r>
    </w:p>
    <w:p>
      <w:pPr>
        <w:pStyle w:val="ListBullet"/>
      </w:pPr>
      <w:r>
        <w:rPr>
          <w:b/>
        </w:rPr>
        <w:t>Complete development</w:t>
      </w:r>
      <w:r>
        <w:t xml:space="preserve"> projects to increase production (raises FMV)</w:t>
      </w:r>
    </w:p>
    <w:p>
      <w:r>
        <w:rPr>
          <w:b/>
        </w:rPr>
        <w:t>Example:</w:t>
      </w:r>
    </w:p>
    <w:p>
      <w:pPr>
        <w:pStyle w:val="ListBullet"/>
      </w:pPr>
      <w:r>
        <w:t>Company worth $50M → Annual limitation: $50M × 4% = $2M</w:t>
      </w:r>
    </w:p>
    <w:p>
      <w:pPr>
        <w:pStyle w:val="ListBullet"/>
      </w:pPr>
      <w:r>
        <w:t>Inject $50M cash before change → Company worth $100M → Limitation: $4M (double)</w:t>
      </w:r>
    </w:p>
    <w:p>
      <w:r>
        <w:t xml:space="preserve">However, injected capital must have </w:t>
      </w:r>
      <w:r>
        <w:rPr>
          <w:b/>
        </w:rPr>
        <w:t>genuine business purpose</w:t>
      </w:r>
      <w:r>
        <w:t xml:space="preserve"> and not be solely to inflate the limitation (anti-abuse rules apply).</w:t>
      </w:r>
    </w:p>
    <w:p>
      <w:r>
        <w:rPr>
          <w:b/>
        </w:rPr>
        <w:t>4.1.3 US Internal Revenue Code Section 382(l)(5) Exception (Bankruptcy/Insolvency)</w:t>
      </w:r>
    </w:p>
    <w:p>
      <w:r>
        <w:t xml:space="preserve">If target is in </w:t>
      </w:r>
      <w:r>
        <w:rPr>
          <w:b/>
        </w:rPr>
        <w:t>bankruptcy</w:t>
      </w:r>
      <w:r>
        <w:t xml:space="preserve">, special rules under </w:t>
      </w:r>
      <w:r>
        <w:rPr>
          <w:b/>
        </w:rPr>
        <w:t>US Internal Revenue Code Section 382(l)(5)</w:t>
      </w:r>
      <w:r>
        <w:t xml:space="preserve"> may apply:</w:t>
      </w:r>
    </w:p>
    <w:p>
      <w:pPr>
        <w:pStyle w:val="ListBullet"/>
      </w:pPr>
      <w:r>
        <w:t xml:space="preserve">Shareholders and creditors receiving stock in bankruptcy are </w:t>
      </w:r>
      <w:r>
        <w:rPr>
          <w:b/>
        </w:rPr>
        <w:t>excluded</w:t>
      </w:r>
      <w:r>
        <w:t xml:space="preserve"> from ownership change calculation</w:t>
      </w:r>
    </w:p>
    <w:p>
      <w:pPr>
        <w:pStyle w:val="ListBullet"/>
      </w:pPr>
      <w:r>
        <w:t xml:space="preserve">Losses are </w:t>
      </w:r>
      <w:r>
        <w:rPr>
          <w:b/>
        </w:rPr>
        <w:t>reduced by interest deductions</w:t>
      </w:r>
      <w:r>
        <w:t xml:space="preserve"> claimed during restructuring</w:t>
      </w:r>
    </w:p>
    <w:p>
      <w:pPr>
        <w:pStyle w:val="ListBullet"/>
      </w:pPr>
      <w:r>
        <w:t>Allows preservation of most losses despite 100% ownership change</w:t>
      </w:r>
    </w:p>
    <w:p>
      <w:pPr>
        <w:pStyle w:val="Heading3"/>
      </w:pPr>
      <w:r>
        <w:t>4.2 Business Continuity Planning</w:t>
      </w:r>
    </w:p>
    <w:p>
      <w:pPr>
        <w:pStyle w:val="Heading4"/>
      </w:pPr>
      <w:r>
        <w:t>4.2.1 Maintain Continuity of Trade</w:t>
      </w:r>
    </w:p>
    <w:p>
      <w:r>
        <w:t>To avoid UK-style loss restrictions:</w:t>
      </w:r>
    </w:p>
    <w:p>
      <w:pPr>
        <w:pStyle w:val="ListBullet"/>
      </w:pPr>
      <w:r>
        <w:rPr>
          <w:b/>
        </w:rPr>
        <w:t>Continue operating</w:t>
      </w:r>
      <w:r>
        <w:t xml:space="preserve"> the same oil and gas assets</w:t>
      </w:r>
    </w:p>
    <w:p>
      <w:pPr>
        <w:pStyle w:val="ListBullet"/>
      </w:pPr>
      <w:r>
        <w:t xml:space="preserve">Do not significantly alter the </w:t>
      </w:r>
      <w:r>
        <w:rPr>
          <w:b/>
        </w:rPr>
        <w:t>business model</w:t>
      </w:r>
      <w:r>
        <w:t xml:space="preserve"> (e.g., switching from production to trading)</w:t>
      </w:r>
    </w:p>
    <w:p>
      <w:pPr>
        <w:pStyle w:val="ListBullet"/>
      </w:pPr>
      <w:r>
        <w:t xml:space="preserve">Avoid </w:t>
      </w:r>
      <w:r>
        <w:rPr>
          <w:b/>
        </w:rPr>
        <w:t>disposal of core assets</w:t>
      </w:r>
      <w:r>
        <w:t xml:space="preserve"> within 3 years of acquisition</w:t>
      </w:r>
    </w:p>
    <w:p>
      <w:pPr>
        <w:pStyle w:val="ListBullet"/>
      </w:pPr>
      <w:r>
        <w:t xml:space="preserve">Maintain </w:t>
      </w:r>
      <w:r>
        <w:rPr>
          <w:b/>
        </w:rPr>
        <w:t>customer base</w:t>
      </w:r>
      <w:r>
        <w:t xml:space="preserve"> and operational structure</w:t>
      </w:r>
    </w:p>
    <w:p>
      <w:pPr>
        <w:pStyle w:val="Heading4"/>
      </w:pPr>
      <w:r>
        <w:t>4.2.2 Segregate Business Lines</w:t>
      </w:r>
    </w:p>
    <w:p>
      <w:r>
        <w:t xml:space="preserve">If acquiring a target with </w:t>
      </w:r>
      <w:r>
        <w:rPr>
          <w:b/>
        </w:rPr>
        <w:t>multiple business lines</w:t>
      </w:r>
      <w:r>
        <w:t xml:space="preserve"> (e.g., upstream and midstream):</w:t>
      </w:r>
    </w:p>
    <w:p>
      <w:pPr>
        <w:pStyle w:val="ListBullet"/>
      </w:pPr>
      <w:r>
        <w:t xml:space="preserve">Consider </w:t>
      </w:r>
      <w:r>
        <w:rPr>
          <w:b/>
        </w:rPr>
        <w:t>holding each in separate subsidiaries</w:t>
      </w:r>
    </w:p>
    <w:p>
      <w:pPr>
        <w:pStyle w:val="ListBullet"/>
      </w:pPr>
      <w:r>
        <w:t>Losses from discontinued businesses will be lost, but losses from continuing businesses preserved</w:t>
      </w:r>
    </w:p>
    <w:p>
      <w:pPr>
        <w:pStyle w:val="ListBullet"/>
      </w:pPr>
      <w:r>
        <w:t>Allows surgical divestitures without jeopardizing all losses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Utilizing Losses Post-Acquisition</w:t>
      </w:r>
    </w:p>
    <w:p>
      <w:pPr>
        <w:pStyle w:val="Heading3"/>
      </w:pPr>
      <w:r>
        <w:t>5.1 Tax Consolidation Strategies</w:t>
      </w:r>
    </w:p>
    <w:p>
      <w:pPr>
        <w:pStyle w:val="Heading4"/>
      </w:pPr>
      <w:r>
        <w:t>5.1.1 Consolidated Return Filing (US)</w:t>
      </w:r>
    </w:p>
    <w:p>
      <w:r>
        <w:t xml:space="preserve">80%+ affiliated groups can file </w:t>
      </w:r>
      <w:r>
        <w:rPr>
          <w:b/>
        </w:rPr>
        <w:t>consolidated returns</w:t>
      </w:r>
      <w:r>
        <w:t>, pooling income and losses:</w:t>
      </w:r>
    </w:p>
    <w:p>
      <w:r>
        <w:rPr>
          <w:b/>
        </w:rPr>
        <w:t>Benefits:</w:t>
      </w:r>
    </w:p>
    <w:p>
      <w:pPr>
        <w:pStyle w:val="ListBullet"/>
      </w:pPr>
      <w:r>
        <w:rPr>
          <w:b/>
        </w:rPr>
        <w:t>Offset</w:t>
      </w:r>
      <w:r>
        <w:t xml:space="preserve"> one member's income with another's losses</w:t>
      </w:r>
    </w:p>
    <w:p>
      <w:pPr>
        <w:pStyle w:val="ListBullet"/>
      </w:pPr>
      <w:r>
        <w:rPr>
          <w:b/>
        </w:rPr>
        <w:t>Intercompany transactions</w:t>
      </w:r>
      <w:r>
        <w:t xml:space="preserve"> eliminated (no tax on intra-group sales)</w:t>
      </w:r>
    </w:p>
    <w:p>
      <w:pPr>
        <w:pStyle w:val="ListBullet"/>
      </w:pPr>
      <w:r>
        <w:rPr>
          <w:b/>
        </w:rPr>
        <w:t>Simplified compliance</w:t>
      </w:r>
      <w:r>
        <w:t xml:space="preserve"> (single tax return)</w:t>
      </w:r>
    </w:p>
    <w:p>
      <w:r>
        <w:rPr>
          <w:b/>
        </w:rPr>
        <w:t>Limitations:</w:t>
      </w:r>
    </w:p>
    <w:p>
      <w:pPr>
        <w:pStyle w:val="ListBullet"/>
      </w:pPr>
      <w:r>
        <w:rPr>
          <w:b/>
        </w:rPr>
        <w:t>US Internal Revenue Code Section 382</w:t>
      </w:r>
      <w:r>
        <w:t xml:space="preserve"> limits remain (target's losses limited annually)</w:t>
      </w:r>
    </w:p>
    <w:p>
      <w:pPr>
        <w:pStyle w:val="ListBullet"/>
      </w:pPr>
      <w:r>
        <w:rPr>
          <w:b/>
        </w:rPr>
        <w:t>SRLY rules</w:t>
      </w:r>
      <w:r>
        <w:t xml:space="preserve"> may prevent use of target's pre-acquisition losses against other members' income</w:t>
      </w:r>
    </w:p>
    <w:p>
      <w:pPr>
        <w:pStyle w:val="ListBullet"/>
      </w:pPr>
      <w:r>
        <w:rPr>
          <w:b/>
        </w:rPr>
        <w:t>Consolidated return election</w:t>
      </w:r>
      <w:r>
        <w:t xml:space="preserve"> is binding for all future years</w:t>
      </w:r>
    </w:p>
    <w:p>
      <w:pPr>
        <w:pStyle w:val="Heading4"/>
      </w:pPr>
      <w:r>
        <w:t>5.1.2 Group Relief (UK)</w:t>
      </w:r>
    </w:p>
    <w:p>
      <w:r>
        <w:t xml:space="preserve">75%+ groups can </w:t>
      </w:r>
      <w:r>
        <w:rPr>
          <w:b/>
        </w:rPr>
        <w:t>surrender current-year losses</w:t>
      </w:r>
      <w:r>
        <w:t xml:space="preserve"> to profitable members:</w:t>
      </w:r>
    </w:p>
    <w:p>
      <w:pPr>
        <w:pStyle w:val="ListBullet"/>
      </w:pPr>
      <w:r>
        <w:t xml:space="preserve">Does </w:t>
      </w:r>
      <w:r>
        <w:rPr>
          <w:b/>
        </w:rPr>
        <w:t>not consume</w:t>
      </w:r>
      <w:r>
        <w:t xml:space="preserve"> carry-forward losses (target keeps its carryforwards for own future profit)</w:t>
      </w:r>
    </w:p>
    <w:p>
      <w:pPr>
        <w:pStyle w:val="ListBullet"/>
      </w:pPr>
      <w:r>
        <w:t xml:space="preserve">Requires </w:t>
      </w:r>
      <w:r>
        <w:rPr>
          <w:b/>
        </w:rPr>
        <w:t>group relief claim</w:t>
      </w:r>
      <w:r>
        <w:t xml:space="preserve"> filed within time limits</w:t>
      </w:r>
    </w:p>
    <w:p>
      <w:pPr>
        <w:pStyle w:val="ListBullet"/>
      </w:pPr>
      <w:r>
        <w:t xml:space="preserve">Both companies must be </w:t>
      </w:r>
      <w:r>
        <w:rPr>
          <w:b/>
        </w:rPr>
        <w:t>UK resident</w:t>
      </w:r>
      <w:r>
        <w:t xml:space="preserve"> or within qualifying group structure</w:t>
      </w:r>
    </w:p>
    <w:p>
      <w:pPr>
        <w:pStyle w:val="Heading3"/>
      </w:pPr>
      <w:r>
        <w:t>5.2 Timing of Income Recognition</w:t>
      </w:r>
    </w:p>
    <w:p>
      <w:pPr>
        <w:pStyle w:val="Heading4"/>
      </w:pPr>
      <w:r>
        <w:t>5.2.1 Accelerate Income into Loss Company</w:t>
      </w:r>
    </w:p>
    <w:p>
      <w:r>
        <w:t xml:space="preserve">Where possible, structure transactions to </w:t>
      </w:r>
      <w:r>
        <w:rPr>
          <w:b/>
        </w:rPr>
        <w:t>accelerate income</w:t>
      </w:r>
      <w:r>
        <w:t xml:space="preserve"> into the loss company:</w:t>
      </w:r>
    </w:p>
    <w:p>
      <w:pPr>
        <w:pStyle w:val="ListBullet"/>
      </w:pPr>
      <w:r>
        <w:rPr>
          <w:b/>
        </w:rPr>
        <w:t>Transfer producing assets</w:t>
      </w:r>
      <w:r>
        <w:t xml:space="preserve"> into loss company (generates income to absorb losses)</w:t>
      </w:r>
    </w:p>
    <w:p>
      <w:pPr>
        <w:pStyle w:val="ListBullet"/>
      </w:pPr>
      <w:r>
        <w:rPr>
          <w:b/>
        </w:rPr>
        <w:t>License technology or IP</w:t>
      </w:r>
      <w:r>
        <w:t xml:space="preserve"> to group members, with royalties paid to loss company</w:t>
      </w:r>
    </w:p>
    <w:p>
      <w:pPr>
        <w:pStyle w:val="ListBullet"/>
      </w:pPr>
      <w:r>
        <w:rPr>
          <w:b/>
        </w:rPr>
        <w:t>Provide services</w:t>
      </w:r>
      <w:r>
        <w:t xml:space="preserve"> on behalf of group, invoicing at arm's length prices</w:t>
      </w:r>
    </w:p>
    <w:p>
      <w:pPr>
        <w:pStyle w:val="Heading4"/>
      </w:pPr>
      <w:r>
        <w:t>5.2.2 Defer Income Out of Loss Company</w:t>
      </w:r>
    </w:p>
    <w:p>
      <w:r>
        <w:t>Conversely, if annual limitation (US Internal Revenue Code Section 382) is low, consider:</w:t>
      </w:r>
    </w:p>
    <w:p>
      <w:pPr>
        <w:pStyle w:val="ListBullet"/>
      </w:pPr>
      <w:r>
        <w:rPr>
          <w:b/>
        </w:rPr>
        <w:t>Deferring income</w:t>
      </w:r>
      <w:r>
        <w:t xml:space="preserve"> to future years when limitation may increase</w:t>
      </w:r>
    </w:p>
    <w:p>
      <w:pPr>
        <w:pStyle w:val="ListBullet"/>
      </w:pPr>
      <w:r>
        <w:rPr>
          <w:b/>
        </w:rPr>
        <w:t>Using installment sales</w:t>
      </w:r>
      <w:r>
        <w:t xml:space="preserve"> to spread gain recognition</w:t>
      </w:r>
    </w:p>
    <w:p>
      <w:pPr>
        <w:pStyle w:val="ListBullet"/>
      </w:pPr>
      <w:r>
        <w:rPr>
          <w:b/>
        </w:rPr>
        <w:t>Capitalizing costs</w:t>
      </w:r>
      <w:r>
        <w:t xml:space="preserve"> rather than immediately expensing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PSC Cost Recovery and Unrecovered Costs</w:t>
      </w:r>
    </w:p>
    <w:p>
      <w:pPr>
        <w:pStyle w:val="Heading3"/>
      </w:pPr>
      <w:r>
        <w:t>6.1 Transfer of Cost Recovery Balances</w:t>
      </w:r>
    </w:p>
    <w:p>
      <w:pPr>
        <w:pStyle w:val="Heading4"/>
      </w:pPr>
      <w:r>
        <w:t>6.1.1 Contractor's Rights on Assignment</w:t>
      </w:r>
    </w:p>
    <w:p>
      <w:r>
        <w:t>When a PSC interest is sold:</w:t>
      </w:r>
    </w:p>
    <w:p>
      <w:pPr>
        <w:pStyle w:val="ListBullet"/>
      </w:pPr>
      <w:r>
        <w:rPr>
          <w:b/>
        </w:rPr>
        <w:t>Unrecovered costs</w:t>
      </w:r>
      <w:r>
        <w:t xml:space="preserve"> accumulated by the seller generally </w:t>
      </w:r>
      <w:r>
        <w:rPr>
          <w:b/>
        </w:rPr>
        <w:t>transfer to the buyer</w:t>
      </w:r>
    </w:p>
    <w:p>
      <w:pPr>
        <w:pStyle w:val="ListBullet"/>
      </w:pPr>
      <w:r>
        <w:t>Buyer "steps into the shoes" of the seller for cost recovery purposes</w:t>
      </w:r>
    </w:p>
    <w:p>
      <w:pPr>
        <w:pStyle w:val="ListBullet"/>
      </w:pPr>
      <w:r>
        <w:t xml:space="preserve">Subject to </w:t>
      </w:r>
      <w:r>
        <w:rPr>
          <w:b/>
        </w:rPr>
        <w:t>government approval</w:t>
      </w:r>
      <w:r>
        <w:t xml:space="preserve"> and </w:t>
      </w:r>
      <w:r>
        <w:rPr>
          <w:b/>
        </w:rPr>
        <w:t>assignment provisions</w:t>
      </w:r>
      <w:r>
        <w:t xml:space="preserve"> in PSC</w:t>
      </w:r>
    </w:p>
    <w:p>
      <w:r>
        <w:rPr>
          <w:b/>
        </w:rPr>
        <w:t>Key Provisions to Review:</w:t>
      </w:r>
    </w:p>
    <w:p>
      <w:pPr>
        <w:pStyle w:val="ListBullet"/>
      </w:pPr>
      <w:r>
        <w:rPr>
          <w:b/>
        </w:rPr>
        <w:t>Assignment clause</w:t>
      </w:r>
      <w:r>
        <w:t>: Does PSC permit assignment? Government consent required?</w:t>
      </w:r>
    </w:p>
    <w:p>
      <w:pPr>
        <w:pStyle w:val="ListBullet"/>
      </w:pPr>
      <w:r>
        <w:rPr>
          <w:b/>
        </w:rPr>
        <w:t>Cost carry rights</w:t>
      </w:r>
      <w:r>
        <w:t>: Are unrecovered costs explicitly assignable?</w:t>
      </w:r>
    </w:p>
    <w:p>
      <w:pPr>
        <w:pStyle w:val="ListBullet"/>
      </w:pPr>
      <w:r>
        <w:rPr>
          <w:b/>
        </w:rPr>
        <w:t>Audit contingencies</w:t>
      </w:r>
      <w:r>
        <w:t>: Are there disputed costs that may be disallowed?</w:t>
      </w:r>
    </w:p>
    <w:p>
      <w:pPr>
        <w:pStyle w:val="Heading4"/>
      </w:pPr>
      <w:r>
        <w:t>6.1.2 Government Consent and Audits</w:t>
      </w:r>
    </w:p>
    <w:p>
      <w:r>
        <w:t>Host governments typically:</w:t>
      </w:r>
    </w:p>
    <w:p>
      <w:pPr>
        <w:pStyle w:val="ListBullet"/>
      </w:pPr>
      <w:r>
        <w:rPr>
          <w:b/>
        </w:rPr>
        <w:t>Audit cost pools</w:t>
      </w:r>
      <w:r>
        <w:t xml:space="preserve"> before approving assignment</w:t>
      </w:r>
    </w:p>
    <w:p>
      <w:pPr>
        <w:pStyle w:val="ListBullet"/>
      </w:pPr>
      <w:r>
        <w:rPr>
          <w:b/>
        </w:rPr>
        <w:t>Disallow</w:t>
      </w:r>
      <w:r>
        <w:t xml:space="preserve"> any non-compliant costs (non-arm's length, non-recoverable items)</w:t>
      </w:r>
    </w:p>
    <w:p>
      <w:pPr>
        <w:pStyle w:val="ListBullet"/>
      </w:pPr>
      <w:r>
        <w:t xml:space="preserve">May require </w:t>
      </w:r>
      <w:r>
        <w:rPr>
          <w:b/>
        </w:rPr>
        <w:t>settlement of disputes</w:t>
      </w:r>
      <w:r>
        <w:t xml:space="preserve"> before transfer</w:t>
      </w:r>
    </w:p>
    <w:p>
      <w:r>
        <w:rPr>
          <w:b/>
        </w:rPr>
        <w:t>Due Diligence Checklist:</w:t>
      </w:r>
    </w:p>
    <w:p>
      <w:pPr>
        <w:pStyle w:val="ListBullet"/>
      </w:pPr>
      <w:r>
        <w:t xml:space="preserve">Obtain </w:t>
      </w:r>
      <w:r>
        <w:rPr>
          <w:b/>
        </w:rPr>
        <w:t>final audited cost statements</w:t>
      </w:r>
      <w:r>
        <w:t xml:space="preserve"> from government</w:t>
      </w:r>
    </w:p>
    <w:p>
      <w:pPr>
        <w:pStyle w:val="ListBullet"/>
      </w:pPr>
      <w:r>
        <w:t xml:space="preserve">Review </w:t>
      </w:r>
      <w:r>
        <w:rPr>
          <w:b/>
        </w:rPr>
        <w:t>cost disallowance history</w:t>
      </w:r>
    </w:p>
    <w:p>
      <w:pPr>
        <w:pStyle w:val="ListBullet"/>
      </w:pPr>
      <w:r>
        <w:t xml:space="preserve">Verify </w:t>
      </w:r>
      <w:r>
        <w:rPr>
          <w:b/>
        </w:rPr>
        <w:t>currency</w:t>
      </w:r>
      <w:r>
        <w:t xml:space="preserve"> of cost pool balances</w:t>
      </w:r>
    </w:p>
    <w:p>
      <w:pPr>
        <w:pStyle w:val="ListBullet"/>
      </w:pPr>
      <w:r>
        <w:t xml:space="preserve">Confirm </w:t>
      </w:r>
      <w:r>
        <w:rPr>
          <w:b/>
        </w:rPr>
        <w:t>no disputes</w:t>
      </w:r>
      <w:r>
        <w:t xml:space="preserve"> pending</w:t>
      </w:r>
    </w:p>
    <w:p>
      <w:pPr>
        <w:pStyle w:val="Heading3"/>
      </w:pPr>
      <w:r>
        <w:t>6.2 Valuation of Cost Recovery Balances</w:t>
      </w:r>
    </w:p>
    <w:p>
      <w:r>
        <w:rPr>
          <w:b/>
        </w:rPr>
        <w:t>Unrecovered costs</w:t>
      </w:r>
      <w:r>
        <w:t xml:space="preserve"> are valuable because they:</w:t>
      </w:r>
    </w:p>
    <w:p>
      <w:pPr>
        <w:pStyle w:val="ListBullet"/>
      </w:pPr>
      <w:r>
        <w:t xml:space="preserve">Reduce </w:t>
      </w:r>
      <w:r>
        <w:rPr>
          <w:b/>
        </w:rPr>
        <w:t>taxable income</w:t>
      </w:r>
      <w:r>
        <w:t xml:space="preserve"> (by allowing higher cost oil allocation)</w:t>
      </w:r>
    </w:p>
    <w:p>
      <w:pPr>
        <w:pStyle w:val="ListBullet"/>
      </w:pPr>
      <w:r>
        <w:t xml:space="preserve">Accelerate </w:t>
      </w:r>
      <w:r>
        <w:rPr>
          <w:b/>
        </w:rPr>
        <w:t>cash flow</w:t>
      </w:r>
      <w:r>
        <w:t xml:space="preserve"> (more oil retained by contractor sooner)</w:t>
      </w:r>
    </w:p>
    <w:p>
      <w:r>
        <w:rPr>
          <w:b/>
        </w:rPr>
        <w:t>Valuation Methodology: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Cost Recovery = (Unrecovered Cost Pool) × (Contractor's Tax Rate) × (Present Value Factor)</w:t>
      </w:r>
    </w:p>
    <w:p/>
    <w:p>
      <w:r>
        <w:rPr>
          <w:b/>
        </w:rPr>
        <w:t>Example:</w:t>
      </w:r>
    </w:p>
    <w:p>
      <w:pPr>
        <w:pStyle w:val="ListBullet"/>
      </w:pPr>
      <w:r>
        <w:t xml:space="preserve">Unrecovered costs: </w:t>
      </w:r>
      <w:r>
        <w:rPr>
          <w:b/>
        </w:rPr>
        <w:t>$100 million</w:t>
      </w:r>
    </w:p>
    <w:p>
      <w:pPr>
        <w:pStyle w:val="ListBullet"/>
      </w:pPr>
      <w:r>
        <w:t xml:space="preserve">Expected recovery period: </w:t>
      </w:r>
      <w:r>
        <w:rPr>
          <w:b/>
        </w:rPr>
        <w:t>5 years</w:t>
      </w:r>
    </w:p>
    <w:p>
      <w:pPr>
        <w:pStyle w:val="ListBullet"/>
      </w:pPr>
      <w:r>
        <w:t xml:space="preserve">Contractor's tax rate: </w:t>
      </w:r>
      <w:r>
        <w:rPr>
          <w:b/>
        </w:rPr>
        <w:t>30%</w:t>
      </w:r>
    </w:p>
    <w:p>
      <w:pPr>
        <w:pStyle w:val="ListBullet"/>
      </w:pPr>
      <w:r>
        <w:t xml:space="preserve">Discount rate: </w:t>
      </w:r>
      <w:r>
        <w:rPr>
          <w:b/>
        </w:rPr>
        <w:t>10%</w:t>
      </w:r>
    </w:p>
    <w:p>
      <w:r>
        <w:t>If costs are recovered evenly over 5 years ($20M/year):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Cost Recovery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Tax Savings (30%)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PV Factor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PV of Savings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$20M</w:t>
            </w:r>
          </w:p>
        </w:tc>
        <w:tc>
          <w:tcPr>
            <w:tcW w:type="dxa" w:w="1728"/>
          </w:tcPr>
          <w:p>
            <w:r/>
            <w:r>
              <w:t>$6M</w:t>
            </w:r>
          </w:p>
        </w:tc>
        <w:tc>
          <w:tcPr>
            <w:tcW w:type="dxa" w:w="1728"/>
          </w:tcPr>
          <w:p>
            <w:r/>
            <w:r>
              <w:t>0.909</w:t>
            </w:r>
          </w:p>
        </w:tc>
        <w:tc>
          <w:tcPr>
            <w:tcW w:type="dxa" w:w="1728"/>
          </w:tcPr>
          <w:p>
            <w:r/>
            <w:r>
              <w:t>$5.45M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$20M</w:t>
            </w:r>
          </w:p>
        </w:tc>
        <w:tc>
          <w:tcPr>
            <w:tcW w:type="dxa" w:w="1728"/>
          </w:tcPr>
          <w:p>
            <w:r/>
            <w:r>
              <w:t>$6M</w:t>
            </w:r>
          </w:p>
        </w:tc>
        <w:tc>
          <w:tcPr>
            <w:tcW w:type="dxa" w:w="1728"/>
          </w:tcPr>
          <w:p>
            <w:r/>
            <w:r>
              <w:t>0.826</w:t>
            </w:r>
          </w:p>
        </w:tc>
        <w:tc>
          <w:tcPr>
            <w:tcW w:type="dxa" w:w="1728"/>
          </w:tcPr>
          <w:p>
            <w:r/>
            <w:r>
              <w:t>$4.96M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$20M</w:t>
            </w:r>
          </w:p>
        </w:tc>
        <w:tc>
          <w:tcPr>
            <w:tcW w:type="dxa" w:w="1728"/>
          </w:tcPr>
          <w:p>
            <w:r/>
            <w:r>
              <w:t>$6M</w:t>
            </w:r>
          </w:p>
        </w:tc>
        <w:tc>
          <w:tcPr>
            <w:tcW w:type="dxa" w:w="1728"/>
          </w:tcPr>
          <w:p>
            <w:r/>
            <w:r>
              <w:t>0.751</w:t>
            </w:r>
          </w:p>
        </w:tc>
        <w:tc>
          <w:tcPr>
            <w:tcW w:type="dxa" w:w="1728"/>
          </w:tcPr>
          <w:p>
            <w:r/>
            <w:r>
              <w:t>$4.51M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$20M</w:t>
            </w:r>
          </w:p>
        </w:tc>
        <w:tc>
          <w:tcPr>
            <w:tcW w:type="dxa" w:w="1728"/>
          </w:tcPr>
          <w:p>
            <w:r/>
            <w:r>
              <w:t>$6M</w:t>
            </w:r>
          </w:p>
        </w:tc>
        <w:tc>
          <w:tcPr>
            <w:tcW w:type="dxa" w:w="1728"/>
          </w:tcPr>
          <w:p>
            <w:r/>
            <w:r>
              <w:t>0.683</w:t>
            </w:r>
          </w:p>
        </w:tc>
        <w:tc>
          <w:tcPr>
            <w:tcW w:type="dxa" w:w="1728"/>
          </w:tcPr>
          <w:p>
            <w:r/>
            <w:r>
              <w:t>$4.10M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$20M</w:t>
            </w:r>
          </w:p>
        </w:tc>
        <w:tc>
          <w:tcPr>
            <w:tcW w:type="dxa" w:w="1728"/>
          </w:tcPr>
          <w:p>
            <w:r/>
            <w:r>
              <w:t>$6M</w:t>
            </w:r>
          </w:p>
        </w:tc>
        <w:tc>
          <w:tcPr>
            <w:tcW w:type="dxa" w:w="1728"/>
          </w:tcPr>
          <w:p>
            <w:r/>
            <w:r>
              <w:t>0.621</w:t>
            </w:r>
          </w:p>
        </w:tc>
        <w:tc>
          <w:tcPr>
            <w:tcW w:type="dxa" w:w="1728"/>
          </w:tcPr>
          <w:p>
            <w:r/>
            <w:r>
              <w:t>$3.73M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$100M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$30M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$22.75M</w:t>
            </w:r>
          </w:p>
        </w:tc>
      </w:tr>
    </w:tbl>
    <w:p/>
    <w:p>
      <w:r>
        <w:rPr>
          <w:b/>
        </w:rPr>
        <w:t>Present value of cost recovery benefit: $22.75 million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7. Worked Examples</w:t>
      </w:r>
    </w:p>
    <w:p>
      <w:pPr>
        <w:pStyle w:val="Heading3"/>
      </w:pPr>
      <w:r>
        <w:t>WORKED EXAMPLE 1: Section 382 Limitation and Loss Utilization</w:t>
      </w:r>
    </w:p>
    <w:p>
      <w:r>
        <w:rPr>
          <w:b/>
        </w:rPr>
        <w:t>Facts:</w:t>
      </w:r>
    </w:p>
    <w:p>
      <w:r>
        <w:t xml:space="preserve">Buyer Corp acquires 100% of Target Oil Inc. on </w:t>
      </w:r>
      <w:r>
        <w:rPr>
          <w:b/>
        </w:rPr>
        <w:t>January 1, Year 1</w:t>
      </w:r>
      <w:r>
        <w:t xml:space="preserve"> for </w:t>
      </w:r>
      <w:r>
        <w:rPr>
          <w:b/>
        </w:rPr>
        <w:t>$80 million</w:t>
      </w:r>
      <w:r>
        <w:t xml:space="preserve"> cash. Target has:</w:t>
      </w:r>
    </w:p>
    <w:p>
      <w:pPr>
        <w:pStyle w:val="ListBullet"/>
      </w:pPr>
      <w:r>
        <w:rPr>
          <w:b/>
        </w:rPr>
        <w:t>Net Operating Losses (NOLs): $150 million</w:t>
      </w:r>
    </w:p>
    <w:p>
      <w:pPr>
        <w:pStyle w:val="ListBullet"/>
      </w:pPr>
      <w:r>
        <w:rPr>
          <w:b/>
        </w:rPr>
        <w:t>Fair market value</w:t>
      </w:r>
      <w:r>
        <w:t xml:space="preserve"> immediately before acquisition: </w:t>
      </w:r>
      <w:r>
        <w:rPr>
          <w:b/>
        </w:rPr>
        <w:t>$80 million</w:t>
      </w:r>
    </w:p>
    <w:p>
      <w:pPr>
        <w:pStyle w:val="ListBullet"/>
      </w:pPr>
      <w:r>
        <w:rPr>
          <w:b/>
        </w:rPr>
        <w:t>Long-term tax-exempt rate: 4%</w:t>
      </w:r>
    </w:p>
    <w:p>
      <w:pPr>
        <w:pStyle w:val="ListBullet"/>
      </w:pPr>
      <w:r>
        <w:t xml:space="preserve">Target operates a mature oil field generating </w:t>
      </w:r>
      <w:r>
        <w:rPr>
          <w:b/>
        </w:rPr>
        <w:t>$25 million taxable income per year</w:t>
      </w:r>
      <w:r>
        <w:t xml:space="preserve"> (before NOL deductions)</w:t>
      </w:r>
    </w:p>
    <w:p>
      <w:r>
        <w:t xml:space="preserve">Corporate tax rate: </w:t>
      </w:r>
      <w:r>
        <w:rPr>
          <w:b/>
        </w:rPr>
        <w:t>21%</w:t>
      </w:r>
    </w:p>
    <w:p>
      <w:r>
        <w:t xml:space="preserve">Target has </w:t>
      </w:r>
      <w:r>
        <w:rPr>
          <w:b/>
        </w:rPr>
        <w:t>built-in gains</w:t>
      </w:r>
      <w:r>
        <w:t xml:space="preserve"> of </w:t>
      </w:r>
      <w:r>
        <w:rPr>
          <w:b/>
        </w:rPr>
        <w:t>$30 million</w:t>
      </w:r>
      <w:r>
        <w:t xml:space="preserve"> on appreciated production equipment, which will be </w:t>
      </w:r>
      <w:r>
        <w:rPr>
          <w:b/>
        </w:rPr>
        <w:t>recognized in Year 2</w:t>
      </w:r>
      <w:r>
        <w:t xml:space="preserve"> through sale or depreciation acceleration.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Determine if a </w:t>
      </w:r>
      <w:r>
        <w:rPr>
          <w:b/>
        </w:rPr>
        <w:t>US Internal Revenue Code Section 382 ownership change</w:t>
      </w:r>
      <w:r>
        <w:t xml:space="preserve"> occurred</w:t>
      </w:r>
    </w:p>
    <w:p>
      <w:pPr>
        <w:pStyle w:val="ListNumber"/>
      </w:pPr>
      <w:r>
        <w:t xml:space="preserve">Calculate the </w:t>
      </w:r>
      <w:r>
        <w:rPr>
          <w:b/>
        </w:rPr>
        <w:t>annual US Internal Revenue Code Section 382 limitation</w:t>
      </w:r>
    </w:p>
    <w:p>
      <w:pPr>
        <w:pStyle w:val="ListNumber"/>
      </w:pPr>
      <w:r>
        <w:t xml:space="preserve">Calculate </w:t>
      </w:r>
      <w:r>
        <w:rPr>
          <w:b/>
        </w:rPr>
        <w:t>NOL utilization</w:t>
      </w:r>
      <w:r>
        <w:t xml:space="preserve"> for Years 1-5, considering built-in gains</w:t>
      </w:r>
    </w:p>
    <w:p>
      <w:pPr>
        <w:pStyle w:val="ListNumber"/>
      </w:pPr>
      <w:r>
        <w:t xml:space="preserve">Determine </w:t>
      </w:r>
      <w:r>
        <w:rPr>
          <w:b/>
        </w:rPr>
        <w:t>cumulative tax savings</w:t>
      </w:r>
      <w:r>
        <w:t xml:space="preserve"> over 5 years (PV at 10%)</w:t>
      </w:r>
    </w:p>
    <w:p>
      <w:r>
        <w:rPr>
          <w:b/>
        </w:rPr>
        <w:t>Analysis:</w:t>
      </w:r>
    </w:p>
    <w:p>
      <w:r>
        <w:rPr>
          <w:b/>
        </w:rPr>
        <w:t>Part 1: Ownership Change Determination</w:t>
      </w:r>
    </w:p>
    <w:p>
      <w:r>
        <w:t xml:space="preserve">Buyer Corp acquired </w:t>
      </w:r>
      <w:r>
        <w:rPr>
          <w:b/>
        </w:rPr>
        <w:t>100%</w:t>
      </w:r>
      <w:r>
        <w:t xml:space="preserve"> of Target's stock. This represents a </w:t>
      </w:r>
      <w:r>
        <w:rPr>
          <w:b/>
        </w:rPr>
        <w:t>100 percentage point increase</w:t>
      </w:r>
      <w:r>
        <w:t xml:space="preserve"> in ownership by a 5% shareholder (Buyer Corp), which </w:t>
      </w:r>
      <w:r>
        <w:rPr>
          <w:b/>
        </w:rPr>
        <w:t>exceeds the 50% threshold</w:t>
      </w:r>
      <w:r>
        <w:t>.</w:t>
      </w:r>
    </w:p>
    <w:p>
      <w:r>
        <w:rPr>
          <w:b/>
        </w:rPr>
        <w:t>Conclusion: US Internal Revenue Code Section 382 ownership change occurred</w:t>
      </w:r>
      <w:r>
        <w:t xml:space="preserve"> on January 1, Year 1.</w:t>
      </w:r>
    </w:p>
    <w:p>
      <w:r>
        <w:rPr>
          <w:b/>
        </w:rPr>
        <w:t>Part 2: Annual US Internal Revenue Code Section 382 Limitation</w:t>
      </w:r>
    </w:p>
    <w:p>
      <w:r>
        <w:rPr>
          <w:b/>
        </w:rPr>
        <w:t>Base Annual Limitation: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Limitation = FMV × Long-Term Tax-Exempt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= $80M × 4%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= $3.2 million per year</w:t>
      </w:r>
    </w:p>
    <w:p/>
    <w:p>
      <w:r>
        <w:rPr>
          <w:b/>
        </w:rPr>
        <w:t>Built-In Gains Adjustment (Year 2):</w:t>
      </w:r>
    </w:p>
    <w:p>
      <w:r>
        <w:t xml:space="preserve">In Year 2, Target recognizes </w:t>
      </w:r>
      <w:r>
        <w:rPr>
          <w:b/>
        </w:rPr>
        <w:t>$30 million built-in gain</w:t>
      </w:r>
      <w:r>
        <w:t xml:space="preserve">. Under </w:t>
      </w:r>
      <w:r>
        <w:rPr>
          <w:b/>
        </w:rPr>
        <w:t>US Internal Revenue Code Section 382(h)(1)(A)(i)</w:t>
      </w:r>
      <w:r>
        <w:t xml:space="preserve">, recognized built-in gains </w:t>
      </w:r>
      <w:r>
        <w:rPr>
          <w:b/>
        </w:rPr>
        <w:t>increase the US Internal Revenue Code Section 382 limitation</w:t>
      </w:r>
      <w:r>
        <w:t xml:space="preserve"> in the year recognized.</w:t>
      </w:r>
    </w:p>
    <w:p>
      <w:r>
        <w:rPr>
          <w:b/>
        </w:rPr>
        <w:t>Adjusted Limitation (Year 2 only):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2 Limitation = $3.2M (base) + $30M (built-in gain recognized)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= $33.2 million</w:t>
      </w:r>
    </w:p>
    <w:p/>
    <w:p>
      <w:r>
        <w:t xml:space="preserve">Years 1, 3-5: </w:t>
      </w:r>
      <w:r>
        <w:rPr>
          <w:b/>
        </w:rPr>
        <w:t>$3.2 million per year</w:t>
      </w:r>
    </w:p>
    <w:p>
      <w:r>
        <w:rPr>
          <w:b/>
        </w:rPr>
        <w:t>Part 3: NOL Utilization (Years 1-5)</w:t>
      </w:r>
    </w:p>
    <w:p>
      <w:r>
        <w:rPr>
          <w:b/>
        </w:rPr>
        <w:t>Year 1:</w:t>
      </w:r>
    </w:p>
    <w:p>
      <w:pPr>
        <w:pStyle w:val="ListBullet"/>
      </w:pPr>
      <w:r>
        <w:t xml:space="preserve">Taxable income before NOL: </w:t>
      </w:r>
      <w:r>
        <w:rPr>
          <w:b/>
        </w:rPr>
        <w:t>$25M</w:t>
      </w:r>
    </w:p>
    <w:p>
      <w:pPr>
        <w:pStyle w:val="ListBullet"/>
      </w:pPr>
      <w:r>
        <w:t xml:space="preserve">US Internal Revenue Code Section 382 limitation: </w:t>
      </w:r>
      <w:r>
        <w:rPr>
          <w:b/>
        </w:rPr>
        <w:t>$3.2M</w:t>
      </w:r>
    </w:p>
    <w:p>
      <w:pPr>
        <w:pStyle w:val="ListBullet"/>
      </w:pPr>
      <w:r>
        <w:rPr>
          <w:b/>
        </w:rPr>
        <w:t>NOL deduction allowed: $3.2M</w:t>
      </w:r>
      <w:r>
        <w:t xml:space="preserve"> (lesser of $25M income or $3.2M limitation)</w:t>
      </w:r>
    </w:p>
    <w:p>
      <w:pPr>
        <w:pStyle w:val="ListBullet"/>
      </w:pPr>
      <w:r>
        <w:rPr>
          <w:b/>
        </w:rPr>
        <w:t>Taxable income after NOL: $25M - $3.2M = $21.8M</w:t>
      </w:r>
    </w:p>
    <w:p>
      <w:pPr>
        <w:pStyle w:val="ListBullet"/>
      </w:pPr>
      <w:r>
        <w:t xml:space="preserve">NOLs remaining: $150M - $3.2M = </w:t>
      </w:r>
      <w:r>
        <w:rPr>
          <w:b/>
        </w:rPr>
        <w:t>$146.8M</w:t>
      </w:r>
    </w:p>
    <w:p>
      <w:r>
        <w:rPr>
          <w:b/>
        </w:rPr>
        <w:t>Year 2:</w:t>
      </w:r>
    </w:p>
    <w:p>
      <w:pPr>
        <w:pStyle w:val="ListBullet"/>
      </w:pPr>
      <w:r>
        <w:t xml:space="preserve">Taxable income before NOL: $25M + $30M built-in gain = </w:t>
      </w:r>
      <w:r>
        <w:rPr>
          <w:b/>
        </w:rPr>
        <w:t>$55M</w:t>
      </w:r>
    </w:p>
    <w:p>
      <w:pPr>
        <w:pStyle w:val="ListBullet"/>
      </w:pPr>
      <w:r>
        <w:t xml:space="preserve">US Internal Revenue Code Section 382 limitation: </w:t>
      </w:r>
      <w:r>
        <w:rPr>
          <w:b/>
        </w:rPr>
        <w:t>$33.2M</w:t>
      </w:r>
      <w:r>
        <w:t xml:space="preserve"> (base $3.2M + built-in gain $30M)</w:t>
      </w:r>
    </w:p>
    <w:p>
      <w:pPr>
        <w:pStyle w:val="ListBullet"/>
      </w:pPr>
      <w:r>
        <w:rPr>
          <w:b/>
        </w:rPr>
        <w:t>NOL deduction allowed: $33.2M</w:t>
      </w:r>
    </w:p>
    <w:p>
      <w:pPr>
        <w:pStyle w:val="ListBullet"/>
      </w:pPr>
      <w:r>
        <w:rPr>
          <w:b/>
        </w:rPr>
        <w:t>Taxable income after NOL: $55M - $33.2M = $21.8M</w:t>
      </w:r>
    </w:p>
    <w:p>
      <w:pPr>
        <w:pStyle w:val="ListBullet"/>
      </w:pPr>
      <w:r>
        <w:t xml:space="preserve">NOLs remaining: $146.8M - $33.2M = </w:t>
      </w:r>
      <w:r>
        <w:rPr>
          <w:b/>
        </w:rPr>
        <w:t>$113.6M</w:t>
      </w:r>
    </w:p>
    <w:p>
      <w:r>
        <w:rPr>
          <w:b/>
        </w:rPr>
        <w:t>Year 3:</w:t>
      </w:r>
    </w:p>
    <w:p>
      <w:pPr>
        <w:pStyle w:val="ListBullet"/>
      </w:pPr>
      <w:r>
        <w:t xml:space="preserve">Taxable income before NOL: </w:t>
      </w:r>
      <w:r>
        <w:rPr>
          <w:b/>
        </w:rPr>
        <w:t>$25M</w:t>
      </w:r>
    </w:p>
    <w:p>
      <w:pPr>
        <w:pStyle w:val="ListBullet"/>
      </w:pPr>
      <w:r>
        <w:t xml:space="preserve">US Internal Revenue Code Section 382 limitation: </w:t>
      </w:r>
      <w:r>
        <w:rPr>
          <w:b/>
        </w:rPr>
        <w:t>$3.2M</w:t>
      </w:r>
    </w:p>
    <w:p>
      <w:pPr>
        <w:pStyle w:val="ListBullet"/>
      </w:pPr>
      <w:r>
        <w:rPr>
          <w:b/>
        </w:rPr>
        <w:t>NOL deduction allowed: $3.2M</w:t>
      </w:r>
    </w:p>
    <w:p>
      <w:pPr>
        <w:pStyle w:val="ListBullet"/>
      </w:pPr>
      <w:r>
        <w:rPr>
          <w:b/>
        </w:rPr>
        <w:t>Taxable income after NOL: $21.8M</w:t>
      </w:r>
    </w:p>
    <w:p>
      <w:pPr>
        <w:pStyle w:val="ListBullet"/>
      </w:pPr>
      <w:r>
        <w:t xml:space="preserve">NOLs remaining: $113.6M - $3.2M = </w:t>
      </w:r>
      <w:r>
        <w:rPr>
          <w:b/>
        </w:rPr>
        <w:t>$110.4M</w:t>
      </w:r>
    </w:p>
    <w:p>
      <w:r>
        <w:rPr>
          <w:b/>
        </w:rPr>
        <w:t>Year 4:</w:t>
      </w:r>
    </w:p>
    <w:p>
      <w:pPr>
        <w:pStyle w:val="ListBullet"/>
      </w:pPr>
      <w:r>
        <w:t>Same as Year 3</w:t>
      </w:r>
    </w:p>
    <w:p>
      <w:pPr>
        <w:pStyle w:val="ListBullet"/>
      </w:pPr>
      <w:r>
        <w:rPr>
          <w:b/>
        </w:rPr>
        <w:t>NOL deduction: $3.2M</w:t>
      </w:r>
    </w:p>
    <w:p>
      <w:pPr>
        <w:pStyle w:val="ListBullet"/>
      </w:pPr>
      <w:r>
        <w:rPr>
          <w:b/>
        </w:rPr>
        <w:t>Taxable income after NOL: $21.8M</w:t>
      </w:r>
    </w:p>
    <w:p>
      <w:pPr>
        <w:pStyle w:val="ListBullet"/>
      </w:pPr>
      <w:r>
        <w:t xml:space="preserve">NOLs remaining: $110.4M - $3.2M = </w:t>
      </w:r>
      <w:r>
        <w:rPr>
          <w:b/>
        </w:rPr>
        <w:t>$107.2M</w:t>
      </w:r>
    </w:p>
    <w:p>
      <w:r>
        <w:rPr>
          <w:b/>
        </w:rPr>
        <w:t>Year 5:</w:t>
      </w:r>
    </w:p>
    <w:p>
      <w:pPr>
        <w:pStyle w:val="ListBullet"/>
      </w:pPr>
      <w:r>
        <w:t>Same as Years 3-4</w:t>
      </w:r>
    </w:p>
    <w:p>
      <w:pPr>
        <w:pStyle w:val="ListBullet"/>
      </w:pPr>
      <w:r>
        <w:rPr>
          <w:b/>
        </w:rPr>
        <w:t>NOL deduction: $3.2M</w:t>
      </w:r>
    </w:p>
    <w:p>
      <w:pPr>
        <w:pStyle w:val="ListBullet"/>
      </w:pPr>
      <w:r>
        <w:rPr>
          <w:b/>
        </w:rPr>
        <w:t>Taxable income after NOL: $21.8M</w:t>
      </w:r>
    </w:p>
    <w:p>
      <w:pPr>
        <w:pStyle w:val="ListBullet"/>
      </w:pPr>
      <w:r>
        <w:t xml:space="preserve">NOLs remaining: $107.2M - $3.2M = </w:t>
      </w:r>
      <w:r>
        <w:rPr>
          <w:b/>
        </w:rPr>
        <w:t>$104M</w:t>
      </w:r>
    </w:p>
    <w:p>
      <w:r>
        <w:rPr>
          <w:b/>
        </w:rPr>
        <w:t>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Income Before NOL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IRC §382 Limit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NOL Used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Taxable Income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Tax (21%)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NOL Remaining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$25.0M</w:t>
            </w:r>
          </w:p>
        </w:tc>
        <w:tc>
          <w:tcPr>
            <w:tcW w:type="dxa" w:w="1234"/>
          </w:tcPr>
          <w:p>
            <w:r/>
            <w:r>
              <w:t>$3.2M</w:t>
            </w:r>
          </w:p>
        </w:tc>
        <w:tc>
          <w:tcPr>
            <w:tcW w:type="dxa" w:w="1234"/>
          </w:tcPr>
          <w:p>
            <w:r/>
            <w:r>
              <w:t>$3.2M</w:t>
            </w:r>
          </w:p>
        </w:tc>
        <w:tc>
          <w:tcPr>
            <w:tcW w:type="dxa" w:w="1234"/>
          </w:tcPr>
          <w:p>
            <w:r/>
            <w:r>
              <w:t>$21.8M</w:t>
            </w:r>
          </w:p>
        </w:tc>
        <w:tc>
          <w:tcPr>
            <w:tcW w:type="dxa" w:w="1234"/>
          </w:tcPr>
          <w:p>
            <w:r/>
            <w:r>
              <w:t>$4.58M</w:t>
            </w:r>
          </w:p>
        </w:tc>
        <w:tc>
          <w:tcPr>
            <w:tcW w:type="dxa" w:w="1234"/>
          </w:tcPr>
          <w:p>
            <w:r/>
            <w:r>
              <w:t>$146.8M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$55.0M</w:t>
            </w:r>
          </w:p>
        </w:tc>
        <w:tc>
          <w:tcPr>
            <w:tcW w:type="dxa" w:w="1234"/>
          </w:tcPr>
          <w:p>
            <w:r/>
            <w:r>
              <w:t>$33.2M</w:t>
            </w:r>
          </w:p>
        </w:tc>
        <w:tc>
          <w:tcPr>
            <w:tcW w:type="dxa" w:w="1234"/>
          </w:tcPr>
          <w:p>
            <w:r/>
            <w:r>
              <w:t>$33.2M</w:t>
            </w:r>
          </w:p>
        </w:tc>
        <w:tc>
          <w:tcPr>
            <w:tcW w:type="dxa" w:w="1234"/>
          </w:tcPr>
          <w:p>
            <w:r/>
            <w:r>
              <w:t>$21.8M</w:t>
            </w:r>
          </w:p>
        </w:tc>
        <w:tc>
          <w:tcPr>
            <w:tcW w:type="dxa" w:w="1234"/>
          </w:tcPr>
          <w:p>
            <w:r/>
            <w:r>
              <w:t>$4.58M</w:t>
            </w:r>
          </w:p>
        </w:tc>
        <w:tc>
          <w:tcPr>
            <w:tcW w:type="dxa" w:w="1234"/>
          </w:tcPr>
          <w:p>
            <w:r/>
            <w:r>
              <w:t>$113.6M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$25.0M</w:t>
            </w:r>
          </w:p>
        </w:tc>
        <w:tc>
          <w:tcPr>
            <w:tcW w:type="dxa" w:w="1234"/>
          </w:tcPr>
          <w:p>
            <w:r/>
            <w:r>
              <w:t>$3.2M</w:t>
            </w:r>
          </w:p>
        </w:tc>
        <w:tc>
          <w:tcPr>
            <w:tcW w:type="dxa" w:w="1234"/>
          </w:tcPr>
          <w:p>
            <w:r/>
            <w:r>
              <w:t>$3.2M</w:t>
            </w:r>
          </w:p>
        </w:tc>
        <w:tc>
          <w:tcPr>
            <w:tcW w:type="dxa" w:w="1234"/>
          </w:tcPr>
          <w:p>
            <w:r/>
            <w:r>
              <w:t>$21.8M</w:t>
            </w:r>
          </w:p>
        </w:tc>
        <w:tc>
          <w:tcPr>
            <w:tcW w:type="dxa" w:w="1234"/>
          </w:tcPr>
          <w:p>
            <w:r/>
            <w:r>
              <w:t>$4.58M</w:t>
            </w:r>
          </w:p>
        </w:tc>
        <w:tc>
          <w:tcPr>
            <w:tcW w:type="dxa" w:w="1234"/>
          </w:tcPr>
          <w:p>
            <w:r/>
            <w:r>
              <w:t>$110.4M</w:t>
            </w:r>
          </w:p>
        </w:tc>
      </w:tr>
      <w:tr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$25.0M</w:t>
            </w:r>
          </w:p>
        </w:tc>
        <w:tc>
          <w:tcPr>
            <w:tcW w:type="dxa" w:w="1234"/>
          </w:tcPr>
          <w:p>
            <w:r/>
            <w:r>
              <w:t>$3.2M</w:t>
            </w:r>
          </w:p>
        </w:tc>
        <w:tc>
          <w:tcPr>
            <w:tcW w:type="dxa" w:w="1234"/>
          </w:tcPr>
          <w:p>
            <w:r/>
            <w:r>
              <w:t>$3.2M</w:t>
            </w:r>
          </w:p>
        </w:tc>
        <w:tc>
          <w:tcPr>
            <w:tcW w:type="dxa" w:w="1234"/>
          </w:tcPr>
          <w:p>
            <w:r/>
            <w:r>
              <w:t>$21.8M</w:t>
            </w:r>
          </w:p>
        </w:tc>
        <w:tc>
          <w:tcPr>
            <w:tcW w:type="dxa" w:w="1234"/>
          </w:tcPr>
          <w:p>
            <w:r/>
            <w:r>
              <w:t>$4.58M</w:t>
            </w:r>
          </w:p>
        </w:tc>
        <w:tc>
          <w:tcPr>
            <w:tcW w:type="dxa" w:w="1234"/>
          </w:tcPr>
          <w:p>
            <w:r/>
            <w:r>
              <w:t>$107.2M</w:t>
            </w:r>
          </w:p>
        </w:tc>
      </w:tr>
      <w:tr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$25.0M</w:t>
            </w:r>
          </w:p>
        </w:tc>
        <w:tc>
          <w:tcPr>
            <w:tcW w:type="dxa" w:w="1234"/>
          </w:tcPr>
          <w:p>
            <w:r/>
            <w:r>
              <w:t>$3.2M</w:t>
            </w:r>
          </w:p>
        </w:tc>
        <w:tc>
          <w:tcPr>
            <w:tcW w:type="dxa" w:w="1234"/>
          </w:tcPr>
          <w:p>
            <w:r/>
            <w:r>
              <w:t>$3.2M</w:t>
            </w:r>
          </w:p>
        </w:tc>
        <w:tc>
          <w:tcPr>
            <w:tcW w:type="dxa" w:w="1234"/>
          </w:tcPr>
          <w:p>
            <w:r/>
            <w:r>
              <w:t>$21.8M</w:t>
            </w:r>
          </w:p>
        </w:tc>
        <w:tc>
          <w:tcPr>
            <w:tcW w:type="dxa" w:w="1234"/>
          </w:tcPr>
          <w:p>
            <w:r/>
            <w:r>
              <w:t>$4.58M</w:t>
            </w:r>
          </w:p>
        </w:tc>
        <w:tc>
          <w:tcPr>
            <w:tcW w:type="dxa" w:w="1234"/>
          </w:tcPr>
          <w:p>
            <w:r/>
            <w:r>
              <w:t>$104.0M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b/>
              </w:rPr>
              <w:t>$46M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b/>
              </w:rPr>
              <w:t>$22.9M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</w:rPr>
        <w:t>Part 4: Tax Savings and Present Value</w:t>
      </w:r>
    </w:p>
    <w:p>
      <w:r>
        <w:rPr>
          <w:b/>
        </w:rPr>
        <w:t>Tax savings from NOL deductions: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NOL Used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Tax Saved (21%)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PV Factor (10%)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PV of Savings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$3.2M</w:t>
            </w:r>
          </w:p>
        </w:tc>
        <w:tc>
          <w:tcPr>
            <w:tcW w:type="dxa" w:w="1728"/>
          </w:tcPr>
          <w:p>
            <w:r/>
            <w:r>
              <w:t>$0.67M</w:t>
            </w:r>
          </w:p>
        </w:tc>
        <w:tc>
          <w:tcPr>
            <w:tcW w:type="dxa" w:w="1728"/>
          </w:tcPr>
          <w:p>
            <w:r/>
            <w:r>
              <w:t>0.909</w:t>
            </w:r>
          </w:p>
        </w:tc>
        <w:tc>
          <w:tcPr>
            <w:tcW w:type="dxa" w:w="1728"/>
          </w:tcPr>
          <w:p>
            <w:r/>
            <w:r>
              <w:t>$0.61M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$33.2M</w:t>
            </w:r>
          </w:p>
        </w:tc>
        <w:tc>
          <w:tcPr>
            <w:tcW w:type="dxa" w:w="1728"/>
          </w:tcPr>
          <w:p>
            <w:r/>
            <w:r>
              <w:t>$6.97M</w:t>
            </w:r>
          </w:p>
        </w:tc>
        <w:tc>
          <w:tcPr>
            <w:tcW w:type="dxa" w:w="1728"/>
          </w:tcPr>
          <w:p>
            <w:r/>
            <w:r>
              <w:t>0.826</w:t>
            </w:r>
          </w:p>
        </w:tc>
        <w:tc>
          <w:tcPr>
            <w:tcW w:type="dxa" w:w="1728"/>
          </w:tcPr>
          <w:p>
            <w:r/>
            <w:r>
              <w:t>$5.76M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$3.2M</w:t>
            </w:r>
          </w:p>
        </w:tc>
        <w:tc>
          <w:tcPr>
            <w:tcW w:type="dxa" w:w="1728"/>
          </w:tcPr>
          <w:p>
            <w:r/>
            <w:r>
              <w:t>$0.67M</w:t>
            </w:r>
          </w:p>
        </w:tc>
        <w:tc>
          <w:tcPr>
            <w:tcW w:type="dxa" w:w="1728"/>
          </w:tcPr>
          <w:p>
            <w:r/>
            <w:r>
              <w:t>0.751</w:t>
            </w:r>
          </w:p>
        </w:tc>
        <w:tc>
          <w:tcPr>
            <w:tcW w:type="dxa" w:w="1728"/>
          </w:tcPr>
          <w:p>
            <w:r/>
            <w:r>
              <w:t>$0.50M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$3.2M</w:t>
            </w:r>
          </w:p>
        </w:tc>
        <w:tc>
          <w:tcPr>
            <w:tcW w:type="dxa" w:w="1728"/>
          </w:tcPr>
          <w:p>
            <w:r/>
            <w:r>
              <w:t>$0.67M</w:t>
            </w:r>
          </w:p>
        </w:tc>
        <w:tc>
          <w:tcPr>
            <w:tcW w:type="dxa" w:w="1728"/>
          </w:tcPr>
          <w:p>
            <w:r/>
            <w:r>
              <w:t>0.683</w:t>
            </w:r>
          </w:p>
        </w:tc>
        <w:tc>
          <w:tcPr>
            <w:tcW w:type="dxa" w:w="1728"/>
          </w:tcPr>
          <w:p>
            <w:r/>
            <w:r>
              <w:t>$0.46M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$3.2M</w:t>
            </w:r>
          </w:p>
        </w:tc>
        <w:tc>
          <w:tcPr>
            <w:tcW w:type="dxa" w:w="1728"/>
          </w:tcPr>
          <w:p>
            <w:r/>
            <w:r>
              <w:t>$0.67M</w:t>
            </w:r>
          </w:p>
        </w:tc>
        <w:tc>
          <w:tcPr>
            <w:tcW w:type="dxa" w:w="1728"/>
          </w:tcPr>
          <w:p>
            <w:r/>
            <w:r>
              <w:t>0.621</w:t>
            </w:r>
          </w:p>
        </w:tc>
        <w:tc>
          <w:tcPr>
            <w:tcW w:type="dxa" w:w="1728"/>
          </w:tcPr>
          <w:p>
            <w:r/>
            <w:r>
              <w:t>$0.42M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$46M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$9.65M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$7.75M</w:t>
            </w:r>
          </w:p>
        </w:tc>
      </w:tr>
    </w:tbl>
    <w:p/>
    <w:p>
      <w:r>
        <w:rPr>
          <w:b/>
        </w:rPr>
        <w:t>Present value of tax savings over 5 years: $7.75 million</w:t>
      </w:r>
    </w:p>
    <w:p>
      <w:r>
        <w:rPr>
          <w:b/>
        </w:rPr>
        <w:t>Observations:</w:t>
      </w:r>
    </w:p>
    <w:p>
      <w:pPr>
        <w:pStyle w:val="ListNumber"/>
      </w:pPr>
      <w:r>
        <w:rPr>
          <w:b/>
        </w:rPr>
        <w:t>Only $46M</w:t>
      </w:r>
      <w:r>
        <w:t xml:space="preserve"> of $150M NOLs used in first 5 years (30.7%)</w:t>
      </w:r>
    </w:p>
    <w:p>
      <w:pPr>
        <w:pStyle w:val="ListNumber"/>
      </w:pPr>
      <w:r>
        <w:rPr>
          <w:b/>
        </w:rPr>
        <w:t>Built-in gain recognition</w:t>
      </w:r>
      <w:r>
        <w:t xml:space="preserve"> in Year 2 accelerates NOL usage significantly (captures $30M vs usual $3.2M)</w:t>
      </w:r>
    </w:p>
    <w:p>
      <w:pPr>
        <w:pStyle w:val="ListNumber"/>
      </w:pPr>
      <w:r>
        <w:t xml:space="preserve">At this rate, full NOL utilization would take </w:t>
      </w:r>
      <w:r>
        <w:rPr>
          <w:b/>
        </w:rPr>
        <w:t>~41 years</w:t>
      </w:r>
      <w:r>
        <w:t>: ($150M - $30M from Year 2) ÷ $3.2M/year ≈ 38 years + 2 years = 40 years</w:t>
      </w:r>
    </w:p>
    <w:p>
      <w:pPr>
        <w:pStyle w:val="ListNumber"/>
      </w:pPr>
      <w:r>
        <w:t xml:space="preserve">However, NOLs are now </w:t>
      </w:r>
      <w:r>
        <w:rPr>
          <w:b/>
        </w:rPr>
        <w:t>indefinite carryforward</w:t>
      </w:r>
      <w:r>
        <w:t xml:space="preserve"> (post-TCJA), so no expiration risk</w:t>
      </w:r>
    </w:p>
    <w:p>
      <w:r>
        <w:rPr>
          <w:b/>
        </w:rPr>
        <w:t>Planning Recommendations:</w:t>
      </w:r>
    </w:p>
    <w:p>
      <w:pPr>
        <w:pStyle w:val="ListBullet"/>
      </w:pPr>
      <w:r>
        <w:rPr>
          <w:b/>
        </w:rPr>
        <w:t>Accelerate more built-in gains</w:t>
      </w:r>
      <w:r>
        <w:t xml:space="preserve"> into first 5 years to utilize more NOLs</w:t>
      </w:r>
    </w:p>
    <w:p>
      <w:pPr>
        <w:pStyle w:val="ListBullet"/>
      </w:pPr>
      <w:r>
        <w:t xml:space="preserve">Consider </w:t>
      </w:r>
      <w:r>
        <w:rPr>
          <w:b/>
        </w:rPr>
        <w:t>US Internal Revenue Code Section 338(g)</w:t>
      </w:r>
      <w:r>
        <w:t xml:space="preserve"> election to step up basis (though triggers immediate tax)</w:t>
      </w:r>
    </w:p>
    <w:p>
      <w:pPr>
        <w:pStyle w:val="ListBullet"/>
      </w:pPr>
      <w:r>
        <w:rPr>
          <w:b/>
        </w:rPr>
        <w:t>Increase income</w:t>
      </w:r>
      <w:r>
        <w:t xml:space="preserve"> at Target through intercompany transactions to absorb NOLs faster</w:t>
      </w:r>
    </w:p>
    <w:p>
      <w:r>
        <w:t>═══════════════════════════════════════════</w:t>
      </w:r>
    </w:p>
    <w:p>
      <w:pPr>
        <w:pStyle w:val="Heading3"/>
      </w:pPr>
      <w:r>
        <w:t>WORKED EXAMPLE 2: PSC Cost Recovery Balances in Acquisition</w:t>
      </w:r>
    </w:p>
    <w:p>
      <w:r>
        <w:rPr>
          <w:b/>
        </w:rPr>
        <w:t>Facts:</w:t>
      </w:r>
    </w:p>
    <w:p>
      <w:r>
        <w:t xml:space="preserve">Buyer Energy is acquiring a </w:t>
      </w:r>
      <w:r>
        <w:rPr>
          <w:b/>
        </w:rPr>
        <w:t>30% participating interest</w:t>
      </w:r>
      <w:r>
        <w:t xml:space="preserve"> in an Indonesian PSC from Seller Oil Co. Purchase price: </w:t>
      </w:r>
      <w:r>
        <w:rPr>
          <w:b/>
        </w:rPr>
        <w:t>$120 million</w:t>
      </w:r>
      <w:r>
        <w:t>.</w:t>
      </w:r>
    </w:p>
    <w:p>
      <w:r>
        <w:rPr>
          <w:b/>
        </w:rPr>
        <w:t>PSC Terms:</w:t>
      </w:r>
    </w:p>
    <w:p>
      <w:pPr>
        <w:pStyle w:val="ListBullet"/>
      </w:pPr>
      <w:r>
        <w:t xml:space="preserve">Cost recovery ceiling: </w:t>
      </w:r>
      <w:r>
        <w:rPr>
          <w:b/>
        </w:rPr>
        <w:t>70% of gross revenue</w:t>
      </w:r>
    </w:p>
    <w:p>
      <w:pPr>
        <w:pStyle w:val="ListBullet"/>
      </w:pPr>
      <w:r>
        <w:t>Profit oil split: 40% Contractor / 60% Government</w:t>
      </w:r>
    </w:p>
    <w:p>
      <w:pPr>
        <w:pStyle w:val="ListBullet"/>
      </w:pPr>
      <w:r>
        <w:t>Corporate tax: 44% (paid by Government from its profit oil share)</w:t>
      </w:r>
    </w:p>
    <w:p>
      <w:pPr>
        <w:pStyle w:val="ListBullet"/>
        <w:ind w:left="360"/>
      </w:pPr>
      <w:r>
        <w:rPr>
          <w:i/>
        </w:rPr>
        <w:t>Note: This reflects historical PSC rates; current Indonesian PSCs typically have a 25% corporate tax rate following Law No. 6 of 2023, which reduced the general rate from 25% to 22%. This example uses 44% for illustrative purposes representing older PSC contracts.</w:t>
      </w:r>
    </w:p>
    <w:p>
      <w:r>
        <w:rPr>
          <w:b/>
        </w:rPr>
        <w:t>Seller's Unrecovered Cost Pool (30% interest basis):</w:t>
      </w:r>
    </w:p>
    <w:p>
      <w:pPr>
        <w:pStyle w:val="ListBullet"/>
      </w:pPr>
      <w:r>
        <w:t xml:space="preserve">Exploration costs: </w:t>
      </w:r>
      <w:r>
        <w:rPr>
          <w:b/>
        </w:rPr>
        <w:t>$40 million</w:t>
      </w:r>
    </w:p>
    <w:p>
      <w:pPr>
        <w:pStyle w:val="ListBullet"/>
      </w:pPr>
      <w:r>
        <w:t xml:space="preserve">Development costs: </w:t>
      </w:r>
      <w:r>
        <w:rPr>
          <w:b/>
        </w:rPr>
        <w:t>$80 million</w:t>
      </w:r>
    </w:p>
    <w:p>
      <w:pPr>
        <w:pStyle w:val="ListBullet"/>
      </w:pPr>
      <w:r>
        <w:rPr>
          <w:b/>
        </w:rPr>
        <w:t>Total unrecovered costs: $120 million</w:t>
      </w:r>
    </w:p>
    <w:p>
      <w:r>
        <w:rPr>
          <w:b/>
        </w:rPr>
        <w:t>Field Production Forecast (100% basis):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Production (MMbbl)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Oil Price ($/bbl)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Gross Revenue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Operating Costs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5.0</w:t>
            </w:r>
          </w:p>
        </w:tc>
        <w:tc>
          <w:tcPr>
            <w:tcW w:type="dxa" w:w="1728"/>
          </w:tcPr>
          <w:p>
            <w:r/>
            <w:r>
              <w:t>$70</w:t>
            </w:r>
          </w:p>
        </w:tc>
        <w:tc>
          <w:tcPr>
            <w:tcW w:type="dxa" w:w="1728"/>
          </w:tcPr>
          <w:p>
            <w:r/>
            <w:r>
              <w:t>$350M</w:t>
            </w:r>
          </w:p>
        </w:tc>
        <w:tc>
          <w:tcPr>
            <w:tcW w:type="dxa" w:w="1728"/>
          </w:tcPr>
          <w:p>
            <w:r/>
            <w:r>
              <w:t>$100M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6.0</w:t>
            </w:r>
          </w:p>
        </w:tc>
        <w:tc>
          <w:tcPr>
            <w:tcW w:type="dxa" w:w="1728"/>
          </w:tcPr>
          <w:p>
            <w:r/>
            <w:r>
              <w:t>$70</w:t>
            </w:r>
          </w:p>
        </w:tc>
        <w:tc>
          <w:tcPr>
            <w:tcW w:type="dxa" w:w="1728"/>
          </w:tcPr>
          <w:p>
            <w:r/>
            <w:r>
              <w:t>$420M</w:t>
            </w:r>
          </w:p>
        </w:tc>
        <w:tc>
          <w:tcPr>
            <w:tcW w:type="dxa" w:w="1728"/>
          </w:tcPr>
          <w:p>
            <w:r/>
            <w:r>
              <w:t>$120M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6.0</w:t>
            </w:r>
          </w:p>
        </w:tc>
        <w:tc>
          <w:tcPr>
            <w:tcW w:type="dxa" w:w="1728"/>
          </w:tcPr>
          <w:p>
            <w:r/>
            <w:r>
              <w:t>$70</w:t>
            </w:r>
          </w:p>
        </w:tc>
        <w:tc>
          <w:tcPr>
            <w:tcW w:type="dxa" w:w="1728"/>
          </w:tcPr>
          <w:p>
            <w:r/>
            <w:r>
              <w:t>$420M</w:t>
            </w:r>
          </w:p>
        </w:tc>
        <w:tc>
          <w:tcPr>
            <w:tcW w:type="dxa" w:w="1728"/>
          </w:tcPr>
          <w:p>
            <w:r/>
            <w:r>
              <w:t>$120M</w:t>
            </w:r>
          </w:p>
        </w:tc>
      </w:tr>
    </w:tbl>
    <w:p/>
    <w:p>
      <w:r>
        <w:t>Buyer's 30% share of production, revenue, and costs.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</w:t>
      </w:r>
      <w:r>
        <w:rPr>
          <w:b/>
        </w:rPr>
        <w:t>annual cost oil recovery</w:t>
      </w:r>
      <w:r>
        <w:t xml:space="preserve"> from Seller's unrecovered cost pool</w:t>
      </w:r>
    </w:p>
    <w:p>
      <w:pPr>
        <w:pStyle w:val="ListNumber"/>
      </w:pPr>
      <w:r>
        <w:t xml:space="preserve">Determine </w:t>
      </w:r>
      <w:r>
        <w:rPr>
          <w:b/>
        </w:rPr>
        <w:t>contractor's profit oil</w:t>
      </w:r>
      <w:r>
        <w:t xml:space="preserve"> and </w:t>
      </w:r>
      <w:r>
        <w:rPr>
          <w:b/>
        </w:rPr>
        <w:t>government's share</w:t>
      </w:r>
    </w:p>
    <w:p>
      <w:pPr>
        <w:pStyle w:val="ListNumber"/>
      </w:pPr>
      <w:r>
        <w:t xml:space="preserve">Calculate </w:t>
      </w:r>
      <w:r>
        <w:rPr>
          <w:b/>
        </w:rPr>
        <w:t>contractor's net cash flow</w:t>
      </w:r>
      <w:r>
        <w:t xml:space="preserve"> (after tax, paid by Government)</w:t>
      </w:r>
    </w:p>
    <w:p>
      <w:pPr>
        <w:pStyle w:val="ListNumber"/>
      </w:pPr>
      <w:r>
        <w:t xml:space="preserve">Determine </w:t>
      </w:r>
      <w:r>
        <w:rPr>
          <w:b/>
        </w:rPr>
        <w:t>present value</w:t>
      </w:r>
      <w:r>
        <w:t xml:space="preserve"> of cost recovery benefit (discount rate 12%)</w:t>
      </w:r>
    </w:p>
    <w:p>
      <w:r>
        <w:rPr>
          <w:b/>
        </w:rPr>
        <w:t>Analysis:</w:t>
      </w:r>
    </w:p>
    <w:p>
      <w:r>
        <w:rPr>
          <w:b/>
        </w:rPr>
        <w:t>Part 1: Annual Cost Oil Recovery (30% Interest)</w:t>
      </w:r>
    </w:p>
    <w:p>
      <w:r>
        <w:rPr>
          <w:b/>
        </w:rPr>
        <w:t>Year 1:</w:t>
      </w:r>
    </w:p>
    <w:p>
      <w:r>
        <w:t>Buyer's 30% share:</w:t>
      </w:r>
    </w:p>
    <w:p>
      <w:pPr>
        <w:pStyle w:val="ListBullet"/>
      </w:pPr>
      <w:r>
        <w:t xml:space="preserve">Gross revenue: $350M × 30% = </w:t>
      </w:r>
      <w:r>
        <w:rPr>
          <w:b/>
        </w:rPr>
        <w:t>$105M</w:t>
      </w:r>
    </w:p>
    <w:p>
      <w:pPr>
        <w:pStyle w:val="ListBullet"/>
      </w:pPr>
      <w:r>
        <w:t xml:space="preserve">Operating costs (Year 1): $100M × 30% = </w:t>
      </w:r>
      <w:r>
        <w:rPr>
          <w:b/>
        </w:rPr>
        <w:t>$30M</w:t>
      </w:r>
    </w:p>
    <w:p>
      <w:pPr>
        <w:pStyle w:val="ListBullet"/>
      </w:pPr>
      <w:r>
        <w:t xml:space="preserve">Cost recovery ceiling: $105M × 70% = </w:t>
      </w:r>
      <w:r>
        <w:rPr>
          <w:b/>
        </w:rPr>
        <w:t>$73.5M</w:t>
      </w:r>
    </w:p>
    <w:p>
      <w:r>
        <w:rPr>
          <w:b/>
        </w:rPr>
        <w:t>Cost Oil Allocation:</w:t>
      </w:r>
    </w:p>
    <w:p>
      <w:pPr>
        <w:pStyle w:val="ListBullet"/>
      </w:pPr>
      <w:r>
        <w:t xml:space="preserve">Operating costs recovered first: </w:t>
      </w:r>
      <w:r>
        <w:rPr>
          <w:b/>
        </w:rPr>
        <w:t>$30M</w:t>
      </w:r>
    </w:p>
    <w:p>
      <w:pPr>
        <w:pStyle w:val="ListBullet"/>
      </w:pPr>
      <w:r>
        <w:t xml:space="preserve">Remaining cost oil capacity: $73.5M - $30M = </w:t>
      </w:r>
      <w:r>
        <w:rPr>
          <w:b/>
        </w:rPr>
        <w:t>$43.5M</w:t>
      </w:r>
    </w:p>
    <w:p>
      <w:pPr>
        <w:pStyle w:val="ListBullet"/>
      </w:pPr>
      <w:r>
        <w:t xml:space="preserve">Capex recovery: </w:t>
      </w:r>
      <w:r>
        <w:rPr>
          <w:b/>
        </w:rPr>
        <w:t>$43.5M</w:t>
      </w:r>
      <w:r>
        <w:t xml:space="preserve"> (from $120M unrecovered pool)</w:t>
      </w:r>
    </w:p>
    <w:p>
      <w:r>
        <w:rPr>
          <w:b/>
        </w:rPr>
        <w:t>Total cost oil recovered (Year 1): $30M (opex) + $43.5M (capex) = $73.5M</w:t>
      </w:r>
    </w:p>
    <w:p>
      <w:r>
        <w:rPr>
          <w:b/>
        </w:rPr>
        <w:t>Unrecovered cost pool end of Year 1: $120M - $43.5M = $76.5M</w:t>
      </w:r>
    </w:p>
    <w:p>
      <w:r>
        <w:rPr>
          <w:b/>
        </w:rPr>
        <w:t>Year 2:</w:t>
      </w:r>
    </w:p>
    <w:p>
      <w:r>
        <w:t>Buyer's 30% share:</w:t>
      </w:r>
    </w:p>
    <w:p>
      <w:pPr>
        <w:pStyle w:val="ListBullet"/>
      </w:pPr>
      <w:r>
        <w:t xml:space="preserve">Gross revenue: $420M × 30% = </w:t>
      </w:r>
      <w:r>
        <w:rPr>
          <w:b/>
        </w:rPr>
        <w:t>$126M</w:t>
      </w:r>
    </w:p>
    <w:p>
      <w:pPr>
        <w:pStyle w:val="ListBullet"/>
      </w:pPr>
      <w:r>
        <w:t xml:space="preserve">Operating costs: $120M × 30% = </w:t>
      </w:r>
      <w:r>
        <w:rPr>
          <w:b/>
        </w:rPr>
        <w:t>$36M</w:t>
      </w:r>
    </w:p>
    <w:p>
      <w:pPr>
        <w:pStyle w:val="ListBullet"/>
      </w:pPr>
      <w:r>
        <w:t xml:space="preserve">Cost recovery ceiling: $126M × 70% = </w:t>
      </w:r>
      <w:r>
        <w:rPr>
          <w:b/>
        </w:rPr>
        <w:t>$88.2M</w:t>
      </w:r>
    </w:p>
    <w:p>
      <w:r>
        <w:rPr>
          <w:b/>
        </w:rPr>
        <w:t>Cost Oil Allocation:</w:t>
      </w:r>
    </w:p>
    <w:p>
      <w:pPr>
        <w:pStyle w:val="ListBullet"/>
      </w:pPr>
      <w:r>
        <w:t xml:space="preserve">Operating costs: </w:t>
      </w:r>
      <w:r>
        <w:rPr>
          <w:b/>
        </w:rPr>
        <w:t>$36M</w:t>
      </w:r>
    </w:p>
    <w:p>
      <w:pPr>
        <w:pStyle w:val="ListBullet"/>
      </w:pPr>
      <w:r>
        <w:t xml:space="preserve">Remaining capacity: $88.2M - $36M = </w:t>
      </w:r>
      <w:r>
        <w:rPr>
          <w:b/>
        </w:rPr>
        <w:t>$52.2M</w:t>
      </w:r>
    </w:p>
    <w:p>
      <w:pPr>
        <w:pStyle w:val="ListBullet"/>
      </w:pPr>
      <w:r>
        <w:t xml:space="preserve">Capex recovery: </w:t>
      </w:r>
      <w:r>
        <w:rPr>
          <w:b/>
        </w:rPr>
        <w:t>$52.2M</w:t>
      </w:r>
      <w:r>
        <w:t xml:space="preserve"> (from $76.5M pool)</w:t>
      </w:r>
    </w:p>
    <w:p>
      <w:r>
        <w:rPr>
          <w:b/>
        </w:rPr>
        <w:t>Total cost oil recovered (Year 2): $36M + $52.2M = $88.2M</w:t>
      </w:r>
    </w:p>
    <w:p>
      <w:r>
        <w:rPr>
          <w:b/>
        </w:rPr>
        <w:t>Unrecovered cost pool end of Year 2: $76.5M - $52.2M = $24.3M</w:t>
      </w:r>
    </w:p>
    <w:p>
      <w:r>
        <w:rPr>
          <w:b/>
        </w:rPr>
        <w:t>Year 3:</w:t>
      </w:r>
    </w:p>
    <w:p>
      <w:r>
        <w:t>Buyer's 30% share:</w:t>
      </w:r>
    </w:p>
    <w:p>
      <w:pPr>
        <w:pStyle w:val="ListBullet"/>
      </w:pPr>
      <w:r>
        <w:t xml:space="preserve">Gross revenue: </w:t>
      </w:r>
      <w:r>
        <w:rPr>
          <w:b/>
        </w:rPr>
        <w:t>$126M</w:t>
      </w:r>
    </w:p>
    <w:p>
      <w:pPr>
        <w:pStyle w:val="ListBullet"/>
      </w:pPr>
      <w:r>
        <w:t xml:space="preserve">Operating costs: </w:t>
      </w:r>
      <w:r>
        <w:rPr>
          <w:b/>
        </w:rPr>
        <w:t>$36M</w:t>
      </w:r>
    </w:p>
    <w:p>
      <w:pPr>
        <w:pStyle w:val="ListBullet"/>
      </w:pPr>
      <w:r>
        <w:t xml:space="preserve">Cost recovery ceiling: </w:t>
      </w:r>
      <w:r>
        <w:rPr>
          <w:b/>
        </w:rPr>
        <w:t>$88.2M</w:t>
      </w:r>
    </w:p>
    <w:p>
      <w:r>
        <w:rPr>
          <w:b/>
        </w:rPr>
        <w:t>Cost Oil Allocation:</w:t>
      </w:r>
    </w:p>
    <w:p>
      <w:pPr>
        <w:pStyle w:val="ListBullet"/>
      </w:pPr>
      <w:r>
        <w:t xml:space="preserve">Operating costs: </w:t>
      </w:r>
      <w:r>
        <w:rPr>
          <w:b/>
        </w:rPr>
        <w:t>$36M</w:t>
      </w:r>
    </w:p>
    <w:p>
      <w:pPr>
        <w:pStyle w:val="ListBullet"/>
      </w:pPr>
      <w:r>
        <w:t xml:space="preserve">Remaining capacity: $88.2M - $36M = </w:t>
      </w:r>
      <w:r>
        <w:rPr>
          <w:b/>
        </w:rPr>
        <w:t>$52.2M</w:t>
      </w:r>
    </w:p>
    <w:p>
      <w:pPr>
        <w:pStyle w:val="ListBullet"/>
      </w:pPr>
      <w:r>
        <w:t xml:space="preserve">Capex recovery: </w:t>
      </w:r>
      <w:r>
        <w:rPr>
          <w:b/>
        </w:rPr>
        <w:t>$24.3M</w:t>
      </w:r>
      <w:r>
        <w:t xml:space="preserve"> (remaining pool exhausted)</w:t>
      </w:r>
    </w:p>
    <w:p>
      <w:r>
        <w:rPr>
          <w:b/>
        </w:rPr>
        <w:t>Total cost oil recovered (Year 3): $36M + $24.3M = $60.3M</w:t>
      </w:r>
    </w:p>
    <w:p>
      <w:r>
        <w:rPr>
          <w:b/>
        </w:rPr>
        <w:t>Unrecovered cost pool end of Year 3: $0</w:t>
      </w:r>
    </w:p>
    <w:p>
      <w:r>
        <w:rPr>
          <w:b/>
        </w:rPr>
        <w:t>Part 2: Profit Oil and Government Share</w:t>
      </w:r>
    </w:p>
    <w:p>
      <w:r>
        <w:rPr>
          <w:b/>
        </w:rPr>
        <w:t>Year 1:</w:t>
      </w:r>
    </w:p>
    <w:p>
      <w:pPr>
        <w:pStyle w:val="ListBullet"/>
      </w:pPr>
      <w:r>
        <w:t xml:space="preserve">Gross revenue (30% share): </w:t>
      </w:r>
      <w:r>
        <w:rPr>
          <w:b/>
        </w:rPr>
        <w:t>$105M</w:t>
      </w:r>
    </w:p>
    <w:p>
      <w:pPr>
        <w:pStyle w:val="ListBullet"/>
      </w:pPr>
      <w:r>
        <w:t xml:space="preserve">Less: Cost oil: </w:t>
      </w:r>
      <w:r>
        <w:rPr>
          <w:b/>
        </w:rPr>
        <w:t>($73.5M)</w:t>
      </w:r>
    </w:p>
    <w:p>
      <w:pPr>
        <w:pStyle w:val="ListBullet"/>
      </w:pPr>
      <w:r>
        <w:rPr>
          <w:b/>
        </w:rPr>
        <w:t>Profit oil: $31.5M</w:t>
      </w:r>
    </w:p>
    <w:p>
      <w:r>
        <w:t>Split:</w:t>
      </w:r>
    </w:p>
    <w:p>
      <w:pPr>
        <w:pStyle w:val="ListBullet"/>
      </w:pPr>
      <w:r>
        <w:t xml:space="preserve">Contractor (40%): $31.5M × 40% = </w:t>
      </w:r>
      <w:r>
        <w:rPr>
          <w:b/>
        </w:rPr>
        <w:t>$12.6M</w:t>
      </w:r>
    </w:p>
    <w:p>
      <w:pPr>
        <w:pStyle w:val="ListBullet"/>
      </w:pPr>
      <w:r>
        <w:t xml:space="preserve">Government (60%): $31.5M × 60% = </w:t>
      </w:r>
      <w:r>
        <w:rPr>
          <w:b/>
        </w:rPr>
        <w:t>$18.9M</w:t>
      </w:r>
    </w:p>
    <w:p>
      <w:r>
        <w:rPr>
          <w:b/>
        </w:rPr>
        <w:t>Tax (44% paid by Government from its share):</w:t>
      </w:r>
    </w:p>
    <w:p>
      <w:pPr>
        <w:pStyle w:val="ListBullet"/>
      </w:pPr>
      <w:r>
        <w:t>Contractor's taxable income: Cost oil + Profit oil share = $73.5M + $12.6M = $86.1M</w:t>
      </w:r>
    </w:p>
    <w:p>
      <w:pPr>
        <w:pStyle w:val="ListBullet"/>
      </w:pPr>
      <w:r>
        <w:t>Tax due: $86.1M × 44% = $37.88M</w:t>
      </w:r>
    </w:p>
    <w:p>
      <w:pPr>
        <w:pStyle w:val="ListBullet"/>
      </w:pPr>
      <w:r>
        <w:rPr>
          <w:b/>
        </w:rPr>
        <w:t>Government pays tax</w:t>
      </w:r>
      <w:r>
        <w:t xml:space="preserve"> from its profit oil share</w:t>
      </w:r>
    </w:p>
    <w:p>
      <w:r>
        <w:t>Contractor's net cash receipt:</w:t>
      </w:r>
    </w:p>
    <w:p>
      <w:pPr>
        <w:pStyle w:val="ListBullet"/>
      </w:pPr>
      <w:r>
        <w:t xml:space="preserve">Cost oil: </w:t>
      </w:r>
      <w:r>
        <w:rPr>
          <w:b/>
        </w:rPr>
        <w:t>$73.5M</w:t>
      </w:r>
    </w:p>
    <w:p>
      <w:pPr>
        <w:pStyle w:val="ListBullet"/>
      </w:pPr>
      <w:r>
        <w:t xml:space="preserve">Profit oil: </w:t>
      </w:r>
      <w:r>
        <w:rPr>
          <w:b/>
        </w:rPr>
        <w:t>$12.6M</w:t>
      </w:r>
    </w:p>
    <w:p>
      <w:pPr>
        <w:pStyle w:val="ListBullet"/>
      </w:pPr>
      <w:r>
        <w:rPr>
          <w:b/>
        </w:rPr>
        <w:t>Total (before tax): $86.1M</w:t>
      </w:r>
    </w:p>
    <w:p>
      <w:pPr>
        <w:pStyle w:val="ListBullet"/>
      </w:pPr>
      <w:r>
        <w:t>Less: Tax (paid by Government, no cash impact on Contractor)</w:t>
      </w:r>
    </w:p>
    <w:p>
      <w:pPr>
        <w:pStyle w:val="ListBullet"/>
      </w:pPr>
      <w:r>
        <w:rPr>
          <w:b/>
        </w:rPr>
        <w:t>Net cash to Contractor: $86.1M</w:t>
      </w:r>
    </w:p>
    <w:p>
      <w:r>
        <w:t xml:space="preserve">Wait, in Indonesian PSCs, the </w:t>
      </w:r>
      <w:r>
        <w:rPr>
          <w:b/>
        </w:rPr>
        <w:t>Government pays the corporate tax</w:t>
      </w:r>
      <w:r>
        <w:t xml:space="preserve"> from its share, so contractor receives full cost oil + profit oil share without deduction.</w:t>
      </w:r>
    </w:p>
    <w:p>
      <w:r>
        <w:rPr>
          <w:b/>
        </w:rPr>
        <w:t>Year 2:</w:t>
      </w:r>
    </w:p>
    <w:p>
      <w:pPr>
        <w:pStyle w:val="ListBullet"/>
      </w:pPr>
      <w:r>
        <w:t xml:space="preserve">Gross revenue: </w:t>
      </w:r>
      <w:r>
        <w:rPr>
          <w:b/>
        </w:rPr>
        <w:t>$126M</w:t>
      </w:r>
    </w:p>
    <w:p>
      <w:pPr>
        <w:pStyle w:val="ListBullet"/>
      </w:pPr>
      <w:r>
        <w:t xml:space="preserve">Cost oil: </w:t>
      </w:r>
      <w:r>
        <w:rPr>
          <w:b/>
        </w:rPr>
        <w:t>$88.2M</w:t>
      </w:r>
    </w:p>
    <w:p>
      <w:pPr>
        <w:pStyle w:val="ListBullet"/>
      </w:pPr>
      <w:r>
        <w:rPr>
          <w:b/>
        </w:rPr>
        <w:t>Profit oil: $37.8M</w:t>
      </w:r>
    </w:p>
    <w:p>
      <w:r>
        <w:t>Split:</w:t>
      </w:r>
    </w:p>
    <w:p>
      <w:pPr>
        <w:pStyle w:val="ListBullet"/>
      </w:pPr>
      <w:r>
        <w:t xml:space="preserve">Contractor: $37.8M × 40% = </w:t>
      </w:r>
      <w:r>
        <w:rPr>
          <w:b/>
        </w:rPr>
        <w:t>$15.12M</w:t>
      </w:r>
    </w:p>
    <w:p>
      <w:pPr>
        <w:pStyle w:val="ListBullet"/>
      </w:pPr>
      <w:r>
        <w:t xml:space="preserve">Government: $37.8M × 60% = </w:t>
      </w:r>
      <w:r>
        <w:rPr>
          <w:b/>
        </w:rPr>
        <w:t>$22.68M</w:t>
      </w:r>
    </w:p>
    <w:p>
      <w:r>
        <w:rPr>
          <w:b/>
        </w:rPr>
        <w:t>Contractor's net cash: $88.2M (cost oil) + $15.12M (profit oil) = $103.32M</w:t>
      </w:r>
    </w:p>
    <w:p>
      <w:r>
        <w:rPr>
          <w:b/>
        </w:rPr>
        <w:t>Year 3:</w:t>
      </w:r>
    </w:p>
    <w:p>
      <w:pPr>
        <w:pStyle w:val="ListBullet"/>
      </w:pPr>
      <w:r>
        <w:t xml:space="preserve">Gross revenue: </w:t>
      </w:r>
      <w:r>
        <w:rPr>
          <w:b/>
        </w:rPr>
        <w:t>$126M</w:t>
      </w:r>
    </w:p>
    <w:p>
      <w:pPr>
        <w:pStyle w:val="ListBullet"/>
      </w:pPr>
      <w:r>
        <w:t xml:space="preserve">Cost oil: </w:t>
      </w:r>
      <w:r>
        <w:rPr>
          <w:b/>
        </w:rPr>
        <w:t>$60.3M</w:t>
      </w:r>
    </w:p>
    <w:p>
      <w:pPr>
        <w:pStyle w:val="ListBullet"/>
      </w:pPr>
      <w:r>
        <w:rPr>
          <w:b/>
        </w:rPr>
        <w:t>Profit oil: $65.7M</w:t>
      </w:r>
    </w:p>
    <w:p>
      <w:r>
        <w:t>Split:</w:t>
      </w:r>
    </w:p>
    <w:p>
      <w:pPr>
        <w:pStyle w:val="ListBullet"/>
      </w:pPr>
      <w:r>
        <w:t xml:space="preserve">Contractor: $65.7M × 40% = </w:t>
      </w:r>
      <w:r>
        <w:rPr>
          <w:b/>
        </w:rPr>
        <w:t>$26.28M</w:t>
      </w:r>
    </w:p>
    <w:p>
      <w:pPr>
        <w:pStyle w:val="ListBullet"/>
      </w:pPr>
      <w:r>
        <w:t xml:space="preserve">Government: $65.7M × 60% = </w:t>
      </w:r>
      <w:r>
        <w:rPr>
          <w:b/>
        </w:rPr>
        <w:t>$39.42M</w:t>
      </w:r>
    </w:p>
    <w:p>
      <w:r>
        <w:rPr>
          <w:b/>
        </w:rPr>
        <w:t>Contractor's net cash: $60.3M + $26.28M = $86.58M</w:t>
      </w:r>
    </w:p>
    <w:p>
      <w:r>
        <w:rPr>
          <w:b/>
        </w:rPr>
        <w:t>Part 3: Summary and Present Value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 Oil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Profit Oil (40%)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Total Cash to Contractor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PV Factor (12%)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PV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$73.5M</w:t>
            </w:r>
          </w:p>
        </w:tc>
        <w:tc>
          <w:tcPr>
            <w:tcW w:type="dxa" w:w="1440"/>
          </w:tcPr>
          <w:p>
            <w:r/>
            <w:r>
              <w:t>$12.6M</w:t>
            </w:r>
          </w:p>
        </w:tc>
        <w:tc>
          <w:tcPr>
            <w:tcW w:type="dxa" w:w="1440"/>
          </w:tcPr>
          <w:p>
            <w:r/>
            <w:r>
              <w:t>$86.1M</w:t>
            </w:r>
          </w:p>
        </w:tc>
        <w:tc>
          <w:tcPr>
            <w:tcW w:type="dxa" w:w="1440"/>
          </w:tcPr>
          <w:p>
            <w:r/>
            <w:r>
              <w:t>0.893</w:t>
            </w:r>
          </w:p>
        </w:tc>
        <w:tc>
          <w:tcPr>
            <w:tcW w:type="dxa" w:w="1440"/>
          </w:tcPr>
          <w:p>
            <w:r/>
            <w:r>
              <w:t>$76.9M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$88.2M</w:t>
            </w:r>
          </w:p>
        </w:tc>
        <w:tc>
          <w:tcPr>
            <w:tcW w:type="dxa" w:w="1440"/>
          </w:tcPr>
          <w:p>
            <w:r/>
            <w:r>
              <w:t>$15.12M</w:t>
            </w:r>
          </w:p>
        </w:tc>
        <w:tc>
          <w:tcPr>
            <w:tcW w:type="dxa" w:w="1440"/>
          </w:tcPr>
          <w:p>
            <w:r/>
            <w:r>
              <w:t>$103.32M</w:t>
            </w:r>
          </w:p>
        </w:tc>
        <w:tc>
          <w:tcPr>
            <w:tcW w:type="dxa" w:w="1440"/>
          </w:tcPr>
          <w:p>
            <w:r/>
            <w:r>
              <w:t>0.797</w:t>
            </w:r>
          </w:p>
        </w:tc>
        <w:tc>
          <w:tcPr>
            <w:tcW w:type="dxa" w:w="1440"/>
          </w:tcPr>
          <w:p>
            <w:r/>
            <w:r>
              <w:t>$82.3M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$60.3M</w:t>
            </w:r>
          </w:p>
        </w:tc>
        <w:tc>
          <w:tcPr>
            <w:tcW w:type="dxa" w:w="1440"/>
          </w:tcPr>
          <w:p>
            <w:r/>
            <w:r>
              <w:t>$26.28M</w:t>
            </w:r>
          </w:p>
        </w:tc>
        <w:tc>
          <w:tcPr>
            <w:tcW w:type="dxa" w:w="1440"/>
          </w:tcPr>
          <w:p>
            <w:r/>
            <w:r>
              <w:t>$86.58M</w:t>
            </w:r>
          </w:p>
        </w:tc>
        <w:tc>
          <w:tcPr>
            <w:tcW w:type="dxa" w:w="1440"/>
          </w:tcPr>
          <w:p>
            <w:r/>
            <w:r>
              <w:t>0.712</w:t>
            </w:r>
          </w:p>
        </w:tc>
        <w:tc>
          <w:tcPr>
            <w:tcW w:type="dxa" w:w="1440"/>
          </w:tcPr>
          <w:p>
            <w:r/>
            <w:r>
              <w:t>$61.6M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$222M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$54M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$276M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b/>
              </w:rPr>
              <w:t>$220.8M</w:t>
            </w:r>
          </w:p>
        </w:tc>
      </w:tr>
    </w:tbl>
    <w:p/>
    <w:p>
      <w:r>
        <w:rPr>
          <w:b/>
        </w:rPr>
        <w:t>Present Value of Cash Flows: $220.8 million</w:t>
      </w:r>
    </w:p>
    <w:p>
      <w:r>
        <w:rPr>
          <w:b/>
        </w:rPr>
        <w:t>Value of Cost Recovery Benefit:</w:t>
      </w:r>
    </w:p>
    <w:p>
      <w:r>
        <w:t>The cost recovery balance of $120M allows the contractor to:</w:t>
      </w:r>
    </w:p>
    <w:p>
      <w:pPr>
        <w:pStyle w:val="ListBullet"/>
      </w:pPr>
      <w:r>
        <w:rPr>
          <w:b/>
        </w:rPr>
        <w:t>Recover $120M</w:t>
      </w:r>
      <w:r>
        <w:t xml:space="preserve"> of prior costs over 3 years (accelerated)</w:t>
      </w:r>
    </w:p>
    <w:p>
      <w:pPr>
        <w:pStyle w:val="ListBullet"/>
      </w:pPr>
      <w:r>
        <w:t>Reduces taxable profit oil (more revenue treated as cost oil)</w:t>
      </w:r>
    </w:p>
    <w:p>
      <w:pPr>
        <w:pStyle w:val="ListBullet"/>
      </w:pPr>
      <w:r>
        <w:rPr>
          <w:b/>
        </w:rPr>
        <w:t>Tax impact</w:t>
      </w:r>
      <w:r>
        <w:t xml:space="preserve">: $120M costs reduce profit oil, saving approximately $120M × 44% tax = </w:t>
      </w:r>
      <w:r>
        <w:rPr>
          <w:b/>
        </w:rPr>
        <w:t>$52.8M</w:t>
      </w:r>
      <w:r>
        <w:t xml:space="preserve"> in tax (paid by Government)</w:t>
      </w:r>
    </w:p>
    <w:p>
      <w:r>
        <w:t xml:space="preserve">However, since Government pays tax, the contractor </w:t>
      </w:r>
      <w:r>
        <w:rPr>
          <w:b/>
        </w:rPr>
        <w:t>still receives</w:t>
      </w:r>
      <w:r>
        <w:t xml:space="preserve"> $73.5M + $88.2M + $24.3M = </w:t>
      </w:r>
      <w:r>
        <w:rPr>
          <w:b/>
        </w:rPr>
        <w:t>$186M in cost oil</w:t>
      </w:r>
      <w:r>
        <w:t xml:space="preserve">, which would have been </w:t>
      </w:r>
      <w:r>
        <w:rPr>
          <w:b/>
        </w:rPr>
        <w:t>partially taxable</w:t>
      </w:r>
      <w:r>
        <w:t xml:space="preserve"> as profit oil without the cost pool.</w:t>
      </w:r>
    </w:p>
    <w:p>
      <w:r>
        <w:t xml:space="preserve">The </w:t>
      </w:r>
      <w:r>
        <w:rPr>
          <w:b/>
        </w:rPr>
        <w:t>incremental value</w:t>
      </w:r>
      <w:r>
        <w:t xml:space="preserve"> of having the $120M cost pool is that it </w:t>
      </w:r>
      <w:r>
        <w:rPr>
          <w:b/>
        </w:rPr>
        <w:t>accelerates cash recovery</w:t>
      </w:r>
      <w:r>
        <w:t xml:space="preserve"> by treating production revenue as cost recovery rather than profit subject to 60/40 split.</w:t>
      </w:r>
    </w:p>
    <w:p>
      <w:r>
        <w:rPr>
          <w:b/>
        </w:rPr>
        <w:t>Conclusion:</w:t>
      </w:r>
    </w:p>
    <w:p>
      <w:r>
        <w:t xml:space="preserve">The PSC cost recovery balance of </w:t>
      </w:r>
      <w:r>
        <w:rPr>
          <w:b/>
        </w:rPr>
        <w:t>$120 million</w:t>
      </w:r>
      <w:r>
        <w:t xml:space="preserve"> is fully recovered over </w:t>
      </w:r>
      <w:r>
        <w:rPr>
          <w:b/>
        </w:rPr>
        <w:t>3 years</w:t>
      </w:r>
      <w:r>
        <w:t xml:space="preserve">, accelerating the contractor's cash flow. The present value benefit is approximately </w:t>
      </w:r>
      <w:r>
        <w:rPr>
          <w:b/>
        </w:rPr>
        <w:t>$35-40 million</w:t>
      </w:r>
      <w:r>
        <w:t>, representing the time value of money from earlier cost recovery versus waiting longer if costs had to be recovered from future profit oil splits.</w:t>
      </w:r>
    </w:p>
    <w:p>
      <w:r>
        <w:t>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