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Group treasury companies and in house banking</w:t>
      </w:r>
    </w:p>
    <w:p>
      <w:pPr>
        <w:pStyle w:val="Heading1"/>
      </w:pPr>
      <w:r>
        <w:t>43. Group Treasury Companies and In-House Banking</w:t>
      </w:r>
    </w:p>
    <w:p>
      <w:pPr>
        <w:pStyle w:val="Heading2"/>
      </w:pPr>
      <w:r>
        <w:t>Introduction</w:t>
      </w:r>
    </w:p>
    <w:p>
      <w:r>
        <w:t xml:space="preserve">Multinational oil and gas groups often establish </w:t>
      </w:r>
      <w:r>
        <w:rPr>
          <w:b/>
        </w:rPr>
        <w:t>centralized treasury functions</w:t>
      </w:r>
      <w:r>
        <w:t xml:space="preserve"> or </w:t>
      </w:r>
      <w:r>
        <w:rPr>
          <w:b/>
        </w:rPr>
        <w:t>in-house banks</w:t>
      </w:r>
      <w:r>
        <w:t xml:space="preserve"> to manage cash, foreign exchange, interest rate risk, and intercompany financing across multiple operating entities and jurisdictions. These structures offer operational efficiencies, economies of scale, and potential tax optimization through interest income/expense allocation and access to favorable treaty networks.</w:t>
      </w:r>
    </w:p>
    <w:p>
      <w:r>
        <w:t xml:space="preserve">However, tax authorities globally have intensified scrutiny of </w:t>
      </w:r>
      <w:r>
        <w:rPr>
          <w:b/>
        </w:rPr>
        <w:t>intercompany financing arrangements</w:t>
      </w:r>
      <w:r>
        <w:t xml:space="preserve"> following </w:t>
      </w:r>
      <w:r>
        <w:rPr>
          <w:b/>
        </w:rPr>
        <w:t>OECD BEPS Action 4</w:t>
      </w:r>
      <w:r>
        <w:t xml:space="preserve"> (interest deductibility) and the </w:t>
      </w:r>
      <w:r>
        <w:rPr>
          <w:b/>
        </w:rPr>
        <w:t>2022 OECD Transfer Pricing Guidelines Chapter X</w:t>
      </w:r>
      <w:r>
        <w:t xml:space="preserve"> (Financial Transactions). Group treasury companies must demonstrate </w:t>
      </w:r>
      <w:r>
        <w:rPr>
          <w:b/>
        </w:rPr>
        <w:t>genuine economic substance</w:t>
      </w:r>
      <w:r>
        <w:t xml:space="preserve">, apply </w:t>
      </w:r>
      <w:r>
        <w:rPr>
          <w:b/>
        </w:rPr>
        <w:t>arm's length pricing</w:t>
      </w:r>
      <w:r>
        <w:t xml:space="preserve"> to all financing activities, and comply with </w:t>
      </w:r>
      <w:r>
        <w:rPr>
          <w:b/>
        </w:rPr>
        <w:t>thin capitalization</w:t>
      </w:r>
      <w:r>
        <w:t xml:space="preserve"> and </w:t>
      </w:r>
      <w:r>
        <w:rPr>
          <w:b/>
        </w:rPr>
        <w:t>earnings stripping rules</w:t>
      </w:r>
      <w:r>
        <w:t>.</w:t>
      </w:r>
    </w:p>
    <w:p>
      <w:r>
        <w:t xml:space="preserve">For ADIT examination purposes, this chapter examines the </w:t>
      </w:r>
      <w:r>
        <w:rPr>
          <w:b/>
        </w:rPr>
        <w:t>functions of group treasury companies</w:t>
      </w:r>
      <w:r>
        <w:t xml:space="preserve">, </w:t>
      </w:r>
      <w:r>
        <w:rPr>
          <w:b/>
        </w:rPr>
        <w:t>tax treatment of intercompany loans and cash pools</w:t>
      </w:r>
      <w:r>
        <w:t xml:space="preserve">, </w:t>
      </w:r>
      <w:r>
        <w:rPr>
          <w:b/>
        </w:rPr>
        <w:t>transfer pricing for financial transactions</w:t>
      </w:r>
      <w:r>
        <w:t xml:space="preserve">, </w:t>
      </w:r>
      <w:r>
        <w:rPr>
          <w:b/>
        </w:rPr>
        <w:t>withholding tax implications</w:t>
      </w:r>
      <w:r>
        <w:t xml:space="preserve">, and </w:t>
      </w:r>
      <w:r>
        <w:rPr>
          <w:b/>
        </w:rPr>
        <w:t>regulatory compliance requirements</w:t>
      </w:r>
      <w:r>
        <w:t>.</w:t>
      </w:r>
    </w:p>
    <w:p>
      <w:pPr>
        <w:spacing w:before="120" w:after="120"/>
        <w:pBdr>
          <w:bottom w:val="single" w:sz="6" w:space="1" w:color="auto"/>
        </w:pBdr>
      </w:pPr>
    </w:p>
    <w:p>
      <w:pPr>
        <w:pStyle w:val="Heading2"/>
      </w:pPr>
      <w:r>
        <w:t>1. Functions of Group Treasury Companies</w:t>
      </w:r>
    </w:p>
    <w:p>
      <w:pPr>
        <w:pStyle w:val="Heading3"/>
      </w:pPr>
      <w:r>
        <w:t>1.1 Cash Management</w:t>
      </w:r>
    </w:p>
    <w:p>
      <w:r>
        <w:rPr>
          <w:b/>
        </w:rPr>
        <w:t>Cash Pooling</w:t>
      </w:r>
      <w:r>
        <w:t>: Aggregating surplus cash from multiple entities and providing liquidity to entities with funding needs.</w:t>
      </w:r>
    </w:p>
    <w:p>
      <w:r>
        <w:rPr>
          <w:b/>
        </w:rPr>
        <w:t>Types</w:t>
      </w:r>
      <w:r>
        <w:t>:</w:t>
      </w:r>
    </w:p>
    <w:p>
      <w:pPr>
        <w:pStyle w:val="ListBullet"/>
      </w:pPr>
      <w:r>
        <w:rPr>
          <w:b/>
        </w:rPr>
        <w:t>Physical pooling (Zero Balance Cash Pooling - ZBCP)</w:t>
      </w:r>
      <w:r>
        <w:t>: Daily sweeping of balances to/from master account</w:t>
      </w:r>
    </w:p>
    <w:p>
      <w:pPr>
        <w:pStyle w:val="ListBullet"/>
      </w:pPr>
      <w:r>
        <w:rPr>
          <w:b/>
        </w:rPr>
        <w:t>Notional pooling</w:t>
      </w:r>
      <w:r>
        <w:t>: Interest offset without physical movement of funds</w:t>
      </w:r>
    </w:p>
    <w:p>
      <w:r>
        <w:rPr>
          <w:b/>
        </w:rPr>
        <w:t>Benefits</w:t>
      </w:r>
      <w:r>
        <w:t>:</w:t>
      </w:r>
    </w:p>
    <w:p>
      <w:pPr>
        <w:pStyle w:val="ListBullet"/>
      </w:pPr>
      <w:r>
        <w:rPr>
          <w:b/>
        </w:rPr>
        <w:t>Reduced external borrowing costs</w:t>
      </w:r>
      <w:r>
        <w:t>: Internal funding at lower rates than external debt</w:t>
      </w:r>
    </w:p>
    <w:p>
      <w:pPr>
        <w:pStyle w:val="ListBullet"/>
      </w:pPr>
      <w:r>
        <w:rPr>
          <w:b/>
        </w:rPr>
        <w:t>Optimized interest income</w:t>
      </w:r>
      <w:r>
        <w:t>: Centralized investment of surplus cash at better rates</w:t>
      </w:r>
    </w:p>
    <w:p>
      <w:pPr>
        <w:pStyle w:val="ListBullet"/>
      </w:pPr>
      <w:r>
        <w:rPr>
          <w:b/>
        </w:rPr>
        <w:t>Netting</w:t>
      </w:r>
      <w:r>
        <w:t>: Offsetting receivables/payables between group entities</w:t>
      </w:r>
    </w:p>
    <w:p>
      <w:pPr>
        <w:pStyle w:val="Heading3"/>
      </w:pPr>
      <w:r>
        <w:t>1.2 Intercompany Lending</w:t>
      </w:r>
    </w:p>
    <w:p>
      <w:r>
        <w:rPr>
          <w:b/>
        </w:rPr>
        <w:t>Function</w:t>
      </w:r>
      <w:r>
        <w:t>: Treasury company provides loans to operating entities for capital expenditure, working capital, or acquisitions.</w:t>
      </w:r>
    </w:p>
    <w:p>
      <w:r>
        <w:rPr>
          <w:b/>
        </w:rPr>
        <w:t>Structure</w:t>
      </w:r>
      <w:r>
        <w:t>:</w:t>
      </w:r>
    </w:p>
    <w:p>
      <w:pPr>
        <w:pStyle w:val="ListBullet"/>
      </w:pPr>
      <w:r>
        <w:t>Treasury company borrows externally (bank debt, bond issuance)</w:t>
      </w:r>
    </w:p>
    <w:p>
      <w:pPr>
        <w:pStyle w:val="ListBullet"/>
      </w:pPr>
      <w:r>
        <w:t xml:space="preserve">On-lends to subsidiaries at a </w:t>
      </w:r>
      <w:r>
        <w:rPr>
          <w:b/>
        </w:rPr>
        <w:t>spread</w:t>
      </w:r>
      <w:r>
        <w:t xml:space="preserve"> over external borrowing cost</w:t>
      </w:r>
    </w:p>
    <w:p>
      <w:pPr>
        <w:pStyle w:val="ListBullet"/>
      </w:pPr>
      <w:r>
        <w:t>Spread compensates treasury company for services rendered (credit assessment, monitoring, administrative costs)</w:t>
      </w:r>
    </w:p>
    <w:p>
      <w:pPr>
        <w:pStyle w:val="Heading3"/>
      </w:pPr>
      <w:r>
        <w:t>1.3 Foreign Exchange and Hedging</w:t>
      </w:r>
    </w:p>
    <w:p>
      <w:r>
        <w:rPr>
          <w:b/>
        </w:rPr>
        <w:t>Centralized FX Management</w:t>
      </w:r>
      <w:r>
        <w:t>: Treasury company executes FX transactions for operating entities, capturing economies of scale (lower bid-ask spreads, better rates).</w:t>
      </w:r>
    </w:p>
    <w:p>
      <w:r>
        <w:rPr>
          <w:b/>
        </w:rPr>
        <w:t>Hedging</w:t>
      </w:r>
      <w:r>
        <w:t>: Treasury company enters into derivative contracts (forwards, swaps, options) to hedge group's commodity price, interest rate, and FX exposures.</w:t>
      </w:r>
    </w:p>
    <w:p>
      <w:pPr>
        <w:pStyle w:val="Heading3"/>
      </w:pPr>
      <w:r>
        <w:t>1.4 Guarantees</w:t>
      </w:r>
    </w:p>
    <w:p>
      <w:r>
        <w:rPr>
          <w:b/>
        </w:rPr>
        <w:t>Intragroup Guarantees</w:t>
      </w:r>
      <w:r>
        <w:t>: Treasury company (or parent) provides guarantees to support operating entities' external borrowing or contractual obligations.</w:t>
      </w:r>
    </w:p>
    <w:p>
      <w:r>
        <w:rPr>
          <w:b/>
        </w:rPr>
        <w:t>Implicit vs. Explicit Support</w:t>
      </w:r>
      <w:r>
        <w:t xml:space="preserve">: Tax authorities assess whether guarantees are </w:t>
      </w:r>
      <w:r>
        <w:rPr>
          <w:b/>
        </w:rPr>
        <w:t>implicit</w:t>
      </w:r>
      <w:r>
        <w:t xml:space="preserve"> (no fee charged, based on group affiliation) or </w:t>
      </w:r>
      <w:r>
        <w:rPr>
          <w:b/>
        </w:rPr>
        <w:t>explicit</w:t>
      </w:r>
      <w:r>
        <w:t xml:space="preserve"> (formalized, fee-based).</w:t>
      </w:r>
    </w:p>
    <w:p>
      <w:pPr>
        <w:spacing w:before="120" w:after="120"/>
        <w:pBdr>
          <w:bottom w:val="single" w:sz="6" w:space="1" w:color="auto"/>
        </w:pBdr>
      </w:pPr>
    </w:p>
    <w:p>
      <w:pPr>
        <w:pStyle w:val="Heading2"/>
      </w:pPr>
      <w:r>
        <w:t>2. Tax Treatment of Intercompany Financing</w:t>
      </w:r>
    </w:p>
    <w:p>
      <w:pPr>
        <w:pStyle w:val="Heading3"/>
      </w:pPr>
      <w:r>
        <w:t>2.1 Interest Income and Expense</w:t>
      </w:r>
    </w:p>
    <w:p>
      <w:r>
        <w:rPr>
          <w:b/>
        </w:rPr>
        <w:t>Lender (Treasury Company)</w:t>
      </w:r>
      <w:r>
        <w:t>:</w:t>
      </w:r>
    </w:p>
    <w:p>
      <w:pPr>
        <w:pStyle w:val="ListBullet"/>
      </w:pPr>
      <w:r>
        <w:t xml:space="preserve">Recognizes </w:t>
      </w:r>
      <w:r>
        <w:rPr>
          <w:b/>
        </w:rPr>
        <w:t>interest income</w:t>
      </w:r>
      <w:r>
        <w:t xml:space="preserve"> from intercompany loans</w:t>
      </w:r>
    </w:p>
    <w:p>
      <w:pPr>
        <w:pStyle w:val="ListBullet"/>
      </w:pPr>
      <w:r>
        <w:t>Income taxable at corporate rate in treasury company's jurisdiction</w:t>
      </w:r>
    </w:p>
    <w:p>
      <w:pPr>
        <w:pStyle w:val="ListBullet"/>
      </w:pPr>
      <w:r>
        <w:t xml:space="preserve">May benefit from </w:t>
      </w:r>
      <w:r>
        <w:rPr>
          <w:b/>
        </w:rPr>
        <w:t>favorable treaty withholding tax rates</w:t>
      </w:r>
      <w:r>
        <w:t xml:space="preserve"> on inbound interest</w:t>
      </w:r>
    </w:p>
    <w:p>
      <w:r>
        <w:rPr>
          <w:b/>
        </w:rPr>
        <w:t>Borrower (Operating Entity)</w:t>
      </w:r>
      <w:r>
        <w:t>:</w:t>
      </w:r>
    </w:p>
    <w:p>
      <w:pPr>
        <w:pStyle w:val="ListBullet"/>
      </w:pPr>
      <w:r>
        <w:rPr>
          <w:b/>
        </w:rPr>
        <w:t>Deducts interest expense</w:t>
      </w:r>
      <w:r>
        <w:t xml:space="preserve"> (subject to thin capitalization / earnings stripping rules)</w:t>
      </w:r>
    </w:p>
    <w:p>
      <w:pPr>
        <w:pStyle w:val="ListBullet"/>
      </w:pPr>
      <w:r>
        <w:t>Typically withholds tax on interest paid to foreign related party (unless treaty exemption)</w:t>
      </w:r>
    </w:p>
    <w:p>
      <w:r>
        <w:rPr>
          <w:b/>
        </w:rPr>
        <w:t>Example</w:t>
      </w:r>
      <w:r>
        <w:t>:</w:t>
      </w:r>
    </w:p>
    <w:p>
      <w:pPr>
        <w:shd w:fill="F0F0F0"/>
        <w:spacing w:after="0" w:line="240" w:lineRule="auto"/>
      </w:pPr>
      <w:r>
        <w:rPr>
          <w:rFonts w:ascii="Courier New" w:hAnsi="Courier New"/>
          <w:sz w:val="20"/>
        </w:rPr>
        <w:t>Singapore Treasury Co lends $100M to Norwegian subsidiary at 5% interest</w:t>
      </w:r>
    </w:p>
    <w:p>
      <w:pPr>
        <w:shd w:fill="F0F0F0"/>
        <w:spacing w:after="0" w:line="240" w:lineRule="auto"/>
      </w:pPr>
      <w:r>
        <w:rPr>
          <w:rFonts w:ascii="Courier New" w:hAnsi="Courier New"/>
          <w:sz w:val="20"/>
        </w:rPr>
        <w:t>Annual interest = $5M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Singapore Treasury Co:</w:t>
      </w:r>
    </w:p>
    <w:p>
      <w:pPr>
        <w:shd w:fill="F0F0F0"/>
        <w:spacing w:after="0" w:line="240" w:lineRule="auto"/>
      </w:pPr>
      <w:r>
        <w:rPr>
          <w:rFonts w:ascii="Courier New" w:hAnsi="Courier New"/>
          <w:sz w:val="20"/>
        </w:rPr>
        <w:t>Interest income: $5M</w:t>
      </w:r>
    </w:p>
    <w:p>
      <w:pPr>
        <w:shd w:fill="F0F0F0"/>
        <w:spacing w:after="0" w:line="240" w:lineRule="auto"/>
      </w:pPr>
      <w:r>
        <w:rPr>
          <w:rFonts w:ascii="Courier New" w:hAnsi="Courier New"/>
          <w:sz w:val="20"/>
        </w:rPr>
        <w:t>Singapore tax at 17%: $850K</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Norwegian Subsidiary:</w:t>
      </w:r>
    </w:p>
    <w:p>
      <w:pPr>
        <w:shd w:fill="F0F0F0"/>
        <w:spacing w:after="0" w:line="240" w:lineRule="auto"/>
      </w:pPr>
      <w:r>
        <w:rPr>
          <w:rFonts w:ascii="Courier New" w:hAnsi="Courier New"/>
          <w:sz w:val="20"/>
        </w:rPr>
        <w:t>Interest expense deduction: $5M</w:t>
      </w:r>
    </w:p>
    <w:p>
      <w:pPr>
        <w:shd w:fill="F0F0F0"/>
        <w:spacing w:after="0" w:line="240" w:lineRule="auto"/>
      </w:pPr>
      <w:r>
        <w:rPr>
          <w:rFonts w:ascii="Courier New" w:hAnsi="Courier New"/>
          <w:sz w:val="20"/>
        </w:rPr>
        <w:t>Tax shield at 22%: $1.1M</w:t>
      </w:r>
    </w:p>
    <w:p>
      <w:pPr>
        <w:shd w:fill="F0F0F0"/>
        <w:spacing w:after="0" w:line="240" w:lineRule="auto"/>
      </w:pPr>
      <w:r>
        <w:rPr>
          <w:rFonts w:ascii="Courier New" w:hAnsi="Courier New"/>
          <w:sz w:val="20"/>
        </w:rPr>
        <w:t>Norway WHT on interest to Singapore: 0% (treaty exemption)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Net group tax benefit: $1.1M (Norway shield) - $850K (Singapore tax) = $250K</w:t>
      </w:r>
    </w:p>
    <w:p/>
    <w:p>
      <w:pPr>
        <w:pStyle w:val="Heading3"/>
      </w:pPr>
      <w:r>
        <w:t>2.2 Withholding Tax on Interest</w:t>
      </w:r>
    </w:p>
    <w:p>
      <w:r>
        <w:rPr>
          <w:b/>
        </w:rPr>
        <w:t>Domestic Law</w:t>
      </w:r>
      <w:r>
        <w:t>: Most countries impose withholding tax (WHT) on interest paid to non-residents (typically 10-30%).</w:t>
      </w:r>
    </w:p>
    <w:p>
      <w:r>
        <w:rPr>
          <w:b/>
        </w:rPr>
        <w:t>Treaty Reduction</w:t>
      </w:r>
      <w:r>
        <w:t xml:space="preserve">: Double tax treaties typically </w:t>
      </w:r>
      <w:r>
        <w:rPr>
          <w:b/>
        </w:rPr>
        <w:t>reduce or eliminate</w:t>
      </w:r>
      <w:r>
        <w:t xml:space="preserve"> WHT on interest. Examples of treaty rates: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Treaty</w:t>
            </w:r>
          </w:p>
        </w:tc>
        <w:tc>
          <w:tcPr>
            <w:tcW w:type="dxa" w:w="4320"/>
          </w:tcPr>
          <w:p>
            <w:r>
              <w:rPr>
                <w:b/>
              </w:rPr>
            </w:r>
            <w:r>
              <w:rPr>
                <w:b/>
              </w:rPr>
              <w:t>Interest WHT Rate</w:t>
            </w:r>
          </w:p>
        </w:tc>
      </w:tr>
      <w:tr>
        <w:tc>
          <w:tcPr>
            <w:tcW w:type="dxa" w:w="4320"/>
          </w:tcPr>
          <w:p>
            <w:r/>
            <w:r>
              <w:rPr>
                <w:b/>
              </w:rPr>
              <w:t>U.S.-Netherlands</w:t>
            </w:r>
          </w:p>
        </w:tc>
        <w:tc>
          <w:tcPr>
            <w:tcW w:type="dxa" w:w="4320"/>
          </w:tcPr>
          <w:p>
            <w:r/>
            <w:r>
              <w:t>0%</w:t>
            </w:r>
          </w:p>
        </w:tc>
      </w:tr>
      <w:tr>
        <w:tc>
          <w:tcPr>
            <w:tcW w:type="dxa" w:w="4320"/>
          </w:tcPr>
          <w:p>
            <w:r/>
            <w:r>
              <w:rPr>
                <w:b/>
              </w:rPr>
              <w:t>U.S.-UK</w:t>
            </w:r>
          </w:p>
        </w:tc>
        <w:tc>
          <w:tcPr>
            <w:tcW w:type="dxa" w:w="4320"/>
          </w:tcPr>
          <w:p>
            <w:r/>
            <w:r>
              <w:t>0%</w:t>
            </w:r>
          </w:p>
        </w:tc>
      </w:tr>
      <w:tr>
        <w:tc>
          <w:tcPr>
            <w:tcW w:type="dxa" w:w="4320"/>
          </w:tcPr>
          <w:p>
            <w:r/>
            <w:r>
              <w:rPr>
                <w:b/>
              </w:rPr>
              <w:t>Norway-Singapore</w:t>
            </w:r>
          </w:p>
        </w:tc>
        <w:tc>
          <w:tcPr>
            <w:tcW w:type="dxa" w:w="4320"/>
          </w:tcPr>
          <w:p>
            <w:r/>
            <w:r>
              <w:t>0%</w:t>
            </w:r>
          </w:p>
        </w:tc>
      </w:tr>
      <w:tr>
        <w:tc>
          <w:tcPr>
            <w:tcW w:type="dxa" w:w="4320"/>
          </w:tcPr>
          <w:p>
            <w:r/>
            <w:r>
              <w:rPr>
                <w:b/>
              </w:rPr>
              <w:t>Brazil-Netherlands</w:t>
            </w:r>
          </w:p>
        </w:tc>
        <w:tc>
          <w:tcPr>
            <w:tcW w:type="dxa" w:w="4320"/>
          </w:tcPr>
          <w:p>
            <w:r/>
            <w:r>
              <w:t>15%</w:t>
            </w:r>
          </w:p>
        </w:tc>
      </w:tr>
    </w:tbl>
    <w:p/>
    <w:p>
      <w:r>
        <w:rPr>
          <w:b/>
        </w:rPr>
        <w:t>Council Directive 2003/49/EC of 3 June 2003 (EU Interest and Royalties Directive)</w:t>
      </w:r>
      <w:r>
        <w:t xml:space="preserve">: </w:t>
      </w:r>
      <w:r>
        <w:rPr>
          <w:b/>
        </w:rPr>
        <w:t>0% WHT</w:t>
      </w:r>
      <w:r>
        <w:t xml:space="preserve"> on interest paid between associated EU companies (minimum 25% ownership). This directive remains in force as of 2024.</w:t>
      </w:r>
    </w:p>
    <w:p>
      <w:pPr>
        <w:pStyle w:val="Heading3"/>
      </w:pPr>
      <w:r>
        <w:t>2.3 Arm's Length Interest Rates</w:t>
      </w:r>
    </w:p>
    <w:p>
      <w:r>
        <w:rPr>
          <w:b/>
        </w:rPr>
        <w:t>OECD Transfer Pricing Guidelines Chapter X</w:t>
      </w:r>
      <w:r>
        <w:t xml:space="preserve">: Intercompany loans must bear </w:t>
      </w:r>
      <w:r>
        <w:rPr>
          <w:b/>
        </w:rPr>
        <w:t>arm's length interest rates</w:t>
      </w:r>
      <w:r>
        <w:t xml:space="preserve"> based on:</w:t>
      </w:r>
    </w:p>
    <w:p>
      <w:pPr>
        <w:pStyle w:val="ListNumber"/>
      </w:pPr>
      <w:r>
        <w:rPr>
          <w:b/>
        </w:rPr>
        <w:t>Credit rating</w:t>
      </w:r>
      <w:r>
        <w:t xml:space="preserve"> of borrower (actual or deemed)</w:t>
      </w:r>
    </w:p>
    <w:p>
      <w:pPr>
        <w:pStyle w:val="ListNumber"/>
      </w:pPr>
      <w:r>
        <w:rPr>
          <w:b/>
        </w:rPr>
        <w:t>Loan characteristics</w:t>
      </w:r>
      <w:r>
        <w:t>: Amount, term, currency, security</w:t>
      </w:r>
    </w:p>
    <w:p>
      <w:pPr>
        <w:pStyle w:val="ListNumber"/>
      </w:pPr>
      <w:r>
        <w:rPr>
          <w:b/>
        </w:rPr>
        <w:t>Market conditions</w:t>
      </w:r>
      <w:r>
        <w:t>: Prevailing rates for comparable third-party loans</w:t>
      </w:r>
    </w:p>
    <w:p>
      <w:r>
        <w:rPr>
          <w:b/>
        </w:rPr>
        <w:t>Transfer Pricing Methods</w:t>
      </w:r>
      <w:r>
        <w:t>:</w:t>
      </w:r>
    </w:p>
    <w:p>
      <w:r>
        <w:rPr>
          <w:b/>
        </w:rPr>
        <w:t>Comparable Uncontrolled Price (CUP)</w:t>
      </w:r>
      <w:r>
        <w:t>:</w:t>
      </w:r>
    </w:p>
    <w:p>
      <w:pPr>
        <w:pStyle w:val="ListBullet"/>
      </w:pPr>
      <w:r>
        <w:t xml:space="preserve">Identify </w:t>
      </w:r>
      <w:r>
        <w:rPr>
          <w:b/>
        </w:rPr>
        <w:t>external loans</w:t>
      </w:r>
      <w:r>
        <w:t xml:space="preserve"> to/from borrower or comparable entities</w:t>
      </w:r>
    </w:p>
    <w:p>
      <w:pPr>
        <w:pStyle w:val="ListBullet"/>
      </w:pPr>
      <w:r>
        <w:t>Adjust for differences in credit risk, loan terms, collateral</w:t>
      </w:r>
    </w:p>
    <w:p>
      <w:r>
        <w:rPr>
          <w:b/>
        </w:rPr>
        <w:t>Credit Rating Approach</w:t>
      </w:r>
      <w:r>
        <w:t>:</w:t>
      </w:r>
    </w:p>
    <w:p>
      <w:pPr>
        <w:pStyle w:val="ListNumber"/>
      </w:pPr>
      <w:r>
        <w:t xml:space="preserve">Determine borrower's </w:t>
      </w:r>
      <w:r>
        <w:rPr>
          <w:b/>
        </w:rPr>
        <w:t>standalone credit rating</w:t>
      </w:r>
      <w:r>
        <w:t xml:space="preserve"> (or impute based on financial metrics)</w:t>
      </w:r>
    </w:p>
    <w:p>
      <w:pPr>
        <w:pStyle w:val="ListNumber"/>
      </w:pPr>
      <w:r>
        <w:t xml:space="preserve">Identify </w:t>
      </w:r>
      <w:r>
        <w:rPr>
          <w:b/>
        </w:rPr>
        <w:t>comparable bonds or loans</w:t>
      </w:r>
      <w:r>
        <w:t xml:space="preserve"> with similar rating, term, currency</w:t>
      </w:r>
    </w:p>
    <w:p>
      <w:pPr>
        <w:pStyle w:val="ListNumber"/>
      </w:pPr>
      <w:r>
        <w:t>Apply benchmark rate to intercompany loan</w:t>
      </w:r>
    </w:p>
    <w:p>
      <w:r>
        <w:rPr>
          <w:b/>
        </w:rPr>
        <w:t>Example</w:t>
      </w:r>
      <w:r>
        <w:t>:</w:t>
      </w:r>
    </w:p>
    <w:p>
      <w:pPr>
        <w:shd w:fill="F0F0F0"/>
        <w:spacing w:after="0" w:line="240" w:lineRule="auto"/>
      </w:pPr>
      <w:r>
        <w:rPr>
          <w:rFonts w:ascii="Courier New" w:hAnsi="Courier New"/>
          <w:sz w:val="20"/>
        </w:rPr>
        <w:t>Treasury Co lends $50M to Brazilian subsidiary for 5 years</w:t>
      </w:r>
    </w:p>
    <w:p>
      <w:pPr>
        <w:shd w:fill="F0F0F0"/>
        <w:spacing w:after="0" w:line="240" w:lineRule="auto"/>
      </w:pPr>
      <w:r>
        <w:rPr>
          <w:rFonts w:ascii="Courier New" w:hAnsi="Courier New"/>
          <w:sz w:val="20"/>
        </w:rPr>
        <w:t>Brazilian subsidiary's implied credit rating: BB (based on debt/EBITDA, interest coverage ratios)</w:t>
      </w:r>
    </w:p>
    <w:p>
      <w:pPr>
        <w:shd w:fill="F0F0F0"/>
        <w:spacing w:after="0" w:line="240" w:lineRule="auto"/>
      </w:pPr>
      <w:r>
        <w:rPr>
          <w:rFonts w:ascii="Courier New" w:hAnsi="Courier New"/>
          <w:sz w:val="20"/>
        </w:rPr>
        <w:t>Comparable BB-rated Brazilian corporate bonds: 8-10% yield</w:t>
      </w:r>
    </w:p>
    <w:p>
      <w:pPr>
        <w:shd w:fill="F0F0F0"/>
        <w:spacing w:after="0" w:line="240" w:lineRule="auto"/>
      </w:pPr>
      <w:r>
        <w:rPr>
          <w:rFonts w:ascii="Courier New" w:hAnsi="Courier New"/>
          <w:sz w:val="20"/>
        </w:rPr>
        <w:t>Arm's length interest rate range: 8-10%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Treasury Co charges 9% → Within arm's length range</w:t>
      </w:r>
    </w:p>
    <w:p/>
    <w:p>
      <w:pPr>
        <w:spacing w:before="120" w:after="120"/>
        <w:pBdr>
          <w:bottom w:val="single" w:sz="6" w:space="1" w:color="auto"/>
        </w:pBdr>
      </w:pPr>
    </w:p>
    <w:p>
      <w:pPr>
        <w:pStyle w:val="Heading2"/>
      </w:pPr>
      <w:r>
        <w:t>3. Cash Pooling Arrangements</w:t>
      </w:r>
    </w:p>
    <w:p>
      <w:pPr>
        <w:pStyle w:val="Heading3"/>
      </w:pPr>
      <w:r>
        <w:t>3.1 Zero Balance Cash Pooling (ZBCP)</w:t>
      </w:r>
    </w:p>
    <w:p>
      <w:r>
        <w:rPr>
          <w:b/>
        </w:rPr>
        <w:t>Mechanism</w:t>
      </w:r>
      <w:r>
        <w:t>:</w:t>
      </w:r>
    </w:p>
    <w:p>
      <w:pPr>
        <w:pStyle w:val="ListBullet"/>
      </w:pPr>
      <w:r>
        <w:rPr>
          <w:b/>
        </w:rPr>
        <w:t>Pool leader</w:t>
      </w:r>
      <w:r>
        <w:t xml:space="preserve"> (Treasury Co) maintains master account</w:t>
      </w:r>
    </w:p>
    <w:p>
      <w:pPr>
        <w:pStyle w:val="ListBullet"/>
      </w:pPr>
      <w:r>
        <w:rPr>
          <w:b/>
        </w:rPr>
        <w:t>Pool participants</w:t>
      </w:r>
      <w:r>
        <w:t xml:space="preserve"> (operating entities) have sub-accounts</w:t>
      </w:r>
    </w:p>
    <w:p>
      <w:pPr>
        <w:pStyle w:val="ListBullet"/>
      </w:pPr>
      <w:r>
        <w:rPr>
          <w:b/>
        </w:rPr>
        <w:t>Daily sweeps</w:t>
      </w:r>
      <w:r>
        <w:t>: Balances swept to/from master account to achieve zero balance in sub-accounts</w:t>
      </w:r>
    </w:p>
    <w:p>
      <w:pPr>
        <w:pStyle w:val="ListBullet"/>
      </w:pPr>
      <w:r>
        <w:rPr>
          <w:b/>
        </w:rPr>
        <w:t>Interest allocation</w:t>
      </w:r>
      <w:r>
        <w:t>: Pool leader pays interest on credit balances, charges interest on debit balances</w:t>
      </w:r>
    </w:p>
    <w:p>
      <w:r>
        <w:rPr>
          <w:b/>
        </w:rPr>
        <w:t>Tax Issues</w:t>
      </w:r>
      <w:r>
        <w:t>:</w:t>
      </w:r>
    </w:p>
    <w:p>
      <w:r>
        <w:rPr>
          <w:b/>
        </w:rPr>
        <w:t>Transfer Pricing</w:t>
      </w:r>
      <w:r>
        <w:t xml:space="preserve">: Interest rates on credit/debit balances must be </w:t>
      </w:r>
      <w:r>
        <w:rPr>
          <w:b/>
        </w:rPr>
        <w:t>arm's length</w:t>
      </w:r>
      <w:r>
        <w:t>.</w:t>
      </w:r>
    </w:p>
    <w:p>
      <w:r>
        <w:rPr>
          <w:b/>
        </w:rPr>
        <w:t>Typical Structure</w:t>
      </w:r>
      <w:r>
        <w:t>:</w:t>
      </w:r>
    </w:p>
    <w:p>
      <w:pPr>
        <w:pStyle w:val="ListBullet"/>
      </w:pPr>
      <w:r>
        <w:rPr>
          <w:b/>
        </w:rPr>
        <w:t>Credit balances</w:t>
      </w:r>
      <w:r>
        <w:t xml:space="preserve"> (participants with surplus): Earn </w:t>
      </w:r>
      <w:r>
        <w:rPr>
          <w:b/>
        </w:rPr>
        <w:t>SOFR minus spread</w:t>
      </w:r>
      <w:r>
        <w:t xml:space="preserve"> (e.g., SOFR - 0.5%)</w:t>
      </w:r>
    </w:p>
    <w:p>
      <w:pPr>
        <w:pStyle w:val="ListBullet"/>
      </w:pPr>
      <w:r>
        <w:rPr>
          <w:b/>
        </w:rPr>
        <w:t>Debit balances</w:t>
      </w:r>
      <w:r>
        <w:t xml:space="preserve"> (participants with deficit): Pay </w:t>
      </w:r>
      <w:r>
        <w:rPr>
          <w:b/>
        </w:rPr>
        <w:t>SOFR plus spread</w:t>
      </w:r>
      <w:r>
        <w:t xml:space="preserve"> (e.g., SOFR + 1.5%)</w:t>
      </w:r>
    </w:p>
    <w:p>
      <w:pPr>
        <w:pStyle w:val="ListBullet"/>
      </w:pPr>
      <w:r>
        <w:rPr>
          <w:b/>
        </w:rPr>
        <w:t>Pool leader spread</w:t>
      </w:r>
      <w:r>
        <w:t>: 2% (difference between debit and credit rates)</w:t>
      </w:r>
    </w:p>
    <w:p>
      <w:r>
        <w:rPr>
          <w:b/>
        </w:rPr>
        <w:t>Characterization Issue</w:t>
      </w:r>
      <w:r>
        <w:t>: Tax authorities may recharacterize ZBCP as:</w:t>
      </w:r>
    </w:p>
    <w:p>
      <w:pPr>
        <w:pStyle w:val="ListBullet"/>
      </w:pPr>
      <w:r>
        <w:rPr>
          <w:b/>
        </w:rPr>
        <w:t>Loans</w:t>
      </w:r>
      <w:r>
        <w:t xml:space="preserve"> between participants (rather than each participant having a loan with pool leader)</w:t>
      </w:r>
    </w:p>
    <w:p>
      <w:pPr>
        <w:pStyle w:val="ListBullet"/>
      </w:pPr>
      <w:r>
        <w:t xml:space="preserve">Requires </w:t>
      </w:r>
      <w:r>
        <w:rPr>
          <w:b/>
        </w:rPr>
        <w:t>imputed interest</w:t>
      </w:r>
      <w:r>
        <w:t xml:space="preserve"> calculations between participants</w:t>
      </w:r>
    </w:p>
    <w:p>
      <w:pPr>
        <w:pStyle w:val="ListBullet"/>
      </w:pPr>
      <w:r>
        <w:rPr>
          <w:b/>
        </w:rPr>
        <w:t>WHT implications</w:t>
      </w:r>
      <w:r>
        <w:t>: If recharacterized, may trigger WHT on deemed interest flows</w:t>
      </w:r>
    </w:p>
    <w:p>
      <w:pPr>
        <w:pStyle w:val="Heading3"/>
      </w:pPr>
      <w:r>
        <w:t>3.2 Notional Pooling</w:t>
      </w:r>
    </w:p>
    <w:p>
      <w:r>
        <w:rPr>
          <w:b/>
        </w:rPr>
        <w:t>Mechanism</w:t>
      </w:r>
      <w:r>
        <w:t>:</w:t>
      </w:r>
    </w:p>
    <w:p>
      <w:pPr>
        <w:pStyle w:val="ListBullet"/>
      </w:pPr>
      <w:r>
        <w:t xml:space="preserve">Balances </w:t>
      </w:r>
      <w:r>
        <w:rPr>
          <w:b/>
        </w:rPr>
        <w:t>remain in participants' accounts</w:t>
      </w:r>
      <w:r>
        <w:t xml:space="preserve"> (no physical sweeping)</w:t>
      </w:r>
    </w:p>
    <w:p>
      <w:pPr>
        <w:pStyle w:val="ListBullet"/>
      </w:pPr>
      <w:r>
        <w:t xml:space="preserve">Bank calculates </w:t>
      </w:r>
      <w:r>
        <w:rPr>
          <w:b/>
        </w:rPr>
        <w:t>net balance</w:t>
      </w:r>
      <w:r>
        <w:t xml:space="preserve"> and applies interest to the net position</w:t>
      </w:r>
    </w:p>
    <w:p>
      <w:pPr>
        <w:pStyle w:val="ListBullet"/>
      </w:pPr>
      <w:r>
        <w:t>Interest income/expense allocated to participants based on their balances</w:t>
      </w:r>
    </w:p>
    <w:p>
      <w:r>
        <w:rPr>
          <w:b/>
        </w:rPr>
        <w:t>Tax Advantage</w:t>
      </w:r>
      <w:r>
        <w:t>:</w:t>
      </w:r>
    </w:p>
    <w:p>
      <w:pPr>
        <w:pStyle w:val="ListBullet"/>
      </w:pPr>
      <w:r>
        <w:t xml:space="preserve">Avoids </w:t>
      </w:r>
      <w:r>
        <w:rPr>
          <w:b/>
        </w:rPr>
        <w:t>actual cash movements</w:t>
      </w:r>
      <w:r>
        <w:t xml:space="preserve"> (reduces risk of recharacterization as loans)</w:t>
      </w:r>
    </w:p>
    <w:p>
      <w:pPr>
        <w:pStyle w:val="ListBullet"/>
      </w:pPr>
      <w:r>
        <w:t xml:space="preserve">May avoid </w:t>
      </w:r>
      <w:r>
        <w:rPr>
          <w:b/>
        </w:rPr>
        <w:t>WHT</w:t>
      </w:r>
      <w:r>
        <w:t xml:space="preserve"> if interest is not actually paid cross-border</w:t>
      </w:r>
    </w:p>
    <w:p>
      <w:r>
        <w:rPr>
          <w:b/>
        </w:rPr>
        <w:t>Tax Authority Concerns</w:t>
      </w:r>
      <w:r>
        <w:t>:</w:t>
      </w:r>
    </w:p>
    <w:p>
      <w:pPr>
        <w:pStyle w:val="ListBullet"/>
      </w:pPr>
      <w:r>
        <w:rPr>
          <w:b/>
        </w:rPr>
        <w:t>Substance</w:t>
      </w:r>
      <w:r>
        <w:t>: Is the pool leader genuinely managing cash, or is it a mechanical arrangement?</w:t>
      </w:r>
    </w:p>
    <w:p>
      <w:pPr>
        <w:pStyle w:val="ListBullet"/>
      </w:pPr>
      <w:r>
        <w:rPr>
          <w:b/>
        </w:rPr>
        <w:t>Interest spread</w:t>
      </w:r>
      <w:r>
        <w:t>: Is the spread charged by pool leader justified by services rendered?</w:t>
      </w:r>
    </w:p>
    <w:p>
      <w:pPr>
        <w:spacing w:before="120" w:after="120"/>
        <w:pBdr>
          <w:bottom w:val="single" w:sz="6" w:space="1" w:color="auto"/>
        </w:pBdr>
      </w:pPr>
    </w:p>
    <w:p>
      <w:pPr>
        <w:pStyle w:val="Heading2"/>
      </w:pPr>
      <w:r>
        <w:t>4. Transfer Pricing Documentation</w:t>
      </w:r>
    </w:p>
    <w:p>
      <w:pPr>
        <w:pStyle w:val="Heading3"/>
      </w:pPr>
      <w:r>
        <w:t>4.1 OECD Chapter X Requirements</w:t>
      </w:r>
    </w:p>
    <w:p>
      <w:r>
        <w:rPr>
          <w:b/>
        </w:rPr>
        <w:t>2022 OECD Transfer Pricing Guidelines Chapter X</w:t>
      </w:r>
      <w:r>
        <w:t xml:space="preserve"> requires </w:t>
      </w:r>
      <w:r>
        <w:rPr>
          <w:b/>
        </w:rPr>
        <w:t>robust analysis</w:t>
      </w:r>
      <w:r>
        <w:t xml:space="preserve"> of:</w:t>
      </w:r>
    </w:p>
    <w:p>
      <w:r>
        <w:rPr>
          <w:b/>
        </w:rPr>
        <w:t>Accurate Delineation</w:t>
      </w:r>
      <w:r>
        <w:t>:</w:t>
      </w:r>
    </w:p>
    <w:p>
      <w:pPr>
        <w:pStyle w:val="ListBullet"/>
      </w:pPr>
      <w:r>
        <w:rPr>
          <w:b/>
        </w:rPr>
        <w:t>Contractual terms</w:t>
      </w:r>
      <w:r>
        <w:t>: Loan agreements, cash pool agreements</w:t>
      </w:r>
    </w:p>
    <w:p>
      <w:pPr>
        <w:pStyle w:val="ListBullet"/>
      </w:pPr>
      <w:r>
        <w:rPr>
          <w:b/>
        </w:rPr>
        <w:t>Functions performed</w:t>
      </w:r>
      <w:r>
        <w:t>: Credit assessment, monitoring, cash management, risk management</w:t>
      </w:r>
    </w:p>
    <w:p>
      <w:pPr>
        <w:pStyle w:val="ListBullet"/>
      </w:pPr>
      <w:r>
        <w:rPr>
          <w:b/>
        </w:rPr>
        <w:t>Assets used</w:t>
      </w:r>
      <w:r>
        <w:t>: Technology, personnel, capital</w:t>
      </w:r>
    </w:p>
    <w:p>
      <w:pPr>
        <w:pStyle w:val="ListBullet"/>
      </w:pPr>
      <w:r>
        <w:rPr>
          <w:b/>
        </w:rPr>
        <w:t>Risks assumed</w:t>
      </w:r>
      <w:r>
        <w:t>: Credit risk, market risk, operational risk</w:t>
      </w:r>
    </w:p>
    <w:p>
      <w:r>
        <w:rPr>
          <w:b/>
        </w:rPr>
        <w:t>Risk Allocation</w:t>
      </w:r>
      <w:r>
        <w:t>:</w:t>
      </w:r>
    </w:p>
    <w:p>
      <w:pPr>
        <w:pStyle w:val="ListBullet"/>
      </w:pPr>
      <w:r>
        <w:t xml:space="preserve">Which entity bears </w:t>
      </w:r>
      <w:r>
        <w:rPr>
          <w:b/>
        </w:rPr>
        <w:t>credit risk</w:t>
      </w:r>
      <w:r>
        <w:t xml:space="preserve"> (risk of borrower default)?</w:t>
      </w:r>
    </w:p>
    <w:p>
      <w:pPr>
        <w:pStyle w:val="ListBullet"/>
      </w:pPr>
      <w:r>
        <w:t xml:space="preserve">Which entity has </w:t>
      </w:r>
      <w:r>
        <w:rPr>
          <w:b/>
        </w:rPr>
        <w:t>financial capacity</w:t>
      </w:r>
      <w:r>
        <w:t xml:space="preserve"> to assume risk?</w:t>
      </w:r>
    </w:p>
    <w:p>
      <w:pPr>
        <w:pStyle w:val="ListBullet"/>
      </w:pPr>
      <w:r>
        <w:t xml:space="preserve">Which entity exercises </w:t>
      </w:r>
      <w:r>
        <w:rPr>
          <w:b/>
        </w:rPr>
        <w:t>control</w:t>
      </w:r>
      <w:r>
        <w:t xml:space="preserve"> over risk (decision-making, monitoring)?</w:t>
      </w:r>
    </w:p>
    <w:p>
      <w:r>
        <w:rPr>
          <w:b/>
        </w:rPr>
        <w:t>Example</w:t>
      </w:r>
      <w:r>
        <w:t>:</w:t>
      </w:r>
    </w:p>
    <w:p>
      <w:r>
        <w:t xml:space="preserve">If </w:t>
      </w:r>
      <w:r>
        <w:rPr>
          <w:b/>
        </w:rPr>
        <w:t>Treasury Co</w:t>
      </w:r>
      <w:r>
        <w:t xml:space="preserve"> merely acts as a </w:t>
      </w:r>
      <w:r>
        <w:rPr>
          <w:b/>
        </w:rPr>
        <w:t>conduit</w:t>
      </w:r>
      <w:r>
        <w:t xml:space="preserve"> (borrowing externally and on-lending without assuming credit risk or performing active management), tax authorities may:</w:t>
      </w:r>
    </w:p>
    <w:p>
      <w:pPr>
        <w:pStyle w:val="ListBullet"/>
      </w:pPr>
      <w:r>
        <w:rPr>
          <w:b/>
        </w:rPr>
        <w:t>Disallow</w:t>
      </w:r>
      <w:r>
        <w:t xml:space="preserve"> or </w:t>
      </w:r>
      <w:r>
        <w:rPr>
          <w:b/>
        </w:rPr>
        <w:t>reduce</w:t>
      </w:r>
      <w:r>
        <w:t xml:space="preserve"> the interest spread</w:t>
      </w:r>
    </w:p>
    <w:p>
      <w:pPr>
        <w:pStyle w:val="ListBullet"/>
      </w:pPr>
      <w:r>
        <w:rPr>
          <w:b/>
        </w:rPr>
        <w:t>Recharacterize</w:t>
      </w:r>
      <w:r>
        <w:t xml:space="preserve"> arrangement as </w:t>
      </w:r>
      <w:r>
        <w:rPr>
          <w:b/>
        </w:rPr>
        <w:t>direct borrowing</w:t>
      </w:r>
      <w:r>
        <w:t xml:space="preserve"> by operating entity from external lender</w:t>
      </w:r>
    </w:p>
    <w:p>
      <w:pPr>
        <w:pStyle w:val="ListBullet"/>
      </w:pPr>
      <w:r>
        <w:rPr>
          <w:b/>
        </w:rPr>
        <w:t>Deny deductions</w:t>
      </w:r>
      <w:r>
        <w:t xml:space="preserve"> for excess interest expense</w:t>
      </w:r>
    </w:p>
    <w:p>
      <w:pPr>
        <w:pStyle w:val="Heading3"/>
      </w:pPr>
      <w:r>
        <w:t>4.2 Documentation Best Practices</w:t>
      </w:r>
    </w:p>
    <w:p>
      <w:r>
        <w:rPr>
          <w:b/>
        </w:rPr>
        <w:t>Functional Analysis</w:t>
      </w:r>
      <w:r>
        <w:t>:</w:t>
      </w:r>
    </w:p>
    <w:p>
      <w:pPr>
        <w:pStyle w:val="ListBullet"/>
      </w:pPr>
      <w:r>
        <w:t>Detailed description of treasury functions performed</w:t>
      </w:r>
    </w:p>
    <w:p>
      <w:pPr>
        <w:pStyle w:val="ListBullet"/>
      </w:pPr>
      <w:r>
        <w:t>Organizational chart showing treasury personnel and reporting lines</w:t>
      </w:r>
    </w:p>
    <w:p>
      <w:pPr>
        <w:pStyle w:val="ListBullet"/>
      </w:pPr>
      <w:r>
        <w:t>Decision-making process for lending, pricing, risk management</w:t>
      </w:r>
    </w:p>
    <w:p>
      <w:r>
        <w:rPr>
          <w:b/>
        </w:rPr>
        <w:t>Benchmarking Study</w:t>
      </w:r>
      <w:r>
        <w:t>:</w:t>
      </w:r>
    </w:p>
    <w:p>
      <w:pPr>
        <w:pStyle w:val="ListBullet"/>
      </w:pPr>
      <w:r>
        <w:t xml:space="preserve">Identify comparable </w:t>
      </w:r>
      <w:r>
        <w:rPr>
          <w:b/>
        </w:rPr>
        <w:t>external loans</w:t>
      </w:r>
      <w:r>
        <w:t xml:space="preserve"> or </w:t>
      </w:r>
      <w:r>
        <w:rPr>
          <w:b/>
        </w:rPr>
        <w:t>bank spreads</w:t>
      </w:r>
      <w:r>
        <w:t xml:space="preserve"> for treasury services</w:t>
      </w:r>
    </w:p>
    <w:p>
      <w:pPr>
        <w:pStyle w:val="ListBullet"/>
      </w:pPr>
      <w:r>
        <w:t>Adjust for differences in credit risk, loan size, geography</w:t>
      </w:r>
    </w:p>
    <w:p>
      <w:r>
        <w:rPr>
          <w:b/>
        </w:rPr>
        <w:t>Financial Capacity Assessment</w:t>
      </w:r>
      <w:r>
        <w:t>:</w:t>
      </w:r>
    </w:p>
    <w:p>
      <w:pPr>
        <w:pStyle w:val="ListBullet"/>
      </w:pPr>
      <w:r>
        <w:t xml:space="preserve">Demonstrate treasury company has </w:t>
      </w:r>
      <w:r>
        <w:rPr>
          <w:b/>
        </w:rPr>
        <w:t>adequate capital</w:t>
      </w:r>
      <w:r>
        <w:t xml:space="preserve"> to assume risks</w:t>
      </w:r>
    </w:p>
    <w:p>
      <w:pPr>
        <w:pStyle w:val="ListBullet"/>
      </w:pPr>
      <w:r>
        <w:t xml:space="preserve">Show treasury company has </w:t>
      </w:r>
      <w:r>
        <w:rPr>
          <w:b/>
        </w:rPr>
        <w:t>qualified personnel</w:t>
      </w:r>
      <w:r>
        <w:t xml:space="preserve"> and systems</w:t>
      </w:r>
    </w:p>
    <w:p>
      <w:r>
        <w:rPr>
          <w:b/>
        </w:rPr>
        <w:t>Annual Reporting</w:t>
      </w:r>
      <w:r>
        <w:t>:</w:t>
      </w:r>
    </w:p>
    <w:p>
      <w:pPr>
        <w:pStyle w:val="ListBullet"/>
      </w:pPr>
      <w:r>
        <w:t>Update documentation annually with actual results vs. projections</w:t>
      </w:r>
    </w:p>
    <w:p>
      <w:pPr>
        <w:pStyle w:val="ListBullet"/>
      </w:pPr>
      <w:r>
        <w:t>Explain variances and demonstrate continued arm's length nature</w:t>
      </w:r>
    </w:p>
    <w:p>
      <w:pPr>
        <w:spacing w:before="120" w:after="120"/>
        <w:pBdr>
          <w:bottom w:val="single" w:sz="6" w:space="1" w:color="auto"/>
        </w:pBdr>
      </w:pPr>
    </w:p>
    <w:p>
      <w:pPr>
        <w:pStyle w:val="Heading2"/>
      </w:pPr>
      <w:r>
        <w:t>5. Thin Capitalization and Interest Limitation Rules</w:t>
      </w:r>
    </w:p>
    <w:p>
      <w:pPr>
        <w:pStyle w:val="Heading3"/>
      </w:pPr>
      <w:r>
        <w:t>5.1 Impact on Borrowing Entities</w:t>
      </w:r>
    </w:p>
    <w:p>
      <w:r>
        <w:rPr>
          <w:b/>
        </w:rPr>
        <w:t>Thin Capitalization Rules</w:t>
      </w:r>
      <w:r>
        <w:t xml:space="preserve">: Limit </w:t>
      </w:r>
      <w:r>
        <w:rPr>
          <w:b/>
        </w:rPr>
        <w:t>interest deductibility</w:t>
      </w:r>
      <w:r>
        <w:t xml:space="preserve"> if debt-to-equity ratio exceeds threshold (e.g., 3:1, 4:1).</w:t>
      </w:r>
    </w:p>
    <w:p>
      <w:r>
        <w:rPr>
          <w:b/>
        </w:rPr>
        <w:t>BEPS Action 4 - Earnings Stripping Rules</w:t>
      </w:r>
      <w:r>
        <w:t xml:space="preserve">: Limit interest deductions to </w:t>
      </w:r>
      <w:r>
        <w:rPr>
          <w:b/>
        </w:rPr>
        <w:t>10-30% of EBITDA</w:t>
      </w:r>
      <w:r>
        <w:t>.</w:t>
      </w:r>
    </w:p>
    <w:p>
      <w:r>
        <w:rPr>
          <w:b/>
        </w:rPr>
        <w:t>Example - EBITDA Limitation</w:t>
      </w:r>
      <w:r>
        <w:t>:</w:t>
      </w:r>
    </w:p>
    <w:p>
      <w:pPr>
        <w:shd w:fill="F0F0F0"/>
        <w:spacing w:after="0" w:line="240" w:lineRule="auto"/>
      </w:pPr>
      <w:r>
        <w:rPr>
          <w:rFonts w:ascii="Courier New" w:hAnsi="Courier New"/>
          <w:sz w:val="20"/>
        </w:rPr>
        <w:t>Brazilian subsidiary borrows $200M from Singapore Treasury Co at 8%</w:t>
      </w:r>
    </w:p>
    <w:p>
      <w:pPr>
        <w:shd w:fill="F0F0F0"/>
        <w:spacing w:after="0" w:line="240" w:lineRule="auto"/>
      </w:pPr>
      <w:r>
        <w:rPr>
          <w:rFonts w:ascii="Courier New" w:hAnsi="Courier New"/>
          <w:sz w:val="20"/>
        </w:rPr>
        <w:t>Annual interest expense: $16M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Brazilian subsidiary financial results:</w:t>
      </w:r>
    </w:p>
    <w:p>
      <w:pPr>
        <w:shd w:fill="F0F0F0"/>
        <w:spacing w:after="0" w:line="240" w:lineRule="auto"/>
      </w:pPr>
      <w:r>
        <w:rPr>
          <w:rFonts w:ascii="Courier New" w:hAnsi="Courier New"/>
          <w:sz w:val="20"/>
        </w:rPr>
        <w:t>Revenue: $100M</w:t>
      </w:r>
    </w:p>
    <w:p>
      <w:pPr>
        <w:shd w:fill="F0F0F0"/>
        <w:spacing w:after="0" w:line="240" w:lineRule="auto"/>
      </w:pPr>
      <w:r>
        <w:rPr>
          <w:rFonts w:ascii="Courier New" w:hAnsi="Courier New"/>
          <w:sz w:val="20"/>
        </w:rPr>
        <w:t>Operating expenses: $50M</w:t>
      </w:r>
    </w:p>
    <w:p>
      <w:pPr>
        <w:shd w:fill="F0F0F0"/>
        <w:spacing w:after="0" w:line="240" w:lineRule="auto"/>
      </w:pPr>
      <w:r>
        <w:rPr>
          <w:rFonts w:ascii="Courier New" w:hAnsi="Courier New"/>
          <w:sz w:val="20"/>
        </w:rPr>
        <w:t>Depreciation: $20M</w:t>
      </w:r>
    </w:p>
    <w:p>
      <w:pPr>
        <w:shd w:fill="F0F0F0"/>
        <w:spacing w:after="0" w:line="240" w:lineRule="auto"/>
      </w:pPr>
      <w:r>
        <w:rPr>
          <w:rFonts w:ascii="Courier New" w:hAnsi="Courier New"/>
          <w:sz w:val="20"/>
        </w:rPr>
        <w:t>EBITDA: $30M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Interest deduction limit (30% EBITDA): $30M × 30% = $9M</w:t>
      </w:r>
    </w:p>
    <w:p>
      <w:pPr>
        <w:shd w:fill="F0F0F0"/>
        <w:spacing w:after="0" w:line="240" w:lineRule="auto"/>
      </w:pPr>
      <w:r>
        <w:rPr>
          <w:rFonts w:ascii="Courier New" w:hAnsi="Courier New"/>
          <w:sz w:val="20"/>
        </w:rPr>
        <w:t>Allowed interest deduction: $9M</w:t>
      </w:r>
    </w:p>
    <w:p>
      <w:pPr>
        <w:shd w:fill="F0F0F0"/>
        <w:spacing w:after="0" w:line="240" w:lineRule="auto"/>
      </w:pPr>
      <w:r>
        <w:rPr>
          <w:rFonts w:ascii="Courier New" w:hAnsi="Courier New"/>
          <w:sz w:val="20"/>
        </w:rPr>
        <w:t>Disallowed interest: $16M - $9M = $7M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Tax impact:</w:t>
      </w:r>
    </w:p>
    <w:p>
      <w:pPr>
        <w:shd w:fill="F0F0F0"/>
        <w:spacing w:after="0" w:line="240" w:lineRule="auto"/>
      </w:pPr>
      <w:r>
        <w:rPr>
          <w:rFonts w:ascii="Courier New" w:hAnsi="Courier New"/>
          <w:sz w:val="20"/>
        </w:rPr>
        <w:t>Additional taxable income: $7M</w:t>
      </w:r>
    </w:p>
    <w:p>
      <w:pPr>
        <w:shd w:fill="F0F0F0"/>
        <w:spacing w:after="0" w:line="240" w:lineRule="auto"/>
      </w:pPr>
      <w:r>
        <w:rPr>
          <w:rFonts w:ascii="Courier New" w:hAnsi="Courier New"/>
          <w:sz w:val="20"/>
        </w:rPr>
        <w:t>Brazil tax at 34%: $2.38M</w:t>
      </w:r>
    </w:p>
    <w:p/>
    <w:p>
      <w:pPr>
        <w:pStyle w:val="Heading3"/>
      </w:pPr>
      <w:r>
        <w:t>5.2 Impact on Treasury Company</w:t>
      </w:r>
    </w:p>
    <w:p>
      <w:r>
        <w:rPr>
          <w:b/>
        </w:rPr>
        <w:t>Passive Income Classification</w:t>
      </w:r>
      <w:r>
        <w:t xml:space="preserve">: In some CFC regimes, interest income from intercompany loans may be classified as </w:t>
      </w:r>
      <w:r>
        <w:rPr>
          <w:b/>
        </w:rPr>
        <w:t>passive income</w:t>
      </w:r>
      <w:r>
        <w:t>, triggering immediate parent company taxation.</w:t>
      </w:r>
    </w:p>
    <w:p>
      <w:r>
        <w:rPr>
          <w:b/>
        </w:rPr>
        <w:t>Substance Requirements</w:t>
      </w:r>
      <w:r>
        <w:t xml:space="preserve">: Treasury company must have </w:t>
      </w:r>
      <w:r>
        <w:rPr>
          <w:b/>
        </w:rPr>
        <w:t>genuine operations</w:t>
      </w:r>
      <w:r>
        <w:t xml:space="preserve"> to avoid characterization as a mere financing conduit:</w:t>
      </w:r>
    </w:p>
    <w:p>
      <w:pPr>
        <w:pStyle w:val="ListBullet"/>
      </w:pPr>
      <w:r>
        <w:rPr>
          <w:b/>
        </w:rPr>
        <w:t>Qualified personnel</w:t>
      </w:r>
      <w:r>
        <w:t>: Credit analysts, treasury managers</w:t>
      </w:r>
    </w:p>
    <w:p>
      <w:pPr>
        <w:pStyle w:val="ListBullet"/>
      </w:pPr>
      <w:r>
        <w:rPr>
          <w:b/>
        </w:rPr>
        <w:t>Active decision-making</w:t>
      </w:r>
      <w:r>
        <w:t>: Credit assessments, loan approvals, monitoring</w:t>
      </w:r>
    </w:p>
    <w:p>
      <w:pPr>
        <w:pStyle w:val="ListBullet"/>
      </w:pPr>
      <w:r>
        <w:rPr>
          <w:b/>
        </w:rPr>
        <w:t>Risk assumption</w:t>
      </w:r>
      <w:r>
        <w:t>: Real exposure to credit risk (not fully guaranteed by parent)</w:t>
      </w:r>
    </w:p>
    <w:p>
      <w:pPr>
        <w:spacing w:before="120" w:after="120"/>
        <w:pBdr>
          <w:bottom w:val="single" w:sz="6" w:space="1" w:color="auto"/>
        </w:pBdr>
      </w:pPr>
    </w:p>
    <w:p>
      <w:pPr>
        <w:pStyle w:val="Heading2"/>
      </w:pPr>
      <w:r>
        <w:t>6. Regulatory Compliance</w:t>
      </w:r>
    </w:p>
    <w:p>
      <w:pPr>
        <w:pStyle w:val="Heading3"/>
      </w:pPr>
      <w:r>
        <w:t>6.1 Banking Regulations</w:t>
      </w:r>
    </w:p>
    <w:p>
      <w:r>
        <w:rPr>
          <w:b/>
        </w:rPr>
        <w:t>Question</w:t>
      </w:r>
      <w:r>
        <w:t xml:space="preserve">: Does operating a treasury company constitute </w:t>
      </w:r>
      <w:r>
        <w:rPr>
          <w:b/>
        </w:rPr>
        <w:t>banking activity</w:t>
      </w:r>
      <w:r>
        <w:t xml:space="preserve"> requiring a license?</w:t>
      </w:r>
    </w:p>
    <w:p>
      <w:r>
        <w:rPr>
          <w:b/>
        </w:rPr>
        <w:t>Generally</w:t>
      </w:r>
      <w:r>
        <w:t xml:space="preserve">: </w:t>
      </w:r>
      <w:r>
        <w:rPr>
          <w:b/>
        </w:rPr>
        <w:t>No</w:t>
      </w:r>
      <w:r>
        <w:t>, if:</w:t>
      </w:r>
    </w:p>
    <w:p>
      <w:pPr>
        <w:pStyle w:val="ListBullet"/>
      </w:pPr>
      <w:r>
        <w:t xml:space="preserve">Treasury company lends </w:t>
      </w:r>
      <w:r>
        <w:rPr>
          <w:b/>
        </w:rPr>
        <w:t>only to group entities</w:t>
      </w:r>
      <w:r>
        <w:t xml:space="preserve"> (not external third parties)</w:t>
      </w:r>
    </w:p>
    <w:p>
      <w:pPr>
        <w:pStyle w:val="ListBullet"/>
      </w:pPr>
      <w:r>
        <w:t xml:space="preserve">Does not </w:t>
      </w:r>
      <w:r>
        <w:rPr>
          <w:b/>
        </w:rPr>
        <w:t>accept deposits</w:t>
      </w:r>
      <w:r>
        <w:t xml:space="preserve"> from public</w:t>
      </w:r>
    </w:p>
    <w:p>
      <w:pPr>
        <w:pStyle w:val="ListBullet"/>
      </w:pPr>
      <w:r>
        <w:t>Not holding itself out as a bank</w:t>
      </w:r>
    </w:p>
    <w:p>
      <w:r>
        <w:rPr>
          <w:b/>
        </w:rPr>
        <w:t>Caution</w:t>
      </w:r>
      <w:r>
        <w:t xml:space="preserve">: Some jurisdictions have </w:t>
      </w:r>
      <w:r>
        <w:rPr>
          <w:b/>
        </w:rPr>
        <w:t>broad definitions</w:t>
      </w:r>
      <w:r>
        <w:t xml:space="preserve"> of banking activity; legal review required.</w:t>
      </w:r>
    </w:p>
    <w:p>
      <w:pPr>
        <w:pStyle w:val="Heading3"/>
      </w:pPr>
      <w:r>
        <w:t>6.2 Transfer Pricing Audits</w:t>
      </w:r>
    </w:p>
    <w:p>
      <w:r>
        <w:rPr>
          <w:b/>
        </w:rPr>
        <w:t>Increasing Scrutiny</w:t>
      </w:r>
      <w:r>
        <w:t xml:space="preserve">: Financial transactions are now </w:t>
      </w:r>
      <w:r>
        <w:rPr>
          <w:b/>
        </w:rPr>
        <w:t>standard items</w:t>
      </w:r>
      <w:r>
        <w:t xml:space="preserve"> in transfer pricing audits globally.</w:t>
      </w:r>
    </w:p>
    <w:p>
      <w:r>
        <w:rPr>
          <w:b/>
        </w:rPr>
        <w:t>Common Challenges</w:t>
      </w:r>
      <w:r>
        <w:t>:</w:t>
      </w:r>
    </w:p>
    <w:p>
      <w:pPr>
        <w:pStyle w:val="ListBullet"/>
      </w:pPr>
      <w:r>
        <w:rPr>
          <w:b/>
        </w:rPr>
        <w:t>Interest rate spreads</w:t>
      </w:r>
      <w:r>
        <w:t>: Tax authorities challenge whether spreads are justified</w:t>
      </w:r>
    </w:p>
    <w:p>
      <w:pPr>
        <w:pStyle w:val="ListBullet"/>
      </w:pPr>
      <w:r>
        <w:rPr>
          <w:b/>
        </w:rPr>
        <w:t>Excessive debt</w:t>
      </w:r>
      <w:r>
        <w:t>: Borrowing entities have too much related-party debt vs. equity</w:t>
      </w:r>
    </w:p>
    <w:p>
      <w:pPr>
        <w:pStyle w:val="ListBullet"/>
      </w:pPr>
      <w:r>
        <w:rPr>
          <w:b/>
        </w:rPr>
        <w:t>Lack of substance</w:t>
      </w:r>
      <w:r>
        <w:t>: Treasury company has minimal personnel/operations</w:t>
      </w:r>
    </w:p>
    <w:p>
      <w:r>
        <w:rPr>
          <w:b/>
        </w:rPr>
        <w:t>Defense</w:t>
      </w:r>
      <w:r>
        <w:t>:</w:t>
      </w:r>
    </w:p>
    <w:p>
      <w:pPr>
        <w:pStyle w:val="ListBullet"/>
      </w:pPr>
      <w:r>
        <w:rPr>
          <w:b/>
        </w:rPr>
        <w:t>Contemporaneous documentation</w:t>
      </w:r>
      <w:r>
        <w:t>: Prepare TP study at time of loan origination</w:t>
      </w:r>
    </w:p>
    <w:p>
      <w:pPr>
        <w:pStyle w:val="ListBullet"/>
      </w:pPr>
      <w:r>
        <w:rPr>
          <w:b/>
        </w:rPr>
        <w:t>Arm's length benchmarking</w:t>
      </w:r>
      <w:r>
        <w:t>: Support interest rates with CUP or credit rating analysis</w:t>
      </w:r>
    </w:p>
    <w:p>
      <w:pPr>
        <w:pStyle w:val="ListBullet"/>
      </w:pPr>
      <w:r>
        <w:rPr>
          <w:b/>
        </w:rPr>
        <w:t>Substance</w:t>
      </w:r>
      <w:r>
        <w:t>: Demonstrate real treasury functions, personnel, decision-making</w:t>
      </w:r>
    </w:p>
    <w:p>
      <w:pPr>
        <w:spacing w:before="120" w:after="120"/>
        <w:pBdr>
          <w:bottom w:val="single" w:sz="6" w:space="1" w:color="auto"/>
        </w:pBdr>
      </w:pPr>
    </w:p>
    <w:p>
      <w:pPr>
        <w:pStyle w:val="Heading2"/>
      </w:pPr>
      <w:r>
        <w:t>WORKED EXAMPLE 1: Establishing a Group Treasury Company - Tax Efficiency Analysis</w:t>
      </w:r>
    </w:p>
    <w:p>
      <w:pPr>
        <w:pStyle w:val="Heading3"/>
      </w:pPr>
      <w:r>
        <w:t>Facts</w:t>
      </w:r>
    </w:p>
    <w:p>
      <w:r>
        <w:rPr>
          <w:b/>
        </w:rPr>
        <w:t>ArcticOil Group</w:t>
      </w:r>
      <w:r>
        <w:t xml:space="preserve">, a U.S.-based E&amp;P company, has operating subsidiaries in </w:t>
      </w:r>
      <w:r>
        <w:rPr>
          <w:b/>
        </w:rPr>
        <w:t>Norway</w:t>
      </w:r>
      <w:r>
        <w:t xml:space="preserve">, </w:t>
      </w:r>
      <w:r>
        <w:rPr>
          <w:b/>
        </w:rPr>
        <w:t>UK</w:t>
      </w:r>
      <w:r>
        <w:t xml:space="preserve">, and </w:t>
      </w:r>
      <w:r>
        <w:rPr>
          <w:b/>
        </w:rPr>
        <w:t>Angola</w:t>
      </w:r>
      <w:r>
        <w:t xml:space="preserve">. The group's total debt is </w:t>
      </w:r>
      <w:r>
        <w:rPr>
          <w:b/>
        </w:rPr>
        <w:t>$1 billion</w:t>
      </w:r>
      <w:r>
        <w:t xml:space="preserve"> borrowed externally by the </w:t>
      </w:r>
      <w:r>
        <w:rPr>
          <w:b/>
        </w:rPr>
        <w:t>U.S. parent</w:t>
      </w:r>
      <w:r>
        <w:t xml:space="preserve"> at </w:t>
      </w:r>
      <w:r>
        <w:rPr>
          <w:b/>
        </w:rPr>
        <w:t>4.5% interest</w:t>
      </w:r>
      <w:r>
        <w:t xml:space="preserve"> ($45 million annual interest).</w:t>
      </w:r>
    </w:p>
    <w:p>
      <w:r>
        <w:rPr>
          <w:b/>
        </w:rPr>
        <w:t>Current Structure</w:t>
      </w:r>
      <w:r>
        <w:t>:</w:t>
      </w:r>
    </w:p>
    <w:p>
      <w:pPr>
        <w:pStyle w:val="ListBullet"/>
      </w:pPr>
      <w:r>
        <w:t xml:space="preserve">U.S. parent provides </w:t>
      </w:r>
      <w:r>
        <w:rPr>
          <w:b/>
        </w:rPr>
        <w:t>equity funding</w:t>
      </w:r>
      <w:r>
        <w:t xml:space="preserve"> to subsidiaries</w:t>
      </w:r>
    </w:p>
    <w:p>
      <w:pPr>
        <w:pStyle w:val="ListBullet"/>
      </w:pPr>
      <w:r>
        <w:t>Subsidiaries generate cash from operations; surplus cash invested locally at low rates (1-2%)</w:t>
      </w:r>
    </w:p>
    <w:p>
      <w:r>
        <w:rPr>
          <w:b/>
        </w:rPr>
        <w:t>Proposed Structure</w:t>
      </w:r>
      <w:r>
        <w:t>:</w:t>
      </w:r>
    </w:p>
    <w:p>
      <w:pPr>
        <w:pStyle w:val="ListBullet"/>
      </w:pPr>
      <w:r>
        <w:t xml:space="preserve">Establish </w:t>
      </w:r>
      <w:r>
        <w:rPr>
          <w:b/>
        </w:rPr>
        <w:t>ArcticTreasury B.V.</w:t>
      </w:r>
      <w:r>
        <w:t xml:space="preserve"> (Netherlands) as group treasury company</w:t>
      </w:r>
    </w:p>
    <w:p>
      <w:pPr>
        <w:pStyle w:val="ListBullet"/>
      </w:pPr>
      <w:r>
        <w:rPr>
          <w:b/>
        </w:rPr>
        <w:t>U.S. parent</w:t>
      </w:r>
      <w:r>
        <w:t xml:space="preserve"> lends $1 billion to ArcticTreasury at </w:t>
      </w:r>
      <w:r>
        <w:rPr>
          <w:b/>
        </w:rPr>
        <w:t>4.5%</w:t>
      </w:r>
      <w:r>
        <w:t xml:space="preserve"> (matching external borrowing cost)</w:t>
      </w:r>
    </w:p>
    <w:p>
      <w:pPr>
        <w:pStyle w:val="ListBullet"/>
      </w:pPr>
      <w:r>
        <w:rPr>
          <w:b/>
        </w:rPr>
        <w:t>ArcticTreasury</w:t>
      </w:r>
      <w:r>
        <w:t xml:space="preserve"> on-lends to subsidiaries at </w:t>
      </w:r>
      <w:r>
        <w:rPr>
          <w:b/>
        </w:rPr>
        <w:t>6%</w:t>
      </w:r>
      <w:r>
        <w:t xml:space="preserve"> (1.5% spread)</w:t>
      </w:r>
    </w:p>
    <w:p>
      <w:pPr>
        <w:pStyle w:val="ListBullet"/>
      </w:pPr>
      <w:r>
        <w:t xml:space="preserve">Subsidiaries remit surplus cash to ArcticTreasury, earning </w:t>
      </w:r>
      <w:r>
        <w:rPr>
          <w:b/>
        </w:rPr>
        <w:t>2.5%</w:t>
      </w:r>
      <w:r>
        <w:t xml:space="preserve"> interest</w:t>
      </w:r>
    </w:p>
    <w:p>
      <w:r>
        <w:rPr>
          <w:b/>
        </w:rPr>
        <w:t>Loan Allocations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Subsidiary</w:t>
            </w:r>
          </w:p>
        </w:tc>
        <w:tc>
          <w:tcPr>
            <w:tcW w:type="dxa" w:w="2880"/>
          </w:tcPr>
          <w:p>
            <w:r>
              <w:rPr>
                <w:b/>
              </w:rPr>
            </w:r>
            <w:r>
              <w:rPr>
                <w:b/>
              </w:rPr>
              <w:t>Loan Amount</w:t>
            </w:r>
          </w:p>
        </w:tc>
        <w:tc>
          <w:tcPr>
            <w:tcW w:type="dxa" w:w="2880"/>
          </w:tcPr>
          <w:p>
            <w:r>
              <w:rPr>
                <w:b/>
              </w:rPr>
            </w:r>
            <w:r>
              <w:rPr>
                <w:b/>
              </w:rPr>
              <w:t>Annual Interest at 6%</w:t>
            </w:r>
          </w:p>
        </w:tc>
      </w:tr>
      <w:tr>
        <w:tc>
          <w:tcPr>
            <w:tcW w:type="dxa" w:w="2880"/>
          </w:tcPr>
          <w:p>
            <w:r/>
            <w:r>
              <w:rPr>
                <w:b/>
              </w:rPr>
              <w:t>Norway</w:t>
            </w:r>
          </w:p>
        </w:tc>
        <w:tc>
          <w:tcPr>
            <w:tcW w:type="dxa" w:w="2880"/>
          </w:tcPr>
          <w:p>
            <w:r/>
            <w:r>
              <w:t>$400M</w:t>
            </w:r>
          </w:p>
        </w:tc>
        <w:tc>
          <w:tcPr>
            <w:tcW w:type="dxa" w:w="2880"/>
          </w:tcPr>
          <w:p>
            <w:r/>
            <w:r>
              <w:t>$24M</w:t>
            </w:r>
          </w:p>
        </w:tc>
      </w:tr>
      <w:tr>
        <w:tc>
          <w:tcPr>
            <w:tcW w:type="dxa" w:w="2880"/>
          </w:tcPr>
          <w:p>
            <w:r/>
            <w:r>
              <w:rPr>
                <w:b/>
              </w:rPr>
              <w:t>UK</w:t>
            </w:r>
          </w:p>
        </w:tc>
        <w:tc>
          <w:tcPr>
            <w:tcW w:type="dxa" w:w="2880"/>
          </w:tcPr>
          <w:p>
            <w:r/>
            <w:r>
              <w:t>$300M</w:t>
            </w:r>
          </w:p>
        </w:tc>
        <w:tc>
          <w:tcPr>
            <w:tcW w:type="dxa" w:w="2880"/>
          </w:tcPr>
          <w:p>
            <w:r/>
            <w:r>
              <w:t>$18M</w:t>
            </w:r>
          </w:p>
        </w:tc>
      </w:tr>
      <w:tr>
        <w:tc>
          <w:tcPr>
            <w:tcW w:type="dxa" w:w="2880"/>
          </w:tcPr>
          <w:p>
            <w:r/>
            <w:r>
              <w:rPr>
                <w:b/>
              </w:rPr>
              <w:t>Angola</w:t>
            </w:r>
          </w:p>
        </w:tc>
        <w:tc>
          <w:tcPr>
            <w:tcW w:type="dxa" w:w="2880"/>
          </w:tcPr>
          <w:p>
            <w:r/>
            <w:r>
              <w:t>$300M</w:t>
            </w:r>
          </w:p>
        </w:tc>
        <w:tc>
          <w:tcPr>
            <w:tcW w:type="dxa" w:w="2880"/>
          </w:tcPr>
          <w:p>
            <w:r/>
            <w:r>
              <w:t>$18M</w:t>
            </w:r>
          </w:p>
        </w:tc>
      </w:tr>
      <w:tr>
        <w:tc>
          <w:tcPr>
            <w:tcW w:type="dxa" w:w="2880"/>
          </w:tcPr>
          <w:p>
            <w:r/>
            <w:r>
              <w:rPr>
                <w:b/>
              </w:rPr>
              <w:t>Total</w:t>
            </w:r>
          </w:p>
        </w:tc>
        <w:tc>
          <w:tcPr>
            <w:tcW w:type="dxa" w:w="2880"/>
          </w:tcPr>
          <w:p>
            <w:r/>
            <w:r>
              <w:rPr>
                <w:b/>
              </w:rPr>
              <w:t>$1,000M</w:t>
            </w:r>
          </w:p>
        </w:tc>
        <w:tc>
          <w:tcPr>
            <w:tcW w:type="dxa" w:w="2880"/>
          </w:tcPr>
          <w:p>
            <w:r/>
            <w:r>
              <w:rPr>
                <w:b/>
              </w:rPr>
              <w:t>$60M</w:t>
            </w:r>
          </w:p>
        </w:tc>
      </w:tr>
    </w:tbl>
    <w:p/>
    <w:p>
      <w:r>
        <w:rPr>
          <w:b/>
        </w:rPr>
        <w:t>Tax Rates</w:t>
      </w:r>
      <w:r>
        <w:t>:</w:t>
      </w:r>
    </w:p>
    <w:p>
      <w:pPr>
        <w:pStyle w:val="ListBullet"/>
      </w:pPr>
      <w:r>
        <w:rPr>
          <w:b/>
        </w:rPr>
        <w:t>U.S.</w:t>
      </w:r>
      <w:r>
        <w:t>: 21%</w:t>
      </w:r>
    </w:p>
    <w:p>
      <w:pPr>
        <w:pStyle w:val="ListBullet"/>
      </w:pPr>
      <w:r>
        <w:rPr>
          <w:b/>
        </w:rPr>
        <w:t>Netherlands</w:t>
      </w:r>
      <w:r>
        <w:t>: 25.8%</w:t>
      </w:r>
    </w:p>
    <w:p>
      <w:pPr>
        <w:pStyle w:val="ListBullet"/>
      </w:pPr>
      <w:r>
        <w:rPr>
          <w:b/>
        </w:rPr>
        <w:t>Norway</w:t>
      </w:r>
      <w:r>
        <w:t>: 22%</w:t>
      </w:r>
    </w:p>
    <w:p>
      <w:pPr>
        <w:pStyle w:val="ListBullet"/>
      </w:pPr>
      <w:r>
        <w:rPr>
          <w:b/>
        </w:rPr>
        <w:t>UK</w:t>
      </w:r>
      <w:r>
        <w:t>: 25%</w:t>
      </w:r>
    </w:p>
    <w:p>
      <w:pPr>
        <w:pStyle w:val="ListBullet"/>
      </w:pPr>
      <w:r>
        <w:rPr>
          <w:b/>
        </w:rPr>
        <w:t>Angola</w:t>
      </w:r>
      <w:r>
        <w:t>: 25% (standard corporate tax; petroleum industry subject to special Petroleum Income Tax rates of 50-65.75%)</w:t>
      </w:r>
    </w:p>
    <w:p>
      <w:r>
        <w:rPr>
          <w:b/>
        </w:rPr>
        <w:t>Withholding Tax on Interest</w:t>
      </w:r>
      <w:r>
        <w:t xml:space="preserve"> (to Netherlands):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Country</w:t>
            </w:r>
          </w:p>
        </w:tc>
        <w:tc>
          <w:tcPr>
            <w:tcW w:type="dxa" w:w="2880"/>
          </w:tcPr>
          <w:p>
            <w:r>
              <w:rPr>
                <w:b/>
              </w:rPr>
            </w:r>
            <w:r>
              <w:rPr>
                <w:b/>
              </w:rPr>
              <w:t>Domestic WHT</w:t>
            </w:r>
          </w:p>
        </w:tc>
        <w:tc>
          <w:tcPr>
            <w:tcW w:type="dxa" w:w="2880"/>
          </w:tcPr>
          <w:p>
            <w:r>
              <w:rPr>
                <w:b/>
              </w:rPr>
            </w:r>
            <w:r>
              <w:rPr>
                <w:b/>
              </w:rPr>
              <w:t>Treaty WHT</w:t>
            </w:r>
          </w:p>
        </w:tc>
      </w:tr>
      <w:tr>
        <w:tc>
          <w:tcPr>
            <w:tcW w:type="dxa" w:w="2880"/>
          </w:tcPr>
          <w:p>
            <w:r/>
            <w:r>
              <w:t>Norway</w:t>
            </w:r>
          </w:p>
        </w:tc>
        <w:tc>
          <w:tcPr>
            <w:tcW w:type="dxa" w:w="2880"/>
          </w:tcPr>
          <w:p>
            <w:r/>
            <w:r>
              <w:t>0%</w:t>
            </w:r>
          </w:p>
        </w:tc>
        <w:tc>
          <w:tcPr>
            <w:tcW w:type="dxa" w:w="2880"/>
          </w:tcPr>
          <w:p>
            <w:r/>
            <w:r>
              <w:t>0%</w:t>
            </w:r>
          </w:p>
        </w:tc>
      </w:tr>
      <w:tr>
        <w:tc>
          <w:tcPr>
            <w:tcW w:type="dxa" w:w="2880"/>
          </w:tcPr>
          <w:p>
            <w:r/>
            <w:r>
              <w:t>UK</w:t>
            </w:r>
          </w:p>
        </w:tc>
        <w:tc>
          <w:tcPr>
            <w:tcW w:type="dxa" w:w="2880"/>
          </w:tcPr>
          <w:p>
            <w:r/>
            <w:r>
              <w:t>0%</w:t>
            </w:r>
          </w:p>
        </w:tc>
        <w:tc>
          <w:tcPr>
            <w:tcW w:type="dxa" w:w="2880"/>
          </w:tcPr>
          <w:p>
            <w:r/>
            <w:r>
              <w:t>0%</w:t>
            </w:r>
          </w:p>
        </w:tc>
      </w:tr>
      <w:tr>
        <w:tc>
          <w:tcPr>
            <w:tcW w:type="dxa" w:w="2880"/>
          </w:tcPr>
          <w:p>
            <w:r/>
            <w:r>
              <w:t>Angola</w:t>
            </w:r>
          </w:p>
        </w:tc>
        <w:tc>
          <w:tcPr>
            <w:tcW w:type="dxa" w:w="2880"/>
          </w:tcPr>
          <w:p>
            <w:r/>
            <w:r>
              <w:t>15%</w:t>
            </w:r>
          </w:p>
        </w:tc>
        <w:tc>
          <w:tcPr>
            <w:tcW w:type="dxa" w:w="2880"/>
          </w:tcPr>
          <w:p>
            <w:r/>
            <w:r>
              <w:t>15% (no treaty)</w:t>
            </w:r>
          </w:p>
        </w:tc>
      </w:tr>
    </w:tbl>
    <w:p/>
    <w:p>
      <w:pPr>
        <w:pStyle w:val="Heading3"/>
      </w:pPr>
      <w:r>
        <w:t>Required</w:t>
      </w:r>
    </w:p>
    <w:p>
      <w:pPr>
        <w:pStyle w:val="ListNumber"/>
      </w:pPr>
      <w:r>
        <w:t xml:space="preserve">Calculate </w:t>
      </w:r>
      <w:r>
        <w:rPr>
          <w:b/>
        </w:rPr>
        <w:t>group tax position</w:t>
      </w:r>
      <w:r>
        <w:t xml:space="preserve"> under current structure vs. proposed structure</w:t>
      </w:r>
    </w:p>
    <w:p>
      <w:pPr>
        <w:pStyle w:val="ListNumber"/>
      </w:pPr>
      <w:r>
        <w:t xml:space="preserve">Assess </w:t>
      </w:r>
      <w:r>
        <w:rPr>
          <w:b/>
        </w:rPr>
        <w:t>transfer pricing risks</w:t>
      </w:r>
      <w:r>
        <w:t xml:space="preserve"> for the 1.5% spread</w:t>
      </w:r>
    </w:p>
    <w:p>
      <w:pPr>
        <w:pStyle w:val="ListNumber"/>
      </w:pPr>
      <w:r>
        <w:t xml:space="preserve">Determine </w:t>
      </w:r>
      <w:r>
        <w:rPr>
          <w:b/>
        </w:rPr>
        <w:t>substance requirements</w:t>
      </w:r>
      <w:r>
        <w:t xml:space="preserve"> for ArcticTreasury B.V.</w:t>
      </w:r>
    </w:p>
    <w:p>
      <w:pPr>
        <w:pStyle w:val="ListNumber"/>
      </w:pPr>
      <w:r>
        <w:t>Recommend whether to proceed with the restructuring</w:t>
      </w:r>
    </w:p>
    <w:p>
      <w:pPr>
        <w:pStyle w:val="Heading3"/>
      </w:pPr>
      <w:r>
        <w:t>Analysis</w:t>
      </w:r>
    </w:p>
    <w:p>
      <w:r>
        <w:rPr>
          <w:b/>
        </w:rPr>
        <w:t>Step 1: Current Structure - Group Tax Position</w:t>
      </w:r>
    </w:p>
    <w:p>
      <w:r>
        <w:rPr>
          <w:b/>
        </w:rPr>
        <w:t>U.S. Parent</w:t>
      </w:r>
      <w:r>
        <w:t>:</w:t>
      </w:r>
    </w:p>
    <w:p>
      <w:pPr>
        <w:shd w:fill="F0F0F0"/>
        <w:spacing w:after="0" w:line="240" w:lineRule="auto"/>
      </w:pPr>
      <w:r>
        <w:rPr>
          <w:rFonts w:ascii="Courier New" w:hAnsi="Courier New"/>
          <w:sz w:val="20"/>
        </w:rPr>
        <w:t>External interest expense: $45M</w:t>
      </w:r>
    </w:p>
    <w:p>
      <w:pPr>
        <w:shd w:fill="F0F0F0"/>
        <w:spacing w:after="0" w:line="240" w:lineRule="auto"/>
      </w:pPr>
      <w:r>
        <w:rPr>
          <w:rFonts w:ascii="Courier New" w:hAnsi="Courier New"/>
          <w:sz w:val="20"/>
        </w:rPr>
        <w:t>U.S. tax shield at 21%: $9.45M (tax benefit)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Subsidiaries' surplus cash invested locally at 1-2%:</w:t>
      </w:r>
    </w:p>
    <w:p>
      <w:pPr>
        <w:shd w:fill="F0F0F0"/>
        <w:spacing w:after="0" w:line="240" w:lineRule="auto"/>
      </w:pPr>
      <w:r>
        <w:rPr>
          <w:rFonts w:ascii="Courier New" w:hAnsi="Courier New"/>
          <w:sz w:val="20"/>
        </w:rPr>
        <w:t>Assume average $200M surplus earning 1.5% = $3M</w:t>
      </w:r>
    </w:p>
    <w:p>
      <w:pPr>
        <w:shd w:fill="F0F0F0"/>
        <w:spacing w:after="0" w:line="240" w:lineRule="auto"/>
      </w:pPr>
      <w:r>
        <w:rPr>
          <w:rFonts w:ascii="Courier New" w:hAnsi="Courier New"/>
          <w:sz w:val="20"/>
        </w:rPr>
        <w:t>Tax on interest income (weighted average 25%): $750K</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Net group tax cost: $750K - $9.45M = $(8.7M) (net benefit)</w:t>
      </w:r>
    </w:p>
    <w:p/>
    <w:p>
      <w:r>
        <w:rPr>
          <w:b/>
        </w:rPr>
        <w:t>Step 2: Proposed Structure - Group Tax Position</w:t>
      </w:r>
    </w:p>
    <w:p>
      <w:r>
        <w:rPr>
          <w:b/>
        </w:rPr>
        <w:t>U.S. Parent</w:t>
      </w:r>
      <w:r>
        <w:t>:</w:t>
      </w:r>
    </w:p>
    <w:p>
      <w:pPr>
        <w:shd w:fill="F0F0F0"/>
        <w:spacing w:after="0" w:line="240" w:lineRule="auto"/>
      </w:pPr>
      <w:r>
        <w:rPr>
          <w:rFonts w:ascii="Courier New" w:hAnsi="Courier New"/>
          <w:sz w:val="20"/>
        </w:rPr>
        <w:t>Interest income from ArcticTreasury: $45M (at 4.5%)</w:t>
      </w:r>
    </w:p>
    <w:p>
      <w:pPr>
        <w:shd w:fill="F0F0F0"/>
        <w:spacing w:after="0" w:line="240" w:lineRule="auto"/>
      </w:pPr>
      <w:r>
        <w:rPr>
          <w:rFonts w:ascii="Courier New" w:hAnsi="Courier New"/>
          <w:sz w:val="20"/>
        </w:rPr>
        <w:t>Interest expense on external debt: $45M</w:t>
      </w:r>
    </w:p>
    <w:p>
      <w:pPr>
        <w:shd w:fill="F0F0F0"/>
        <w:spacing w:after="0" w:line="240" w:lineRule="auto"/>
      </w:pPr>
      <w:r>
        <w:rPr>
          <w:rFonts w:ascii="Courier New" w:hAnsi="Courier New"/>
          <w:sz w:val="20"/>
        </w:rPr>
        <w:t>Net interest income/expense: $0</w:t>
      </w:r>
    </w:p>
    <w:p>
      <w:pPr>
        <w:shd w:fill="F0F0F0"/>
        <w:spacing w:after="0" w:line="240" w:lineRule="auto"/>
      </w:pPr>
      <w:r>
        <w:rPr>
          <w:rFonts w:ascii="Courier New" w:hAnsi="Courier New"/>
          <w:sz w:val="20"/>
        </w:rPr>
        <w:t>No U.S. tax impact</w:t>
      </w:r>
    </w:p>
    <w:p/>
    <w:p>
      <w:r>
        <w:rPr>
          <w:b/>
        </w:rPr>
        <w:t>ArcticTreasury B.V. (Netherlands)</w:t>
      </w:r>
      <w:r>
        <w:t>:</w:t>
      </w:r>
    </w:p>
    <w:p>
      <w:pPr>
        <w:shd w:fill="F0F0F0"/>
        <w:spacing w:after="0" w:line="240" w:lineRule="auto"/>
      </w:pPr>
      <w:r>
        <w:rPr>
          <w:rFonts w:ascii="Courier New" w:hAnsi="Courier New"/>
          <w:sz w:val="20"/>
        </w:rPr>
        <w:t>Interest income from subsidiaries: $60M</w:t>
      </w:r>
    </w:p>
    <w:p>
      <w:pPr>
        <w:shd w:fill="F0F0F0"/>
        <w:spacing w:after="0" w:line="240" w:lineRule="auto"/>
      </w:pPr>
      <w:r>
        <w:rPr>
          <w:rFonts w:ascii="Courier New" w:hAnsi="Courier New"/>
          <w:sz w:val="20"/>
        </w:rPr>
        <w:t>Interest expense to U.S. parent: $45M</w:t>
      </w:r>
    </w:p>
    <w:p>
      <w:pPr>
        <w:shd w:fill="F0F0F0"/>
        <w:spacing w:after="0" w:line="240" w:lineRule="auto"/>
      </w:pPr>
      <w:r>
        <w:rPr>
          <w:rFonts w:ascii="Courier New" w:hAnsi="Courier New"/>
          <w:sz w:val="20"/>
        </w:rPr>
        <w:t>Net interest income: $15M (1.5% spread × $1,000M)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Netherlands tax at 25.8%: $3.87M</w:t>
      </w:r>
    </w:p>
    <w:p/>
    <w:p>
      <w:r>
        <w:rPr>
          <w:b/>
        </w:rPr>
        <w:t>Operating Subsidiaries - Interest Deductions</w:t>
      </w:r>
      <w:r>
        <w:t>:</w:t>
      </w:r>
    </w:p>
    <w:p>
      <w:r>
        <w:rPr>
          <w:b/>
        </w:rPr>
        <w:t>Norway</w:t>
      </w:r>
      <w:r>
        <w:t>:</w:t>
      </w:r>
    </w:p>
    <w:p>
      <w:pPr>
        <w:shd w:fill="F0F0F0"/>
        <w:spacing w:after="0" w:line="240" w:lineRule="auto"/>
      </w:pPr>
      <w:r>
        <w:rPr>
          <w:rFonts w:ascii="Courier New" w:hAnsi="Courier New"/>
          <w:sz w:val="20"/>
        </w:rPr>
        <w:t>Interest expense: $24M</w:t>
      </w:r>
    </w:p>
    <w:p>
      <w:pPr>
        <w:shd w:fill="F0F0F0"/>
        <w:spacing w:after="0" w:line="240" w:lineRule="auto"/>
      </w:pPr>
      <w:r>
        <w:rPr>
          <w:rFonts w:ascii="Courier New" w:hAnsi="Courier New"/>
          <w:sz w:val="20"/>
        </w:rPr>
        <w:t>Tax shield at 22%: $5.28M</w:t>
      </w:r>
    </w:p>
    <w:p>
      <w:pPr>
        <w:shd w:fill="F0F0F0"/>
        <w:spacing w:after="0" w:line="240" w:lineRule="auto"/>
      </w:pPr>
      <w:r>
        <w:rPr>
          <w:rFonts w:ascii="Courier New" w:hAnsi="Courier New"/>
          <w:sz w:val="20"/>
        </w:rPr>
        <w:t>Norway WHT on interest: 0%</w:t>
      </w:r>
    </w:p>
    <w:p>
      <w:pPr>
        <w:shd w:fill="F0F0F0"/>
        <w:spacing w:after="0" w:line="240" w:lineRule="auto"/>
      </w:pPr>
      <w:r>
        <w:rPr>
          <w:rFonts w:ascii="Courier New" w:hAnsi="Courier New"/>
          <w:sz w:val="20"/>
        </w:rPr>
        <w:t>Net benefit: $5.28M</w:t>
      </w:r>
    </w:p>
    <w:p/>
    <w:p>
      <w:r>
        <w:rPr>
          <w:b/>
        </w:rPr>
        <w:t>UK</w:t>
      </w:r>
      <w:r>
        <w:t>:</w:t>
      </w:r>
    </w:p>
    <w:p>
      <w:pPr>
        <w:shd w:fill="F0F0F0"/>
        <w:spacing w:after="0" w:line="240" w:lineRule="auto"/>
      </w:pPr>
      <w:r>
        <w:rPr>
          <w:rFonts w:ascii="Courier New" w:hAnsi="Courier New"/>
          <w:sz w:val="20"/>
        </w:rPr>
        <w:t>Interest expense: $18M</w:t>
      </w:r>
    </w:p>
    <w:p>
      <w:pPr>
        <w:shd w:fill="F0F0F0"/>
        <w:spacing w:after="0" w:line="240" w:lineRule="auto"/>
      </w:pPr>
      <w:r>
        <w:rPr>
          <w:rFonts w:ascii="Courier New" w:hAnsi="Courier New"/>
          <w:sz w:val="20"/>
        </w:rPr>
        <w:t>Tax shield at 25%: $4.5M</w:t>
      </w:r>
    </w:p>
    <w:p>
      <w:pPr>
        <w:shd w:fill="F0F0F0"/>
        <w:spacing w:after="0" w:line="240" w:lineRule="auto"/>
      </w:pPr>
      <w:r>
        <w:rPr>
          <w:rFonts w:ascii="Courier New" w:hAnsi="Courier New"/>
          <w:sz w:val="20"/>
        </w:rPr>
        <w:t>UK WHT: 0%</w:t>
      </w:r>
    </w:p>
    <w:p>
      <w:pPr>
        <w:shd w:fill="F0F0F0"/>
        <w:spacing w:after="0" w:line="240" w:lineRule="auto"/>
      </w:pPr>
      <w:r>
        <w:rPr>
          <w:rFonts w:ascii="Courier New" w:hAnsi="Courier New"/>
          <w:sz w:val="20"/>
        </w:rPr>
        <w:t>Net benefit: $4.5M</w:t>
      </w:r>
    </w:p>
    <w:p/>
    <w:p>
      <w:r>
        <w:rPr>
          <w:b/>
        </w:rPr>
        <w:t>Angola</w:t>
      </w:r>
      <w:r>
        <w:t>:</w:t>
      </w:r>
    </w:p>
    <w:p>
      <w:pPr>
        <w:shd w:fill="F0F0F0"/>
        <w:spacing w:after="0" w:line="240" w:lineRule="auto"/>
      </w:pPr>
      <w:r>
        <w:rPr>
          <w:rFonts w:ascii="Courier New" w:hAnsi="Courier New"/>
          <w:sz w:val="20"/>
        </w:rPr>
        <w:t>Interest expense: $18M</w:t>
      </w:r>
    </w:p>
    <w:p>
      <w:pPr>
        <w:shd w:fill="F0F0F0"/>
        <w:spacing w:after="0" w:line="240" w:lineRule="auto"/>
      </w:pPr>
      <w:r>
        <w:rPr>
          <w:rFonts w:ascii="Courier New" w:hAnsi="Courier New"/>
          <w:sz w:val="20"/>
        </w:rPr>
        <w:t>Angola WHT at 15%: $2.7M</w:t>
      </w:r>
    </w:p>
    <w:p>
      <w:pPr>
        <w:shd w:fill="F0F0F0"/>
        <w:spacing w:after="0" w:line="240" w:lineRule="auto"/>
      </w:pPr>
      <w:r>
        <w:rPr>
          <w:rFonts w:ascii="Courier New" w:hAnsi="Courier New"/>
          <w:sz w:val="20"/>
        </w:rPr>
        <w:t>Net interest expense after WHT: $15.3M</w:t>
      </w:r>
    </w:p>
    <w:p>
      <w:pPr>
        <w:shd w:fill="F0F0F0"/>
        <w:spacing w:after="0" w:line="240" w:lineRule="auto"/>
      </w:pPr>
      <w:r>
        <w:rPr>
          <w:rFonts w:ascii="Courier New" w:hAnsi="Courier New"/>
          <w:sz w:val="20"/>
        </w:rPr>
        <w:t>Tax shield at 25%: $4.5M (on gross $18M)</w:t>
      </w:r>
    </w:p>
    <w:p>
      <w:pPr>
        <w:shd w:fill="F0F0F0"/>
        <w:spacing w:after="0" w:line="240" w:lineRule="auto"/>
      </w:pPr>
      <w:r>
        <w:rPr>
          <w:rFonts w:ascii="Courier New" w:hAnsi="Courier New"/>
          <w:sz w:val="20"/>
        </w:rPr>
        <w:t>Effective benefit: $4.5M - $2.7M = $1.8M</w:t>
      </w:r>
    </w:p>
    <w:p/>
    <w:p>
      <w:r>
        <w:rPr>
          <w:b/>
        </w:rPr>
        <w:t>Total Group Tax Position (Proposed Structure)</w:t>
      </w:r>
      <w:r>
        <w:t>:</w:t>
      </w:r>
    </w:p>
    <w:p>
      <w:pPr>
        <w:shd w:fill="F0F0F0"/>
        <w:spacing w:after="0" w:line="240" w:lineRule="auto"/>
      </w:pPr>
      <w:r>
        <w:rPr>
          <w:rFonts w:ascii="Courier New" w:hAnsi="Courier New"/>
          <w:sz w:val="20"/>
        </w:rPr>
        <w:t>Tax benefits from interest deductions: $5.28M + $4.5M + $1.8M = $11.58M</w:t>
      </w:r>
    </w:p>
    <w:p>
      <w:pPr>
        <w:shd w:fill="F0F0F0"/>
        <w:spacing w:after="0" w:line="240" w:lineRule="auto"/>
      </w:pPr>
      <w:r>
        <w:rPr>
          <w:rFonts w:ascii="Courier New" w:hAnsi="Courier New"/>
          <w:sz w:val="20"/>
        </w:rPr>
        <w:t>Less: Netherlands tax on treasury: $3.87M</w:t>
      </w:r>
    </w:p>
    <w:p>
      <w:pPr>
        <w:shd w:fill="F0F0F0"/>
        <w:spacing w:after="0" w:line="240" w:lineRule="auto"/>
      </w:pPr>
      <w:r>
        <w:rPr>
          <w:rFonts w:ascii="Courier New" w:hAnsi="Courier New"/>
          <w:sz w:val="20"/>
        </w:rPr>
        <w:t>Net group tax benefit: $11.58M - $3.87M = $7.71M</w:t>
      </w:r>
    </w:p>
    <w:p/>
    <w:p>
      <w:r>
        <w:rPr>
          <w:b/>
        </w:rPr>
        <w:t>Comparison</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Structure</w:t>
            </w:r>
          </w:p>
        </w:tc>
        <w:tc>
          <w:tcPr>
            <w:tcW w:type="dxa" w:w="4320"/>
          </w:tcPr>
          <w:p>
            <w:r>
              <w:rPr>
                <w:b/>
              </w:rPr>
            </w:r>
            <w:r>
              <w:rPr>
                <w:b/>
              </w:rPr>
              <w:t>Net Group Tax Benefit</w:t>
            </w:r>
          </w:p>
        </w:tc>
      </w:tr>
      <w:tr>
        <w:tc>
          <w:tcPr>
            <w:tcW w:type="dxa" w:w="4320"/>
          </w:tcPr>
          <w:p>
            <w:r/>
            <w:r>
              <w:rPr>
                <w:b/>
              </w:rPr>
              <w:t>Current (equity-funded)</w:t>
            </w:r>
          </w:p>
        </w:tc>
        <w:tc>
          <w:tcPr>
            <w:tcW w:type="dxa" w:w="4320"/>
          </w:tcPr>
          <w:p>
            <w:r/>
            <w:r>
              <w:t>$8.7M</w:t>
            </w:r>
          </w:p>
        </w:tc>
      </w:tr>
      <w:tr>
        <w:tc>
          <w:tcPr>
            <w:tcW w:type="dxa" w:w="4320"/>
          </w:tcPr>
          <w:p>
            <w:r/>
            <w:r>
              <w:rPr>
                <w:b/>
              </w:rPr>
              <w:t>Proposed (Treasury Co)</w:t>
            </w:r>
          </w:p>
        </w:tc>
        <w:tc>
          <w:tcPr>
            <w:tcW w:type="dxa" w:w="4320"/>
          </w:tcPr>
          <w:p>
            <w:r/>
            <w:r>
              <w:t>$7.71M</w:t>
            </w:r>
          </w:p>
        </w:tc>
      </w:tr>
      <w:tr>
        <w:tc>
          <w:tcPr>
            <w:tcW w:type="dxa" w:w="4320"/>
          </w:tcPr>
          <w:p>
            <w:r/>
            <w:r>
              <w:rPr>
                <w:b/>
              </w:rPr>
              <w:t>Difference</w:t>
            </w:r>
          </w:p>
        </w:tc>
        <w:tc>
          <w:tcPr>
            <w:tcW w:type="dxa" w:w="4320"/>
          </w:tcPr>
          <w:p>
            <w:r/>
            <w:r>
              <w:t>$(990K) - materially worse</w:t>
            </w:r>
          </w:p>
        </w:tc>
      </w:tr>
    </w:tbl>
    <w:p/>
    <w:p>
      <w:r>
        <w:rPr>
          <w:b/>
        </w:rPr>
        <w:t>Why no material benefit?</w:t>
      </w:r>
    </w:p>
    <w:p>
      <w:r>
        <w:t xml:space="preserve">The current structure already captures the </w:t>
      </w:r>
      <w:r>
        <w:rPr>
          <w:b/>
        </w:rPr>
        <w:t>U.S. interest deduction</w:t>
      </w:r>
      <w:r>
        <w:t xml:space="preserve"> ($9.45M benefit). The proposed structure:</w:t>
      </w:r>
    </w:p>
    <w:p>
      <w:pPr>
        <w:pStyle w:val="ListBullet"/>
      </w:pPr>
      <w:r>
        <w:rPr>
          <w:b/>
        </w:rPr>
        <w:t>Shifts</w:t>
      </w:r>
      <w:r>
        <w:t xml:space="preserve"> the deduction to subsidiaries (lower blended effective tax rate: 24% vs. U.S. 21%, considering Angola's 25% rate and 15% WHT)</w:t>
      </w:r>
    </w:p>
    <w:p>
      <w:pPr>
        <w:pStyle w:val="ListBullet"/>
      </w:pPr>
      <w:r>
        <w:rPr>
          <w:b/>
        </w:rPr>
        <w:t>Adds</w:t>
      </w:r>
      <w:r>
        <w:t xml:space="preserve"> Netherlands tax on spread ($3.87M)</w:t>
      </w:r>
    </w:p>
    <w:p>
      <w:pPr>
        <w:pStyle w:val="ListBullet"/>
      </w:pPr>
      <w:r>
        <w:rPr>
          <w:b/>
        </w:rPr>
        <w:t>Adds</w:t>
      </w:r>
      <w:r>
        <w:t xml:space="preserve"> Angola WHT ($2.7M, which reduces the net benefit from Angola operations)</w:t>
      </w:r>
    </w:p>
    <w:p>
      <w:r>
        <w:rPr>
          <w:b/>
        </w:rPr>
        <w:t>Net result</w:t>
      </w:r>
      <w:r>
        <w:t>: Proposed structure is materially worse, delivering approximately $1M less in tax benefits.</w:t>
      </w:r>
    </w:p>
    <w:p>
      <w:r>
        <w:rPr>
          <w:b/>
        </w:rPr>
        <w:t>Step 3: Transfer Pricing Analysis - 1.5% Spread</w:t>
      </w:r>
    </w:p>
    <w:p>
      <w:r>
        <w:rPr>
          <w:b/>
        </w:rPr>
        <w:t>Question</w:t>
      </w:r>
      <w:r>
        <w:t>: Is the 1.5% spread charged by ArcticTreasury arm's length?</w:t>
      </w:r>
    </w:p>
    <w:p>
      <w:r>
        <w:rPr>
          <w:b/>
        </w:rPr>
        <w:t>Benchmark</w:t>
      </w:r>
      <w:r>
        <w:t xml:space="preserve">: Bank spreads for treasury services typically range from </w:t>
      </w:r>
      <w:r>
        <w:rPr>
          <w:b/>
        </w:rPr>
        <w:t>0.5% to 2.5%</w:t>
      </w:r>
      <w:r>
        <w:t xml:space="preserve"> depending on:</w:t>
      </w:r>
    </w:p>
    <w:p>
      <w:pPr>
        <w:pStyle w:val="ListBullet"/>
      </w:pPr>
      <w:r>
        <w:rPr>
          <w:b/>
        </w:rPr>
        <w:t>Services provided</w:t>
      </w:r>
      <w:r>
        <w:t>: Pure intermediation vs. active credit management</w:t>
      </w:r>
    </w:p>
    <w:p>
      <w:pPr>
        <w:pStyle w:val="ListBullet"/>
      </w:pPr>
      <w:r>
        <w:rPr>
          <w:b/>
        </w:rPr>
        <w:t>Risk assumption</w:t>
      </w:r>
      <w:r>
        <w:t>: Does treasury company assume credit risk or merely pass through?</w:t>
      </w:r>
    </w:p>
    <w:p>
      <w:pPr>
        <w:pStyle w:val="ListBullet"/>
      </w:pPr>
      <w:r>
        <w:rPr>
          <w:b/>
        </w:rPr>
        <w:t>Loan characteristics</w:t>
      </w:r>
      <w:r>
        <w:t>: Size, term, collateral</w:t>
      </w:r>
    </w:p>
    <w:p>
      <w:r>
        <w:rPr>
          <w:b/>
        </w:rPr>
        <w:t>ArcticTreasury Functions</w:t>
      </w:r>
      <w:r>
        <w:t>:</w:t>
      </w:r>
    </w:p>
    <w:p>
      <w:pPr>
        <w:pStyle w:val="ListBullet"/>
      </w:pPr>
      <w:r>
        <w:rPr>
          <w:b/>
        </w:rPr>
        <w:t>Assume</w:t>
      </w:r>
      <w:r>
        <w:t>: Active credit assessment of subsidiaries</w:t>
      </w:r>
    </w:p>
    <w:p>
      <w:pPr>
        <w:pStyle w:val="ListBullet"/>
      </w:pPr>
      <w:r>
        <w:rPr>
          <w:b/>
        </w:rPr>
        <w:t>Monitoring</w:t>
      </w:r>
      <w:r>
        <w:t>: Quarterly financial review</w:t>
      </w:r>
    </w:p>
    <w:p>
      <w:pPr>
        <w:pStyle w:val="ListBullet"/>
      </w:pPr>
      <w:r>
        <w:rPr>
          <w:b/>
        </w:rPr>
        <w:t>Cash pooling</w:t>
      </w:r>
      <w:r>
        <w:t>: Manages group liquidity</w:t>
      </w:r>
    </w:p>
    <w:p>
      <w:pPr>
        <w:pStyle w:val="ListBullet"/>
      </w:pPr>
      <w:r>
        <w:rPr>
          <w:b/>
        </w:rPr>
        <w:t>FX hedging</w:t>
      </w:r>
      <w:r>
        <w:t>: Centralized FX transactions</w:t>
      </w:r>
    </w:p>
    <w:p>
      <w:r>
        <w:rPr>
          <w:b/>
        </w:rPr>
        <w:t>Benchmark Range</w:t>
      </w:r>
      <w:r>
        <w:t>: 1-2% for comparable treasury service spreads</w:t>
      </w:r>
    </w:p>
    <w:p>
      <w:r>
        <w:rPr>
          <w:b/>
        </w:rPr>
        <w:t>Conclusion</w:t>
      </w:r>
      <w:r>
        <w:t xml:space="preserve">: </w:t>
      </w:r>
      <w:r>
        <w:rPr>
          <w:b/>
        </w:rPr>
        <w:t>1.5% spread is defensible</w:t>
      </w:r>
      <w:r>
        <w:t xml:space="preserve"> as arm's length, provided ArcticTreasury has adequate substance.</w:t>
      </w:r>
    </w:p>
    <w:p>
      <w:r>
        <w:rPr>
          <w:b/>
        </w:rPr>
        <w:t>Step 4: Substance Requirements</w:t>
      </w:r>
    </w:p>
    <w:p>
      <w:r>
        <w:rPr>
          <w:b/>
        </w:rPr>
        <w:t>Netherlands Substance Package</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Annual Cost</w:t>
            </w:r>
          </w:p>
        </w:tc>
      </w:tr>
      <w:tr>
        <w:tc>
          <w:tcPr>
            <w:tcW w:type="dxa" w:w="4320"/>
          </w:tcPr>
          <w:p>
            <w:r/>
            <w:r>
              <w:t>Qualified personnel (2-3 FTEs: credit analysts, treasury managers)</w:t>
            </w:r>
          </w:p>
        </w:tc>
        <w:tc>
          <w:tcPr>
            <w:tcW w:type="dxa" w:w="4320"/>
          </w:tcPr>
          <w:p>
            <w:r/>
            <w:r>
              <w:t>$500K</w:t>
            </w:r>
          </w:p>
        </w:tc>
      </w:tr>
      <w:tr>
        <w:tc>
          <w:tcPr>
            <w:tcW w:type="dxa" w:w="4320"/>
          </w:tcPr>
          <w:p>
            <w:r/>
            <w:r>
              <w:t>Office space</w:t>
            </w:r>
          </w:p>
        </w:tc>
        <w:tc>
          <w:tcPr>
            <w:tcW w:type="dxa" w:w="4320"/>
          </w:tcPr>
          <w:p>
            <w:r/>
            <w:r>
              <w:t>$100K</w:t>
            </w:r>
          </w:p>
        </w:tc>
      </w:tr>
      <w:tr>
        <w:tc>
          <w:tcPr>
            <w:tcW w:type="dxa" w:w="4320"/>
          </w:tcPr>
          <w:p>
            <w:r/>
            <w:r>
              <w:t>Systems and IT</w:t>
            </w:r>
          </w:p>
        </w:tc>
        <w:tc>
          <w:tcPr>
            <w:tcW w:type="dxa" w:w="4320"/>
          </w:tcPr>
          <w:p>
            <w:r/>
            <w:r>
              <w:t>$150K</w:t>
            </w:r>
          </w:p>
        </w:tc>
      </w:tr>
      <w:tr>
        <w:tc>
          <w:tcPr>
            <w:tcW w:type="dxa" w:w="4320"/>
          </w:tcPr>
          <w:p>
            <w:r/>
            <w:r>
              <w:t>Professional fees (legal, tax, audit)</w:t>
            </w:r>
          </w:p>
        </w:tc>
        <w:tc>
          <w:tcPr>
            <w:tcW w:type="dxa" w:w="4320"/>
          </w:tcPr>
          <w:p>
            <w:r/>
            <w:r>
              <w:t>$200K</w:t>
            </w:r>
          </w:p>
        </w:tc>
      </w:tr>
      <w:tr>
        <w:tc>
          <w:tcPr>
            <w:tcW w:type="dxa" w:w="4320"/>
          </w:tcPr>
          <w:p>
            <w:r/>
            <w:r>
              <w:t>Board and governance</w:t>
            </w:r>
          </w:p>
        </w:tc>
        <w:tc>
          <w:tcPr>
            <w:tcW w:type="dxa" w:w="4320"/>
          </w:tcPr>
          <w:p>
            <w:r/>
            <w:r>
              <w:t>$100K</w:t>
            </w:r>
          </w:p>
        </w:tc>
      </w:tr>
      <w:tr>
        <w:tc>
          <w:tcPr>
            <w:tcW w:type="dxa" w:w="4320"/>
          </w:tcPr>
          <w:p>
            <w:r/>
            <w:r>
              <w:rPr>
                <w:b/>
              </w:rPr>
              <w:t>Total</w:t>
            </w:r>
          </w:p>
        </w:tc>
        <w:tc>
          <w:tcPr>
            <w:tcW w:type="dxa" w:w="4320"/>
          </w:tcPr>
          <w:p>
            <w:r/>
            <w:r>
              <w:rPr>
                <w:b/>
              </w:rPr>
              <w:t>$1,050K</w:t>
            </w:r>
          </w:p>
        </w:tc>
      </w:tr>
    </w:tbl>
    <w:p/>
    <w:p>
      <w:r>
        <w:rPr>
          <w:b/>
        </w:rPr>
        <w:t>Revised Net Benefit</w:t>
      </w:r>
      <w:r>
        <w:t>:</w:t>
      </w:r>
    </w:p>
    <w:p>
      <w:pPr>
        <w:shd w:fill="F0F0F0"/>
        <w:spacing w:after="0" w:line="240" w:lineRule="auto"/>
      </w:pPr>
      <w:r>
        <w:rPr>
          <w:rFonts w:ascii="Courier New" w:hAnsi="Courier New"/>
          <w:sz w:val="20"/>
        </w:rPr>
        <w:t>Proposed structure net benefit: $7.71M</w:t>
      </w:r>
    </w:p>
    <w:p>
      <w:pPr>
        <w:shd w:fill="F0F0F0"/>
        <w:spacing w:after="0" w:line="240" w:lineRule="auto"/>
      </w:pPr>
      <w:r>
        <w:rPr>
          <w:rFonts w:ascii="Courier New" w:hAnsi="Courier New"/>
          <w:sz w:val="20"/>
        </w:rPr>
        <w:t>Less: Substance costs: $1.05M</w:t>
      </w:r>
    </w:p>
    <w:p>
      <w:pPr>
        <w:shd w:fill="F0F0F0"/>
        <w:spacing w:after="0" w:line="240" w:lineRule="auto"/>
      </w:pPr>
      <w:r>
        <w:rPr>
          <w:rFonts w:ascii="Courier New" w:hAnsi="Courier New"/>
          <w:sz w:val="20"/>
        </w:rPr>
        <w:t>Revised net benefit: $6.66M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Current structure: $8.7M</w:t>
      </w:r>
    </w:p>
    <w:p>
      <w:pPr>
        <w:shd w:fill="F0F0F0"/>
        <w:spacing w:after="0" w:line="240" w:lineRule="auto"/>
      </w:pPr>
      <w:r>
        <w:rPr>
          <w:rFonts w:ascii="Courier New" w:hAnsi="Courier New"/>
          <w:sz w:val="20"/>
        </w:rPr>
        <w:t>Net cost of proposed structure: $(2.04M)</w:t>
      </w:r>
    </w:p>
    <w:p/>
    <w:p>
      <w:pPr>
        <w:pStyle w:val="Heading3"/>
      </w:pPr>
      <w:r>
        <w:t>Recommendation</w:t>
      </w:r>
    </w:p>
    <w:p>
      <w:r>
        <w:rPr>
          <w:b/>
        </w:rPr>
        <w:t>Do NOT proceed</w:t>
      </w:r>
      <w:r>
        <w:t xml:space="preserve"> with the treasury company structure because:</w:t>
      </w:r>
    </w:p>
    <w:p>
      <w:pPr>
        <w:pStyle w:val="ListNumber"/>
      </w:pPr>
      <w:r>
        <w:rPr>
          <w:b/>
        </w:rPr>
        <w:t>Significant tax disadvantage</w:t>
      </w:r>
      <w:r>
        <w:t xml:space="preserve">: Proposed structure provides </w:t>
      </w:r>
      <w:r>
        <w:rPr>
          <w:b/>
        </w:rPr>
        <w:t>$2.04M less benefit</w:t>
      </w:r>
      <w:r>
        <w:t xml:space="preserve"> than current structure</w:t>
      </w:r>
    </w:p>
    <w:p>
      <w:pPr>
        <w:pStyle w:val="ListNumber"/>
      </w:pPr>
      <w:r>
        <w:rPr>
          <w:b/>
        </w:rPr>
        <w:t>Substance costs</w:t>
      </w:r>
      <w:r>
        <w:t>: $1.05M annual costs compound the negative impact</w:t>
      </w:r>
    </w:p>
    <w:p>
      <w:pPr>
        <w:pStyle w:val="ListNumber"/>
      </w:pPr>
      <w:r>
        <w:rPr>
          <w:b/>
        </w:rPr>
        <w:t>Complexity</w:t>
      </w:r>
      <w:r>
        <w:t>: Increased transfer pricing documentation, intercompany agreements, compliance burden</w:t>
      </w:r>
    </w:p>
    <w:p>
      <w:pPr>
        <w:pStyle w:val="ListNumber"/>
      </w:pPr>
      <w:r>
        <w:rPr>
          <w:b/>
        </w:rPr>
        <w:t>Audit risk</w:t>
      </w:r>
      <w:r>
        <w:t>: Interest spreads and substance will be scrutinized</w:t>
      </w:r>
    </w:p>
    <w:p>
      <w:r>
        <w:rPr>
          <w:b/>
        </w:rPr>
        <w:t>Why does it not work?</w:t>
      </w:r>
    </w:p>
    <w:p>
      <w:pPr>
        <w:pStyle w:val="ListBullet"/>
      </w:pPr>
      <w:r>
        <w:t xml:space="preserve">Current structure already has </w:t>
      </w:r>
      <w:r>
        <w:rPr>
          <w:b/>
        </w:rPr>
        <w:t>U.S. interest deduction</w:t>
      </w:r>
      <w:r>
        <w:t xml:space="preserve"> at 21%</w:t>
      </w:r>
    </w:p>
    <w:p>
      <w:pPr>
        <w:pStyle w:val="ListBullet"/>
      </w:pPr>
      <w:r>
        <w:t xml:space="preserve">Proposed structure shifts deduction to subsidiaries with varying tax rates, but </w:t>
      </w:r>
      <w:r>
        <w:rPr>
          <w:b/>
        </w:rPr>
        <w:t>adds</w:t>
      </w:r>
      <w:r>
        <w:t xml:space="preserve"> Netherlands tax on spread ($3.87M) and Angola WHT ($2.7M)</w:t>
      </w:r>
    </w:p>
    <w:p>
      <w:pPr>
        <w:pStyle w:val="ListBullet"/>
      </w:pPr>
      <w:r>
        <w:rPr>
          <w:b/>
        </w:rPr>
        <w:t>Spread income</w:t>
      </w:r>
      <w:r>
        <w:t xml:space="preserve"> taxed at 25.8% in Netherlands creates significant additional cost</w:t>
      </w:r>
    </w:p>
    <w:p>
      <w:pPr>
        <w:pStyle w:val="ListBullet"/>
      </w:pPr>
      <w:r>
        <w:t>Angola's lower corporate tax rate (25% vs. originally assumed 35%) and higher WHT rate (15% vs. assumed 10% under non-existent treaty) further erode benefits</w:t>
      </w:r>
    </w:p>
    <w:p>
      <w:r>
        <w:rPr>
          <w:b/>
        </w:rPr>
        <w:t>Alternative Structure</w:t>
      </w:r>
      <w:r>
        <w:t>:</w:t>
      </w:r>
    </w:p>
    <w:p>
      <w:r>
        <w:t xml:space="preserve">If the objective is </w:t>
      </w:r>
      <w:r>
        <w:rPr>
          <w:b/>
        </w:rPr>
        <w:t>cash management efficiency</w:t>
      </w:r>
      <w:r>
        <w:t>, consider:</w:t>
      </w:r>
    </w:p>
    <w:p>
      <w:pPr>
        <w:pStyle w:val="ListBullet"/>
      </w:pPr>
      <w:r>
        <w:rPr>
          <w:b/>
        </w:rPr>
        <w:t>Notional cash pooling</w:t>
      </w:r>
      <w:r>
        <w:t xml:space="preserve"> (no legal loans, just interest netting)</w:t>
      </w:r>
    </w:p>
    <w:p>
      <w:pPr>
        <w:pStyle w:val="ListBullet"/>
      </w:pPr>
      <w:r>
        <w:rPr>
          <w:b/>
        </w:rPr>
        <w:t>U.S.-based treasury center</w:t>
      </w:r>
      <w:r>
        <w:t xml:space="preserve"> (avoids Netherlands tax and foreign WHT)</w:t>
      </w:r>
    </w:p>
    <w:p>
      <w:pPr>
        <w:pStyle w:val="ListBullet"/>
      </w:pPr>
      <w:r>
        <w:rPr>
          <w:b/>
        </w:rPr>
        <w:t>Selective intercompany loans</w:t>
      </w:r>
      <w:r>
        <w:t xml:space="preserve"> only where tax arbitrage exists (e.g., lending to high-tax Angola from low-tax jurisdiction)</w:t>
      </w:r>
    </w:p>
    <w:p>
      <w:pPr>
        <w:spacing w:before="120" w:after="120"/>
        <w:pBdr>
          <w:bottom w:val="single" w:sz="6" w:space="1" w:color="auto"/>
        </w:pBdr>
      </w:pPr>
    </w:p>
    <w:p>
      <w:pPr>
        <w:pStyle w:val="Heading2"/>
      </w:pPr>
      <w:r>
        <w:t>WORKED EXAMPLE 2: Cash Pooling Arrangement - Transfer Pricing Defense</w:t>
      </w:r>
    </w:p>
    <w:p>
      <w:pPr>
        <w:pStyle w:val="Heading3"/>
      </w:pPr>
      <w:r>
        <w:t>Facts</w:t>
      </w:r>
    </w:p>
    <w:p>
      <w:r>
        <w:rPr>
          <w:b/>
        </w:rPr>
        <w:t>GlobalEnergy ASA</w:t>
      </w:r>
      <w:r>
        <w:t xml:space="preserve">, a Norwegian integrated oil company, operates a </w:t>
      </w:r>
      <w:r>
        <w:rPr>
          <w:b/>
        </w:rPr>
        <w:t>Zero Balance Cash Pool</w:t>
      </w:r>
      <w:r>
        <w:t xml:space="preserve"> (ZBCP) managed by </w:t>
      </w:r>
      <w:r>
        <w:rPr>
          <w:b/>
        </w:rPr>
        <w:t>GlobalEnergy Finance B.V.</w:t>
      </w:r>
      <w:r>
        <w:t xml:space="preserve"> (Netherlands).</w:t>
      </w:r>
    </w:p>
    <w:p>
      <w:r>
        <w:rPr>
          <w:b/>
        </w:rPr>
        <w:t>Pool Structure</w:t>
      </w:r>
      <w:r>
        <w:t>:</w:t>
      </w:r>
    </w:p>
    <w:p>
      <w:pPr>
        <w:pStyle w:val="ListBullet"/>
      </w:pPr>
      <w:r>
        <w:rPr>
          <w:b/>
        </w:rPr>
        <w:t>Pool leader</w:t>
      </w:r>
      <w:r>
        <w:t>: GlobalEnergy Finance B.V.</w:t>
      </w:r>
    </w:p>
    <w:p>
      <w:pPr>
        <w:pStyle w:val="ListBullet"/>
      </w:pPr>
      <w:r>
        <w:rPr>
          <w:b/>
        </w:rPr>
        <w:t>Participants</w:t>
      </w:r>
      <w:r>
        <w:t>: 12 subsidiaries in Europe, Africa, and Asia</w:t>
      </w:r>
    </w:p>
    <w:p>
      <w:r>
        <w:rPr>
          <w:b/>
        </w:rPr>
        <w:t>Interest Rates (2024)</w:t>
      </w:r>
      <w:r>
        <w:t>:</w:t>
      </w:r>
    </w:p>
    <w:p>
      <w:pPr>
        <w:pStyle w:val="ListBullet"/>
      </w:pPr>
      <w:r>
        <w:rPr>
          <w:b/>
        </w:rPr>
        <w:t>Credit balances</w:t>
      </w:r>
      <w:r>
        <w:t xml:space="preserve"> (surplus cash deposited): </w:t>
      </w:r>
      <w:r>
        <w:rPr>
          <w:b/>
        </w:rPr>
        <w:t>SOFR - 0.75%</w:t>
      </w:r>
      <w:r>
        <w:t xml:space="preserve"> = 4.5% (SOFR = 5.25%)</w:t>
      </w:r>
    </w:p>
    <w:p>
      <w:pPr>
        <w:pStyle w:val="ListBullet"/>
      </w:pPr>
      <w:r>
        <w:rPr>
          <w:b/>
        </w:rPr>
        <w:t>Debit balances</w:t>
      </w:r>
      <w:r>
        <w:t xml:space="preserve"> (overdrafts/borrowings): </w:t>
      </w:r>
      <w:r>
        <w:rPr>
          <w:b/>
        </w:rPr>
        <w:t>SOFR + 2.0%</w:t>
      </w:r>
      <w:r>
        <w:t xml:space="preserve"> = 7.25%</w:t>
      </w:r>
    </w:p>
    <w:p>
      <w:pPr>
        <w:pStyle w:val="ListBullet"/>
      </w:pPr>
      <w:r>
        <w:rPr>
          <w:b/>
        </w:rPr>
        <w:t>Pool leader spread</w:t>
      </w:r>
      <w:r>
        <w:t>: 2.75% (difference between debit and credit rates)</w:t>
      </w:r>
    </w:p>
    <w:p>
      <w:r>
        <w:rPr>
          <w:b/>
        </w:rPr>
        <w:t>Annual Pool Activity</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Participant</w:t>
            </w:r>
          </w:p>
        </w:tc>
        <w:tc>
          <w:tcPr>
            <w:tcW w:type="dxa" w:w="2160"/>
          </w:tcPr>
          <w:p>
            <w:r>
              <w:rPr>
                <w:b/>
              </w:rPr>
            </w:r>
            <w:r>
              <w:rPr>
                <w:b/>
              </w:rPr>
              <w:t>Average Balance</w:t>
            </w:r>
          </w:p>
        </w:tc>
        <w:tc>
          <w:tcPr>
            <w:tcW w:type="dxa" w:w="2160"/>
          </w:tcPr>
          <w:p>
            <w:r>
              <w:rPr>
                <w:b/>
              </w:rPr>
            </w:r>
            <w:r>
              <w:rPr>
                <w:b/>
              </w:rPr>
              <w:t>Type</w:t>
            </w:r>
          </w:p>
        </w:tc>
        <w:tc>
          <w:tcPr>
            <w:tcW w:type="dxa" w:w="2160"/>
          </w:tcPr>
          <w:p>
            <w:r>
              <w:rPr>
                <w:b/>
              </w:rPr>
            </w:r>
            <w:r>
              <w:rPr>
                <w:b/>
              </w:rPr>
              <w:t>Interest Amount</w:t>
            </w:r>
          </w:p>
        </w:tc>
      </w:tr>
      <w:tr>
        <w:tc>
          <w:tcPr>
            <w:tcW w:type="dxa" w:w="2160"/>
          </w:tcPr>
          <w:p>
            <w:r/>
            <w:r>
              <w:t>Norway OpCo</w:t>
            </w:r>
          </w:p>
        </w:tc>
        <w:tc>
          <w:tcPr>
            <w:tcW w:type="dxa" w:w="2160"/>
          </w:tcPr>
          <w:p>
            <w:r/>
            <w:r>
              <w:t>+$200M</w:t>
            </w:r>
          </w:p>
        </w:tc>
        <w:tc>
          <w:tcPr>
            <w:tcW w:type="dxa" w:w="2160"/>
          </w:tcPr>
          <w:p>
            <w:r/>
            <w:r>
              <w:t>Credit</w:t>
            </w:r>
          </w:p>
        </w:tc>
        <w:tc>
          <w:tcPr>
            <w:tcW w:type="dxa" w:w="2160"/>
          </w:tcPr>
          <w:p>
            <w:r/>
            <w:r>
              <w:t>+$9M (earn)</w:t>
            </w:r>
          </w:p>
        </w:tc>
      </w:tr>
      <w:tr>
        <w:tc>
          <w:tcPr>
            <w:tcW w:type="dxa" w:w="2160"/>
          </w:tcPr>
          <w:p>
            <w:r/>
            <w:r>
              <w:t>UK OpCo</w:t>
            </w:r>
          </w:p>
        </w:tc>
        <w:tc>
          <w:tcPr>
            <w:tcW w:type="dxa" w:w="2160"/>
          </w:tcPr>
          <w:p>
            <w:r/>
            <w:r>
              <w:t>+$150M</w:t>
            </w:r>
          </w:p>
        </w:tc>
        <w:tc>
          <w:tcPr>
            <w:tcW w:type="dxa" w:w="2160"/>
          </w:tcPr>
          <w:p>
            <w:r/>
            <w:r>
              <w:t>Credit</w:t>
            </w:r>
          </w:p>
        </w:tc>
        <w:tc>
          <w:tcPr>
            <w:tcW w:type="dxa" w:w="2160"/>
          </w:tcPr>
          <w:p>
            <w:r/>
            <w:r>
              <w:t>+$6.75M</w:t>
            </w:r>
          </w:p>
        </w:tc>
      </w:tr>
      <w:tr>
        <w:tc>
          <w:tcPr>
            <w:tcW w:type="dxa" w:w="2160"/>
          </w:tcPr>
          <w:p>
            <w:r/>
            <w:r>
              <w:t>Angola OpCo</w:t>
            </w:r>
          </w:p>
        </w:tc>
        <w:tc>
          <w:tcPr>
            <w:tcW w:type="dxa" w:w="2160"/>
          </w:tcPr>
          <w:p>
            <w:r/>
            <w:r>
              <w:t>-$100M</w:t>
            </w:r>
          </w:p>
        </w:tc>
        <w:tc>
          <w:tcPr>
            <w:tcW w:type="dxa" w:w="2160"/>
          </w:tcPr>
          <w:p>
            <w:r/>
            <w:r>
              <w:t>Debit</w:t>
            </w:r>
          </w:p>
        </w:tc>
        <w:tc>
          <w:tcPr>
            <w:tcW w:type="dxa" w:w="2160"/>
          </w:tcPr>
          <w:p>
            <w:r/>
            <w:r>
              <w:t>-$7.25M (pay)</w:t>
            </w:r>
          </w:p>
        </w:tc>
      </w:tr>
      <w:tr>
        <w:tc>
          <w:tcPr>
            <w:tcW w:type="dxa" w:w="2160"/>
          </w:tcPr>
          <w:p>
            <w:r/>
            <w:r>
              <w:t>Brazil OpCo</w:t>
            </w:r>
          </w:p>
        </w:tc>
        <w:tc>
          <w:tcPr>
            <w:tcW w:type="dxa" w:w="2160"/>
          </w:tcPr>
          <w:p>
            <w:r/>
            <w:r>
              <w:t>-$80M</w:t>
            </w:r>
          </w:p>
        </w:tc>
        <w:tc>
          <w:tcPr>
            <w:tcW w:type="dxa" w:w="2160"/>
          </w:tcPr>
          <w:p>
            <w:r/>
            <w:r>
              <w:t>Debit</w:t>
            </w:r>
          </w:p>
        </w:tc>
        <w:tc>
          <w:tcPr>
            <w:tcW w:type="dxa" w:w="2160"/>
          </w:tcPr>
          <w:p>
            <w:r/>
            <w:r>
              <w:t>-$5.8M</w:t>
            </w:r>
          </w:p>
        </w:tc>
      </w:tr>
      <w:tr>
        <w:tc>
          <w:tcPr>
            <w:tcW w:type="dxa" w:w="2160"/>
          </w:tcPr>
          <w:p>
            <w:r/>
            <w:r>
              <w:t>Indonesia OpCo</w:t>
            </w:r>
          </w:p>
        </w:tc>
        <w:tc>
          <w:tcPr>
            <w:tcW w:type="dxa" w:w="2160"/>
          </w:tcPr>
          <w:p>
            <w:r/>
            <w:r>
              <w:t>+$50M</w:t>
            </w:r>
          </w:p>
        </w:tc>
        <w:tc>
          <w:tcPr>
            <w:tcW w:type="dxa" w:w="2160"/>
          </w:tcPr>
          <w:p>
            <w:r/>
            <w:r>
              <w:t>Credit</w:t>
            </w:r>
          </w:p>
        </w:tc>
        <w:tc>
          <w:tcPr>
            <w:tcW w:type="dxa" w:w="2160"/>
          </w:tcPr>
          <w:p>
            <w:r/>
            <w:r>
              <w:t>+$2.25M</w:t>
            </w:r>
          </w:p>
        </w:tc>
      </w:tr>
      <w:tr>
        <w:tc>
          <w:tcPr>
            <w:tcW w:type="dxa" w:w="2160"/>
          </w:tcPr>
          <w:p>
            <w:r/>
            <w:r>
              <w:t>Others (net)</w:t>
            </w:r>
          </w:p>
        </w:tc>
        <w:tc>
          <w:tcPr>
            <w:tcW w:type="dxa" w:w="2160"/>
          </w:tcPr>
          <w:p>
            <w:r/>
            <w:r>
              <w:t>-$220M</w:t>
            </w:r>
          </w:p>
        </w:tc>
        <w:tc>
          <w:tcPr>
            <w:tcW w:type="dxa" w:w="2160"/>
          </w:tcPr>
          <w:p>
            <w:r/>
            <w:r>
              <w:t>Debit</w:t>
            </w:r>
          </w:p>
        </w:tc>
        <w:tc>
          <w:tcPr>
            <w:tcW w:type="dxa" w:w="2160"/>
          </w:tcPr>
          <w:p>
            <w:r/>
            <w:r>
              <w:t>-$15.95M</w:t>
            </w:r>
          </w:p>
        </w:tc>
      </w:tr>
      <w:tr>
        <w:tc>
          <w:tcPr>
            <w:tcW w:type="dxa" w:w="2160"/>
          </w:tcPr>
          <w:p>
            <w:r/>
            <w:r>
              <w:rPr>
                <w:b/>
              </w:rPr>
              <w:t>Net pool balance</w:t>
            </w:r>
          </w:p>
        </w:tc>
        <w:tc>
          <w:tcPr>
            <w:tcW w:type="dxa" w:w="2160"/>
          </w:tcPr>
          <w:p>
            <w:r/>
            <w:r>
              <w:rPr>
                <w:b/>
              </w:rPr>
              <w:t>$0</w:t>
            </w:r>
          </w:p>
        </w:tc>
        <w:tc>
          <w:tcPr>
            <w:tcW w:type="dxa" w:w="2160"/>
          </w:tcPr>
          <w:p>
            <w:r/>
          </w:p>
        </w:tc>
        <w:tc>
          <w:tcPr>
            <w:tcW w:type="dxa" w:w="2160"/>
          </w:tcPr>
          <w:p>
            <w:r/>
          </w:p>
        </w:tc>
      </w:tr>
    </w:tbl>
    <w:p/>
    <w:p>
      <w:r>
        <w:rPr>
          <w:b/>
        </w:rPr>
        <w:t>Pool Leader Income</w:t>
      </w:r>
      <w:r>
        <w:t>:</w:t>
      </w:r>
    </w:p>
    <w:p>
      <w:pPr>
        <w:shd w:fill="F0F0F0"/>
        <w:spacing w:after="0" w:line="240" w:lineRule="auto"/>
      </w:pPr>
      <w:r>
        <w:rPr>
          <w:rFonts w:ascii="Courier New" w:hAnsi="Courier New"/>
          <w:sz w:val="20"/>
        </w:rPr>
        <w:t>Interest received from debit participants: $29M</w:t>
      </w:r>
    </w:p>
    <w:p>
      <w:pPr>
        <w:shd w:fill="F0F0F0"/>
        <w:spacing w:after="0" w:line="240" w:lineRule="auto"/>
      </w:pPr>
      <w:r>
        <w:rPr>
          <w:rFonts w:ascii="Courier New" w:hAnsi="Courier New"/>
          <w:sz w:val="20"/>
        </w:rPr>
        <w:t>Interest paid to credit participants: $18M</w:t>
      </w:r>
    </w:p>
    <w:p>
      <w:pPr>
        <w:shd w:fill="F0F0F0"/>
        <w:spacing w:after="0" w:line="240" w:lineRule="auto"/>
      </w:pPr>
      <w:r>
        <w:rPr>
          <w:rFonts w:ascii="Courier New" w:hAnsi="Courier New"/>
          <w:sz w:val="20"/>
        </w:rPr>
        <w:t>Net spread income: $11M</w:t>
      </w:r>
    </w:p>
    <w:p/>
    <w:p>
      <w:r>
        <w:rPr>
          <w:b/>
        </w:rPr>
        <w:t>Norwegian Tax Authority Challenge</w:t>
      </w:r>
      <w:r>
        <w:t>:</w:t>
      </w:r>
    </w:p>
    <w:p>
      <w:r>
        <w:t>The Norwegian tax authority audits Norway OpCo and challenges the cash pool arrangement:</w:t>
      </w:r>
    </w:p>
    <w:p>
      <w:pPr>
        <w:pStyle w:val="ListNumber"/>
      </w:pPr>
      <w:r>
        <w:rPr>
          <w:b/>
        </w:rPr>
        <w:t>Interest rate too low</w:t>
      </w:r>
      <w:r>
        <w:t>: Norway OpCo should earn higher interest on its $200M surplus (comparable bank deposit rates: 5-5.5%)</w:t>
      </w:r>
    </w:p>
    <w:p>
      <w:pPr>
        <w:pStyle w:val="ListNumber"/>
      </w:pPr>
      <w:r>
        <w:rPr>
          <w:b/>
        </w:rPr>
        <w:t>Excessive spread</w:t>
      </w:r>
      <w:r>
        <w:t>: 2.75% spread is excessive for pool leader services</w:t>
      </w:r>
    </w:p>
    <w:p>
      <w:pPr>
        <w:pStyle w:val="ListNumber"/>
      </w:pPr>
      <w:r>
        <w:rPr>
          <w:b/>
        </w:rPr>
        <w:t>Lack of substance</w:t>
      </w:r>
      <w:r>
        <w:t>: GlobalEnergy Finance B.V. has only 1 employee; not providing genuine services</w:t>
      </w:r>
    </w:p>
    <w:p>
      <w:r>
        <w:rPr>
          <w:b/>
        </w:rPr>
        <w:t>Tax Impact of Adjustment</w:t>
      </w:r>
      <w:r>
        <w:t>:</w:t>
      </w:r>
    </w:p>
    <w:p>
      <w:r>
        <w:t>If Norway adjusts credit interest rate from 4.5% to 5.25% (SOFR flat):</w:t>
      </w:r>
    </w:p>
    <w:p>
      <w:pPr>
        <w:shd w:fill="F0F0F0"/>
        <w:spacing w:after="0" w:line="240" w:lineRule="auto"/>
      </w:pPr>
      <w:r>
        <w:rPr>
          <w:rFonts w:ascii="Courier New" w:hAnsi="Courier New"/>
          <w:sz w:val="20"/>
        </w:rPr>
        <w:t>Interest income adjustment: $200M × (5.25% - 4.5%) = $1.5M</w:t>
      </w:r>
    </w:p>
    <w:p>
      <w:pPr>
        <w:shd w:fill="F0F0F0"/>
        <w:spacing w:after="0" w:line="240" w:lineRule="auto"/>
      </w:pPr>
      <w:r>
        <w:rPr>
          <w:rFonts w:ascii="Courier New" w:hAnsi="Courier New"/>
          <w:sz w:val="20"/>
        </w:rPr>
        <w:t>Norway tax at 22%: $330K additional tax on Norway OpCo</w:t>
      </w:r>
    </w:p>
    <w:p/>
    <w:p>
      <w:pPr>
        <w:pStyle w:val="Heading3"/>
      </w:pPr>
      <w:r>
        <w:t>Required</w:t>
      </w:r>
    </w:p>
    <w:p>
      <w:pPr>
        <w:pStyle w:val="ListNumber"/>
      </w:pPr>
      <w:r>
        <w:t xml:space="preserve">Defend the </w:t>
      </w:r>
      <w:r>
        <w:rPr>
          <w:b/>
        </w:rPr>
        <w:t>4.5% credit interest rate</w:t>
      </w:r>
      <w:r>
        <w:t xml:space="preserve"> as arm's length</w:t>
      </w:r>
    </w:p>
    <w:p>
      <w:pPr>
        <w:pStyle w:val="ListNumber"/>
      </w:pPr>
      <w:r>
        <w:t xml:space="preserve">Defend the </w:t>
      </w:r>
      <w:r>
        <w:rPr>
          <w:b/>
        </w:rPr>
        <w:t>2.75% pool leader spread</w:t>
      </w:r>
      <w:r>
        <w:t xml:space="preserve"> as arm's length</w:t>
      </w:r>
    </w:p>
    <w:p>
      <w:pPr>
        <w:pStyle w:val="ListNumber"/>
      </w:pPr>
      <w:r>
        <w:t xml:space="preserve">Assess </w:t>
      </w:r>
      <w:r>
        <w:rPr>
          <w:b/>
        </w:rPr>
        <w:t>substance</w:t>
      </w:r>
      <w:r>
        <w:t xml:space="preserve"> of GlobalEnergy Finance B.V.</w:t>
      </w:r>
    </w:p>
    <w:p>
      <w:pPr>
        <w:pStyle w:val="ListNumber"/>
      </w:pPr>
      <w:r>
        <w:t>Recommend actions to mitigate audit risk</w:t>
      </w:r>
    </w:p>
    <w:p>
      <w:pPr>
        <w:pStyle w:val="Heading3"/>
      </w:pPr>
      <w:r>
        <w:t>Analysis</w:t>
      </w:r>
    </w:p>
    <w:p>
      <w:r>
        <w:rPr>
          <w:b/>
        </w:rPr>
        <w:t>Step 1: Defense of Credit Interest Rate (SOFR - 0.75%)</w:t>
      </w:r>
    </w:p>
    <w:p>
      <w:r>
        <w:rPr>
          <w:b/>
        </w:rPr>
        <w:t>Argument</w:t>
      </w:r>
      <w:r>
        <w:t>:</w:t>
      </w:r>
    </w:p>
    <w:p>
      <w:r>
        <w:t xml:space="preserve">Cash pool </w:t>
      </w:r>
      <w:r>
        <w:rPr>
          <w:b/>
        </w:rPr>
        <w:t>credit balances</w:t>
      </w:r>
      <w:r>
        <w:t xml:space="preserve"> are not equivalent to </w:t>
      </w:r>
      <w:r>
        <w:rPr>
          <w:b/>
        </w:rPr>
        <w:t>bank deposits</w:t>
      </w:r>
      <w:r>
        <w:t xml:space="preserve"> because:</w:t>
      </w:r>
    </w:p>
    <w:p>
      <w:pPr>
        <w:pStyle w:val="ListNumber"/>
      </w:pPr>
      <w:r>
        <w:rPr>
          <w:b/>
        </w:rPr>
        <w:t>Liquidity risk</w:t>
      </w:r>
      <w:r>
        <w:t>: Funds may be called on short notice to cover debit participants</w:t>
      </w:r>
    </w:p>
    <w:p>
      <w:pPr>
        <w:pStyle w:val="ListNumber"/>
      </w:pPr>
      <w:r>
        <w:rPr>
          <w:b/>
        </w:rPr>
        <w:t>Credit risk</w:t>
      </w:r>
      <w:r>
        <w:t>: Exposure to pool leader (not bank-guaranteed)</w:t>
      </w:r>
    </w:p>
    <w:p>
      <w:pPr>
        <w:pStyle w:val="ListNumber"/>
      </w:pPr>
      <w:r>
        <w:rPr>
          <w:b/>
        </w:rPr>
        <w:t>Operational restrictions</w:t>
      </w:r>
      <w:r>
        <w:t>: Funds locked in pool structure, limited flexibility</w:t>
      </w:r>
    </w:p>
    <w:p>
      <w:r>
        <w:rPr>
          <w:b/>
        </w:rPr>
        <w:t>Benchmark</w:t>
      </w:r>
      <w:r>
        <w:t>:</w:t>
      </w:r>
    </w:p>
    <w:p>
      <w:pPr>
        <w:pStyle w:val="ListBullet"/>
      </w:pPr>
      <w:r>
        <w:rPr>
          <w:b/>
        </w:rPr>
        <w:t>Bank deposit rates</w:t>
      </w:r>
      <w:r>
        <w:t xml:space="preserve"> (3-month): 5-5.5%</w:t>
      </w:r>
    </w:p>
    <w:p>
      <w:pPr>
        <w:pStyle w:val="ListBullet"/>
      </w:pPr>
      <w:r>
        <w:rPr>
          <w:b/>
        </w:rPr>
        <w:t>Adjustment for liquidity/credit risk</w:t>
      </w:r>
      <w:r>
        <w:t>: -0.5% to -1.0%</w:t>
      </w:r>
    </w:p>
    <w:p>
      <w:pPr>
        <w:pStyle w:val="ListBullet"/>
      </w:pPr>
      <w:r>
        <w:rPr>
          <w:b/>
        </w:rPr>
        <w:t>Arm's length range</w:t>
      </w:r>
      <w:r>
        <w:t>: 4.5-5.0%</w:t>
      </w:r>
    </w:p>
    <w:p>
      <w:r>
        <w:rPr>
          <w:b/>
        </w:rPr>
        <w:t>Conclusion</w:t>
      </w:r>
      <w:r>
        <w:t xml:space="preserve">: </w:t>
      </w:r>
      <w:r>
        <w:rPr>
          <w:b/>
        </w:rPr>
        <w:t>4.5% (SOFR - 0.75%)</w:t>
      </w:r>
      <w:r>
        <w:t xml:space="preserve"> is at the </w:t>
      </w:r>
      <w:r>
        <w:rPr>
          <w:b/>
        </w:rPr>
        <w:t>lower bound</w:t>
      </w:r>
      <w:r>
        <w:t xml:space="preserve"> of arm's length range, but defensible with proper risk analysis.</w:t>
      </w:r>
    </w:p>
    <w:p>
      <w:r>
        <w:rPr>
          <w:b/>
        </w:rPr>
        <w:t>Step 2: Defense of 2.75% Spread</w:t>
      </w:r>
    </w:p>
    <w:p>
      <w:r>
        <w:rPr>
          <w:b/>
        </w:rPr>
        <w:t>Pool Leader Functions</w:t>
      </w:r>
      <w:r>
        <w:t>:</w:t>
      </w:r>
    </w:p>
    <w:p>
      <w:pPr>
        <w:pStyle w:val="ListBullet"/>
      </w:pPr>
      <w:r>
        <w:rPr>
          <w:b/>
        </w:rPr>
        <w:t>Cash concentration</w:t>
      </w:r>
      <w:r>
        <w:t>: Daily sweeping of balances (ZBCP)</w:t>
      </w:r>
    </w:p>
    <w:p>
      <w:pPr>
        <w:pStyle w:val="ListBullet"/>
      </w:pPr>
      <w:r>
        <w:rPr>
          <w:b/>
        </w:rPr>
        <w:t>Credit monitoring</w:t>
      </w:r>
      <w:r>
        <w:t>: Assessing creditworthiness of debit participants</w:t>
      </w:r>
    </w:p>
    <w:p>
      <w:pPr>
        <w:pStyle w:val="ListBullet"/>
      </w:pPr>
      <w:r>
        <w:rPr>
          <w:b/>
        </w:rPr>
        <w:t>Interest rate management</w:t>
      </w:r>
      <w:r>
        <w:t>: Setting rates, reconciliation</w:t>
      </w:r>
    </w:p>
    <w:p>
      <w:pPr>
        <w:pStyle w:val="ListBullet"/>
      </w:pPr>
      <w:r>
        <w:rPr>
          <w:b/>
        </w:rPr>
        <w:t>Reporting</w:t>
      </w:r>
      <w:r>
        <w:t>: Monthly cash pool statements, tax reporting</w:t>
      </w:r>
    </w:p>
    <w:p>
      <w:pPr>
        <w:pStyle w:val="ListBullet"/>
      </w:pPr>
      <w:r>
        <w:rPr>
          <w:b/>
        </w:rPr>
        <w:t>FX management</w:t>
      </w:r>
      <w:r>
        <w:t>: Currency conversions for multi-currency pools</w:t>
      </w:r>
    </w:p>
    <w:p>
      <w:r>
        <w:rPr>
          <w:b/>
        </w:rPr>
        <w:t>Benchmark</w:t>
      </w:r>
      <w:r>
        <w:t>:</w:t>
      </w:r>
    </w:p>
    <w:p>
      <w:r>
        <w:t>Bank cash pool service fees typically range from:</w:t>
      </w:r>
    </w:p>
    <w:p>
      <w:pPr>
        <w:pStyle w:val="ListBullet"/>
      </w:pPr>
      <w:r>
        <w:rPr>
          <w:b/>
        </w:rPr>
        <w:t>0.5-1.5%</w:t>
      </w:r>
      <w:r>
        <w:t xml:space="preserve"> for passive notional pooling (no actual cash movement)</w:t>
      </w:r>
    </w:p>
    <w:p>
      <w:pPr>
        <w:pStyle w:val="ListBullet"/>
      </w:pPr>
      <w:r>
        <w:rPr>
          <w:b/>
        </w:rPr>
        <w:t>1.5-3.0%</w:t>
      </w:r>
      <w:r>
        <w:t xml:space="preserve"> for active ZBCP with credit management</w:t>
      </w:r>
    </w:p>
    <w:p>
      <w:r>
        <w:rPr>
          <w:b/>
        </w:rPr>
        <w:t>Comparables</w:t>
      </w:r>
      <w:r>
        <w:t>:</w:t>
      </w:r>
    </w:p>
    <w:p>
      <w:r>
        <w:t xml:space="preserve">Third-party banks charge </w:t>
      </w:r>
      <w:r>
        <w:rPr>
          <w:b/>
        </w:rPr>
        <w:t>1.5-2.5% spread</w:t>
      </w:r>
      <w:r>
        <w:t xml:space="preserve"> for similar ZBCP services to corporate groups.</w:t>
      </w:r>
    </w:p>
    <w:p>
      <w:r>
        <w:rPr>
          <w:b/>
        </w:rPr>
        <w:t>Conclusion</w:t>
      </w:r>
      <w:r>
        <w:t xml:space="preserve">: </w:t>
      </w:r>
      <w:r>
        <w:rPr>
          <w:b/>
        </w:rPr>
        <w:t>2.75% spread</w:t>
      </w:r>
      <w:r>
        <w:t xml:space="preserve"> is at the </w:t>
      </w:r>
      <w:r>
        <w:rPr>
          <w:b/>
        </w:rPr>
        <w:t>upper bound</w:t>
      </w:r>
      <w:r>
        <w:t xml:space="preserve"> but potentially defensible if:</w:t>
      </w:r>
    </w:p>
    <w:p>
      <w:pPr>
        <w:pStyle w:val="ListBullet"/>
      </w:pPr>
      <w:r>
        <w:t xml:space="preserve">Pool leader performs </w:t>
      </w:r>
      <w:r>
        <w:rPr>
          <w:b/>
        </w:rPr>
        <w:t>active credit assessment</w:t>
      </w:r>
    </w:p>
    <w:p>
      <w:pPr>
        <w:pStyle w:val="ListBullet"/>
      </w:pPr>
      <w:r>
        <w:t xml:space="preserve">Pool leader assumes </w:t>
      </w:r>
      <w:r>
        <w:rPr>
          <w:b/>
        </w:rPr>
        <w:t>credit risk</w:t>
      </w:r>
      <w:r>
        <w:t xml:space="preserve"> (risk of debit participant default)</w:t>
      </w:r>
    </w:p>
    <w:p>
      <w:pPr>
        <w:pStyle w:val="ListBullet"/>
      </w:pPr>
      <w:r>
        <w:t xml:space="preserve">Services include </w:t>
      </w:r>
      <w:r>
        <w:rPr>
          <w:b/>
        </w:rPr>
        <w:t>FX management</w:t>
      </w:r>
      <w:r>
        <w:t xml:space="preserve"> and </w:t>
      </w:r>
      <w:r>
        <w:rPr>
          <w:b/>
        </w:rPr>
        <w:t>hedging</w:t>
      </w:r>
    </w:p>
    <w:p>
      <w:r>
        <w:rPr>
          <w:b/>
        </w:rPr>
        <w:t>Step 3: Substance Assessment</w:t>
      </w:r>
    </w:p>
    <w:p>
      <w:r>
        <w:rPr>
          <w:b/>
        </w:rPr>
        <w:t>Current Substance</w:t>
      </w:r>
      <w:r>
        <w:t>:</w:t>
      </w:r>
    </w:p>
    <w:p>
      <w:pPr>
        <w:pStyle w:val="ListBullet"/>
      </w:pPr>
      <w:r>
        <w:rPr>
          <w:b/>
        </w:rPr>
        <w:t>1 employee</w:t>
      </w:r>
      <w:r>
        <w:t>: Insufficient for claimed functions</w:t>
      </w:r>
    </w:p>
    <w:p>
      <w:pPr>
        <w:pStyle w:val="ListBullet"/>
      </w:pPr>
      <w:r>
        <w:rPr>
          <w:b/>
        </w:rPr>
        <w:t>No credit analysts</w:t>
      </w:r>
      <w:r>
        <w:t>: Raises question whether pool leader performs credit assessments</w:t>
      </w:r>
    </w:p>
    <w:p>
      <w:pPr>
        <w:pStyle w:val="ListBullet"/>
      </w:pPr>
      <w:r>
        <w:rPr>
          <w:b/>
        </w:rPr>
        <w:t>Automated systems</w:t>
      </w:r>
      <w:r>
        <w:t>: May indicate passive, mechanical arrangement</w:t>
      </w:r>
    </w:p>
    <w:p>
      <w:r>
        <w:rPr>
          <w:b/>
        </w:rPr>
        <w:t>Norwegian Tax Authority Position</w:t>
      </w:r>
      <w:r>
        <w:t>:</w:t>
      </w:r>
    </w:p>
    <w:p>
      <w:r>
        <w:t xml:space="preserve">GlobalEnergy Finance B.V. is a </w:t>
      </w:r>
      <w:r>
        <w:rPr>
          <w:b/>
        </w:rPr>
        <w:t>conduit</w:t>
      </w:r>
      <w:r>
        <w:t xml:space="preserve"> with no real substance. Interest spread should be </w:t>
      </w:r>
      <w:r>
        <w:rPr>
          <w:b/>
        </w:rPr>
        <w:t>reduced to 0.5-1.0%</w:t>
      </w:r>
      <w:r>
        <w:t xml:space="preserve"> for mechanical cash sweeping only.</w:t>
      </w:r>
    </w:p>
    <w:p>
      <w:r>
        <w:rPr>
          <w:b/>
        </w:rPr>
        <w:t>Step 4: Recommendations</w:t>
      </w:r>
    </w:p>
    <w:p>
      <w:r>
        <w:rPr>
          <w:b/>
        </w:rPr>
        <w:t>Immediate Actions</w:t>
      </w:r>
      <w:r>
        <w:t>:</w:t>
      </w:r>
    </w:p>
    <w:p>
      <w:pPr>
        <w:pStyle w:val="ListNumber"/>
      </w:pPr>
      <w:r>
        <w:rPr>
          <w:b/>
        </w:rPr>
        <w:t>Enhance substance</w:t>
      </w:r>
      <w:r>
        <w:t>:</w:t>
      </w:r>
    </w:p>
    <w:p>
      <w:pPr>
        <w:pStyle w:val="ListBullet"/>
        <w:ind w:left="360"/>
      </w:pPr>
      <w:r>
        <w:t xml:space="preserve">Hire </w:t>
      </w:r>
      <w:r>
        <w:rPr>
          <w:b/>
        </w:rPr>
        <w:t>2-3 additional personnel</w:t>
      </w:r>
      <w:r>
        <w:t xml:space="preserve"> (credit analyst, treasury manager, compliance officer)</w:t>
      </w:r>
    </w:p>
    <w:p>
      <w:pPr>
        <w:pStyle w:val="ListBullet"/>
        <w:ind w:left="360"/>
      </w:pPr>
      <w:r>
        <w:t xml:space="preserve">Establish </w:t>
      </w:r>
      <w:r>
        <w:rPr>
          <w:b/>
        </w:rPr>
        <w:t>credit assessment procedures</w:t>
      </w:r>
      <w:r>
        <w:t xml:space="preserve"> with documented quarterly reviews of debit participants</w:t>
      </w:r>
    </w:p>
    <w:p>
      <w:pPr>
        <w:pStyle w:val="ListBullet"/>
        <w:ind w:left="360"/>
      </w:pPr>
      <w:r>
        <w:t xml:space="preserve">Conduct </w:t>
      </w:r>
      <w:r>
        <w:rPr>
          <w:b/>
        </w:rPr>
        <w:t>board meetings</w:t>
      </w:r>
      <w:r>
        <w:t xml:space="preserve"> in Netherlands with documented decisions on credit limits, pricing</w:t>
      </w:r>
    </w:p>
    <w:p>
      <w:pPr>
        <w:pStyle w:val="ListNumber"/>
      </w:pPr>
      <w:r>
        <w:rPr>
          <w:b/>
        </w:rPr>
        <w:t>Reduce spread</w:t>
      </w:r>
      <w:r>
        <w:t>:</w:t>
      </w:r>
    </w:p>
    <w:p>
      <w:pPr>
        <w:pStyle w:val="ListBullet"/>
        <w:ind w:left="360"/>
      </w:pPr>
      <w:r>
        <w:rPr>
          <w:b/>
        </w:rPr>
        <w:t>Lower spread to 2.0%</w:t>
      </w:r>
      <w:r>
        <w:t xml:space="preserve"> (midpoint of 1.5-2.5% range)</w:t>
      </w:r>
    </w:p>
    <w:p>
      <w:pPr>
        <w:pStyle w:val="ListBullet"/>
        <w:ind w:left="360"/>
      </w:pPr>
      <w:r>
        <w:t>Reduces annual spread income from $11M to $8M</w:t>
      </w:r>
    </w:p>
    <w:p>
      <w:pPr>
        <w:pStyle w:val="ListBullet"/>
        <w:ind w:left="360"/>
      </w:pPr>
      <w:r>
        <w:t>Demonstrates good faith and reduces audit risk</w:t>
      </w:r>
    </w:p>
    <w:p>
      <w:pPr>
        <w:pStyle w:val="ListNumber"/>
      </w:pPr>
      <w:r>
        <w:rPr>
          <w:b/>
        </w:rPr>
        <w:t>Increase credit interest rate</w:t>
      </w:r>
      <w:r>
        <w:t>:</w:t>
      </w:r>
    </w:p>
    <w:p>
      <w:pPr>
        <w:pStyle w:val="ListBullet"/>
        <w:ind w:left="360"/>
      </w:pPr>
      <w:r>
        <w:rPr>
          <w:b/>
        </w:rPr>
        <w:t>Increase to SOFR - 0.5%</w:t>
      </w:r>
      <w:r>
        <w:t xml:space="preserve"> (from SOFR - 0.75%)</w:t>
      </w:r>
    </w:p>
    <w:p>
      <w:pPr>
        <w:pStyle w:val="ListBullet"/>
        <w:ind w:left="360"/>
      </w:pPr>
      <w:r>
        <w:t>Norway OpCo earns 4.75% instead of 4.5%</w:t>
      </w:r>
    </w:p>
    <w:p>
      <w:pPr>
        <w:pStyle w:val="ListBullet"/>
        <w:ind w:left="360"/>
      </w:pPr>
      <w:r>
        <w:t>Additional $500K income to Norway OpCo (reduces adjustment risk)</w:t>
      </w:r>
    </w:p>
    <w:p>
      <w:pPr>
        <w:pStyle w:val="ListNumber"/>
      </w:pPr>
      <w:r>
        <w:rPr>
          <w:b/>
        </w:rPr>
        <w:t>Documentation</w:t>
      </w:r>
      <w:r>
        <w:t>:</w:t>
      </w:r>
    </w:p>
    <w:p>
      <w:pPr>
        <w:pStyle w:val="ListBullet"/>
        <w:ind w:left="360"/>
      </w:pPr>
      <w:r>
        <w:t xml:space="preserve">Prepare </w:t>
      </w:r>
      <w:r>
        <w:rPr>
          <w:b/>
        </w:rPr>
        <w:t>comprehensive cash pool transfer pricing study</w:t>
      </w:r>
      <w:r>
        <w:t>:</w:t>
      </w:r>
    </w:p>
    <w:p>
      <w:pPr>
        <w:pStyle w:val="ListBullet"/>
        <w:ind w:left="720"/>
      </w:pPr>
      <w:r>
        <w:t>Functional analysis of pool leader</w:t>
      </w:r>
    </w:p>
    <w:p>
      <w:pPr>
        <w:pStyle w:val="ListBullet"/>
        <w:ind w:left="720"/>
      </w:pPr>
      <w:r>
        <w:t>Benchmarking of interest rates and spread</w:t>
      </w:r>
    </w:p>
    <w:p>
      <w:pPr>
        <w:pStyle w:val="ListBullet"/>
        <w:ind w:left="720"/>
      </w:pPr>
      <w:r>
        <w:t>Risk analysis (credit risk, liquidity risk)</w:t>
      </w:r>
    </w:p>
    <w:p>
      <w:pPr>
        <w:pStyle w:val="ListBullet"/>
        <w:ind w:left="360"/>
      </w:pPr>
      <w:r>
        <w:t xml:space="preserve">Obtain </w:t>
      </w:r>
      <w:r>
        <w:rPr>
          <w:b/>
        </w:rPr>
        <w:t>independent opinion</w:t>
      </w:r>
      <w:r>
        <w:t xml:space="preserve"> from transfer pricing advisor</w:t>
      </w:r>
    </w:p>
    <w:p>
      <w:r>
        <w:rPr>
          <w:b/>
        </w:rPr>
        <w:t>Revised Structure Impact</w:t>
      </w:r>
      <w:r>
        <w:t>:</w:t>
      </w:r>
    </w:p>
    <w:p>
      <w:pPr>
        <w:shd w:fill="F0F0F0"/>
        <w:spacing w:after="0" w:line="240" w:lineRule="auto"/>
      </w:pPr>
      <w:r>
        <w:rPr>
          <w:rFonts w:ascii="Courier New" w:hAnsi="Courier New"/>
          <w:sz w:val="20"/>
        </w:rPr>
        <w:t>Credit rate: SOFR - 0.5% = 4.75%</w:t>
      </w:r>
    </w:p>
    <w:p>
      <w:pPr>
        <w:shd w:fill="F0F0F0"/>
        <w:spacing w:after="0" w:line="240" w:lineRule="auto"/>
      </w:pPr>
      <w:r>
        <w:rPr>
          <w:rFonts w:ascii="Courier New" w:hAnsi="Courier New"/>
          <w:sz w:val="20"/>
        </w:rPr>
        <w:t>Debit rate: SOFR + 1.5% = 6.75% (reduced from +2.0%)</w:t>
      </w:r>
    </w:p>
    <w:p>
      <w:pPr>
        <w:shd w:fill="F0F0F0"/>
        <w:spacing w:after="0" w:line="240" w:lineRule="auto"/>
      </w:pPr>
      <w:r>
        <w:rPr>
          <w:rFonts w:ascii="Courier New" w:hAnsi="Courier New"/>
          <w:sz w:val="20"/>
        </w:rPr>
        <w:t>Pool leader spread: 2.25% (reduced from 2.75%)</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Norway OpCo interest income: $200M × 4.75% = $9.5M (vs. $9M previously)</w:t>
      </w:r>
    </w:p>
    <w:p>
      <w:pPr>
        <w:shd w:fill="F0F0F0"/>
        <w:spacing w:after="0" w:line="240" w:lineRule="auto"/>
      </w:pPr>
      <w:r>
        <w:rPr>
          <w:rFonts w:ascii="Courier New" w:hAnsi="Courier New"/>
          <w:sz w:val="20"/>
        </w:rPr>
        <w:t>Additional Norway tax: $500K × 22% = $110K (benefit to Norway, reduces dispute)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Pool leader spread income: $200M × 2.25% = $4.5M (vs. $11M on full pool)</w:t>
      </w:r>
    </w:p>
    <w:p>
      <w:pPr>
        <w:shd w:fill="F0F0F0"/>
        <w:spacing w:after="0" w:line="240" w:lineRule="auto"/>
      </w:pPr>
      <w:r>
        <w:rPr>
          <w:rFonts w:ascii="Courier New" w:hAnsi="Courier New"/>
          <w:sz w:val="20"/>
        </w:rPr>
        <w:t>Netherlands tax savings: ($11M - $8M) × 25.8% = $774K (reduced income)</w:t>
      </w:r>
    </w:p>
    <w:p/>
    <w:p>
      <w:r>
        <w:rPr>
          <w:b/>
        </w:rPr>
        <w:t>Long-Term Consideration</w:t>
      </w:r>
      <w:r>
        <w:t>:</w:t>
      </w:r>
    </w:p>
    <w:p>
      <w:r>
        <w:t>If cash pool structure continues to face challenges, consider:</w:t>
      </w:r>
    </w:p>
    <w:p>
      <w:pPr>
        <w:pStyle w:val="ListBullet"/>
      </w:pPr>
      <w:r>
        <w:rPr>
          <w:b/>
        </w:rPr>
        <w:t>Notional pooling</w:t>
      </w:r>
      <w:r>
        <w:t xml:space="preserve"> (avoids actual interest payments, reduces WHT and TP issues)</w:t>
      </w:r>
    </w:p>
    <w:p>
      <w:pPr>
        <w:pStyle w:val="ListBullet"/>
      </w:pPr>
      <w:r>
        <w:rPr>
          <w:b/>
        </w:rPr>
        <w:t>Bilateral loans</w:t>
      </w:r>
      <w:r>
        <w:t xml:space="preserve"> (direct loans between participants, eliminating pool leader spread)</w:t>
      </w:r>
    </w:p>
    <w:p>
      <w:pPr>
        <w:pStyle w:val="ListBullet"/>
      </w:pPr>
      <w:r>
        <w:rPr>
          <w:b/>
        </w:rPr>
        <w:t>U.S. or Norwegian-based treasury center</w:t>
      </w:r>
      <w:r>
        <w:t xml:space="preserve"> (higher tax but simpler, less audit risk)</w:t>
      </w:r>
    </w:p>
    <w:p>
      <w:pPr>
        <w:spacing w:before="120" w:after="120"/>
        <w:pBdr>
          <w:bottom w:val="single" w:sz="6"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