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Thin capitalisation</w:t>
      </w:r>
    </w:p>
    <w:p>
      <w:pPr>
        <w:pStyle w:val="Heading1"/>
      </w:pPr>
      <w:r>
        <w:t>44. Thin Capitalisation</w:t>
      </w:r>
    </w:p>
    <w:p>
      <w:pPr>
        <w:pStyle w:val="Heading2"/>
      </w:pPr>
      <w:r>
        <w:t>Introduction</w:t>
      </w:r>
    </w:p>
    <w:p>
      <w:r>
        <w:rPr>
          <w:b/>
        </w:rPr>
        <w:t>Thin capitalization</w:t>
      </w:r>
      <w:r>
        <w:t xml:space="preserve"> (thin cap) refers to a situation where an entity is financed with </w:t>
      </w:r>
      <w:r>
        <w:rPr>
          <w:b/>
        </w:rPr>
        <w:t>excessive debt</w:t>
      </w:r>
      <w:r>
        <w:t xml:space="preserve"> relative to </w:t>
      </w:r>
      <w:r>
        <w:rPr>
          <w:b/>
        </w:rPr>
        <w:t>equity</w:t>
      </w:r>
      <w:r>
        <w:t xml:space="preserve">, typically through related-party borrowing. Multinational oil and gas companies may structure subsidiaries with high debt-to-equity ratios to maximize </w:t>
      </w:r>
      <w:r>
        <w:rPr>
          <w:b/>
        </w:rPr>
        <w:t>interest deductions</w:t>
      </w:r>
      <w:r>
        <w:t xml:space="preserve"> in high-tax jurisdictions while concentrating profits in low-tax jurisdictions.</w:t>
      </w:r>
    </w:p>
    <w:p>
      <w:r>
        <w:t xml:space="preserve">Tax authorities combat this through </w:t>
      </w:r>
      <w:r>
        <w:rPr>
          <w:b/>
        </w:rPr>
        <w:t>thin capitalization rules</w:t>
      </w:r>
      <w:r>
        <w:t xml:space="preserve"> that limit interest deductibility when debt levels are deemed excessive. The </w:t>
      </w:r>
      <w:r>
        <w:rPr>
          <w:b/>
        </w:rPr>
        <w:t>OECD BEPS Action 4</w:t>
      </w:r>
      <w:r>
        <w:t xml:space="preserve"> initiative has led to widespread adoption of </w:t>
      </w:r>
      <w:r>
        <w:rPr>
          <w:b/>
        </w:rPr>
        <w:t>earnings stripping rules</w:t>
      </w:r>
      <w:r>
        <w:t xml:space="preserve"> limiting interest deductions to a percentage of </w:t>
      </w:r>
      <w:r>
        <w:rPr>
          <w:b/>
        </w:rPr>
        <w:t>EBITDA</w:t>
      </w:r>
      <w:r>
        <w:t xml:space="preserve"> (typically </w:t>
      </w:r>
      <w:r>
        <w:rPr>
          <w:b/>
        </w:rPr>
        <w:t>10-30%</w:t>
      </w:r>
      <w:r>
        <w:t>), supplementing or replacing traditional debt-to-equity ratio tests.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Traditional Thin Capitalization Rules</w:t>
      </w:r>
    </w:p>
    <w:p>
      <w:pPr>
        <w:pStyle w:val="Heading3"/>
      </w:pPr>
      <w:r>
        <w:t>1.1 Debt-to-Equity Ratio Tests</w:t>
      </w:r>
    </w:p>
    <w:p>
      <w:r>
        <w:t xml:space="preserve">Some jurisdictions impose </w:t>
      </w:r>
      <w:r>
        <w:rPr>
          <w:b/>
        </w:rPr>
        <w:t>maximum debt-to-equity ratios</w:t>
      </w:r>
      <w:r>
        <w:t xml:space="preserve"> beyond which interest on excess debt is non-deductible. However, many countries have transitioned to earnings-stripping rules (EBITDA-based limits) following OECD BEPS Action 4.</w:t>
      </w:r>
    </w:p>
    <w:p>
      <w:r>
        <w:rPr>
          <w:b/>
        </w:rPr>
        <w:t>Historical and Current Examples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Debt-to-Equity Ratio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Current 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Excess Interest Treatment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China</w:t>
            </w:r>
          </w:p>
        </w:tc>
        <w:tc>
          <w:tcPr>
            <w:tcW w:type="dxa" w:w="2160"/>
          </w:tcPr>
          <w:p>
            <w:r/>
            <w:r>
              <w:t>2:1 (non-financial)</w:t>
            </w:r>
          </w:p>
        </w:tc>
        <w:tc>
          <w:tcPr>
            <w:tcW w:type="dxa" w:w="2160"/>
          </w:tcPr>
          <w:p>
            <w:r/>
            <w:r>
              <w:t>Active</w:t>
            </w:r>
          </w:p>
        </w:tc>
        <w:tc>
          <w:tcPr>
            <w:tcW w:type="dxa" w:w="2160"/>
          </w:tcPr>
          <w:p>
            <w:r/>
            <w:r>
              <w:t>Non-deductible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Brazil</w:t>
            </w:r>
          </w:p>
        </w:tc>
        <w:tc>
          <w:tcPr>
            <w:tcW w:type="dxa" w:w="2160"/>
          </w:tcPr>
          <w:p>
            <w:r/>
            <w:r>
              <w:t>2:1 (related parties)</w:t>
            </w:r>
          </w:p>
        </w:tc>
        <w:tc>
          <w:tcPr>
            <w:tcW w:type="dxa" w:w="2160"/>
          </w:tcPr>
          <w:p>
            <w:r/>
            <w:r>
              <w:t>Active</w:t>
            </w:r>
          </w:p>
        </w:tc>
        <w:tc>
          <w:tcPr>
            <w:tcW w:type="dxa" w:w="2160"/>
          </w:tcPr>
          <w:p>
            <w:r/>
            <w:r>
              <w:t>Non-deductible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Germany</w:t>
            </w:r>
          </w:p>
        </w:tc>
        <w:tc>
          <w:tcPr>
            <w:tcW w:type="dxa" w:w="2160"/>
          </w:tcPr>
          <w:p>
            <w:r/>
            <w:r>
              <w:t>1.5:1 (historical)</w:t>
            </w:r>
          </w:p>
        </w:tc>
        <w:tc>
          <w:tcPr>
            <w:tcW w:type="dxa" w:w="2160"/>
          </w:tcPr>
          <w:p>
            <w:r/>
            <w:r>
              <w:t>Replaced 2008 with EBITDA rule</w:t>
            </w:r>
          </w:p>
        </w:tc>
        <w:tc>
          <w:tcPr>
            <w:tcW w:type="dxa" w:w="2160"/>
          </w:tcPr>
          <w:p>
            <w:r/>
            <w:r>
              <w:t>N/A - now uses 30% EBITDA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Spain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Uses 30% EBITDA (effective 2024)</w:t>
            </w:r>
          </w:p>
        </w:tc>
        <w:tc>
          <w:tcPr>
            <w:tcW w:type="dxa" w:w="2160"/>
          </w:tcPr>
          <w:p>
            <w:r/>
            <w:r>
              <w:t>N/A - earnings stripping rule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India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Uses 30% EBITDA (Section 94B, Finance Act 2017)</w:t>
            </w:r>
          </w:p>
        </w:tc>
        <w:tc>
          <w:tcPr>
            <w:tcW w:type="dxa" w:w="2160"/>
          </w:tcPr>
          <w:p>
            <w:r/>
            <w:r>
              <w:t>N/A - earnings stripping rule</w:t>
            </w:r>
          </w:p>
        </w:tc>
      </w:tr>
    </w:tbl>
    <w:p/>
    <w:p>
      <w:r>
        <w:rPr>
          <w:b/>
        </w:rPr>
        <w:t>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Debt-to-Equity Ratio = Related-Party Debt / Equity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actual ratio &gt; Safe harbor ratio, excess interest is disallowed: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Debt = Total Debt - (Equity × Safe Harbor Ratio)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Disallowed Interest = Total Interest × (Excess Debt / Total Debt)</w:t>
      </w:r>
    </w:p>
    <w:p/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Brazilian subsidiary: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Related-party debt: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Equity: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Debt-to-equity ratio: 4:1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safe harbor: 2:1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Permitted debt: $50M × 2 =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debt: $200M - $100M =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interest expense: $16M (at 8%)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Disallowed interest: $16M × ($100M / $200M) = $8M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Allowed deduction: $8M</w:t>
      </w:r>
    </w:p>
    <w:p/>
    <w:p>
      <w:pPr>
        <w:pStyle w:val="Heading3"/>
      </w:pPr>
      <w:r>
        <w:t>1.2 Limitations of Ratio Tests</w:t>
      </w:r>
    </w:p>
    <w:p>
      <w:r>
        <w:rPr>
          <w:b/>
        </w:rPr>
        <w:t>Issues</w:t>
      </w:r>
      <w:r>
        <w:t>:</w:t>
      </w:r>
    </w:p>
    <w:p>
      <w:pPr>
        <w:pStyle w:val="ListNumber"/>
      </w:pPr>
      <w:r>
        <w:rPr>
          <w:b/>
        </w:rPr>
        <w:t>Industry differences</w:t>
      </w:r>
      <w:r>
        <w:t>: Capital-intensive industries (oil &amp; gas) naturally have higher leverage than service industries</w:t>
      </w:r>
    </w:p>
    <w:p>
      <w:pPr>
        <w:pStyle w:val="ListNumber"/>
      </w:pPr>
      <w:r>
        <w:rPr>
          <w:b/>
        </w:rPr>
        <w:t>Business cycle</w:t>
      </w:r>
      <w:r>
        <w:t>: Ratios fluctuate with commodity prices affecting equity values</w:t>
      </w:r>
    </w:p>
    <w:p>
      <w:pPr>
        <w:pStyle w:val="ListNumber"/>
      </w:pPr>
      <w:r>
        <w:rPr>
          <w:b/>
        </w:rPr>
        <w:t>Easily circumvented</w:t>
      </w:r>
      <w:r>
        <w:t>: Increasing equity slightly can restore ratio compliance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BEPS Action 4: Earnings Stripping Rules</w:t>
      </w:r>
    </w:p>
    <w:p>
      <w:pPr>
        <w:pStyle w:val="Heading3"/>
      </w:pPr>
      <w:r>
        <w:t>2.1 Fixed Ratio Rule</w:t>
      </w:r>
    </w:p>
    <w:p>
      <w:r>
        <w:rPr>
          <w:b/>
        </w:rPr>
        <w:t>OECD BEPS Action 4 (2015-2016)</w:t>
      </w:r>
      <w:r>
        <w:t xml:space="preserve">: Recommends limiting interest deductions to </w:t>
      </w:r>
      <w:r>
        <w:rPr>
          <w:b/>
        </w:rPr>
        <w:t>10-30% of EBITDA</w:t>
      </w:r>
      <w:r>
        <w:t>, with countries selecting where within this range to set the limit.</w:t>
      </w:r>
    </w:p>
    <w:p>
      <w:r>
        <w:rPr>
          <w:b/>
        </w:rPr>
        <w:t>Most Common</w:t>
      </w:r>
      <w:r>
        <w:t xml:space="preserve">: </w:t>
      </w:r>
      <w:r>
        <w:rPr>
          <w:b/>
        </w:rPr>
        <w:t>30% of EBITDA</w:t>
      </w:r>
      <w:r>
        <w:t xml:space="preserve"> (adopted by EU under Anti-Tax Avoidance Directive (ATAD), UK, Germany, Netherlands, Spain, India, and others)</w:t>
      </w:r>
    </w:p>
    <w:p>
      <w:r>
        <w:rPr>
          <w:b/>
        </w:rPr>
        <w:t>Formula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Deductible Interest = EBITDA ×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EBITDA = Earnings Before Interest, Tax, Depreciation, Amortization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actual interest expense &gt; limit, excess is disallowed (but may be carried forward)</w:t>
      </w:r>
    </w:p>
    <w:p/>
    <w:p>
      <w:r>
        <w:rPr>
          <w:b/>
        </w:rPr>
        <w:t>Advantages</w:t>
      </w:r>
      <w:r>
        <w:t>:</w:t>
      </w:r>
    </w:p>
    <w:p>
      <w:pPr>
        <w:pStyle w:val="ListBullet"/>
      </w:pPr>
      <w:r>
        <w:rPr>
          <w:b/>
        </w:rPr>
        <w:t>Economic link</w:t>
      </w:r>
      <w:r>
        <w:t>: Ties interest deductibility to economic activity</w:t>
      </w:r>
    </w:p>
    <w:p>
      <w:pPr>
        <w:pStyle w:val="ListBullet"/>
      </w:pPr>
      <w:r>
        <w:rPr>
          <w:b/>
        </w:rPr>
        <w:t>Uniform application</w:t>
      </w:r>
      <w:r>
        <w:t>: Easier to apply than debt-to-equity ratios</w:t>
      </w:r>
    </w:p>
    <w:p>
      <w:pPr>
        <w:pStyle w:val="ListBullet"/>
      </w:pPr>
      <w:r>
        <w:rPr>
          <w:b/>
        </w:rPr>
        <w:t>Cyclical adjustment</w:t>
      </w:r>
      <w:r>
        <w:t>: Automatically adjusts with profitability</w:t>
      </w:r>
    </w:p>
    <w:p>
      <w:pPr>
        <w:pStyle w:val="Heading3"/>
      </w:pPr>
      <w:r>
        <w:t>2.2 Group Ratio Rule</w:t>
      </w:r>
    </w:p>
    <w:p>
      <w:r>
        <w:rPr>
          <w:b/>
        </w:rPr>
        <w:t>Alternative Test</w:t>
      </w:r>
      <w:r>
        <w:t xml:space="preserve">: Entity may deduct more interest if it can demonstrate that the </w:t>
      </w:r>
      <w:r>
        <w:rPr>
          <w:b/>
        </w:rPr>
        <w:t>group's</w:t>
      </w:r>
      <w:r>
        <w:t xml:space="preserve"> net interest/EBITDA ratio exceeds the entity's ratio.</w:t>
      </w:r>
    </w:p>
    <w:p>
      <w:r>
        <w:rPr>
          <w:b/>
        </w:rPr>
        <w:t>Purpose</w:t>
      </w:r>
      <w:r>
        <w:t>: Allows highly-leveraged groups to deduct interest up to the group's consolidated ratio, provided the entity's ratio doesn't exceed it.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Entity A interest expense: $40M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Entity A EBITDA: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Entity A ratio: 40%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Fixed ratio rule (30%): Would disallow $10M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Group consolidated: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Group interest expense: $300M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Group EBITDA: $1,000M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Group ratio: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Entity A's 40% &gt; Group's 30% → Fixed ratio applies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Entity A's ratio were ≤ Group's ratio, Entity A could deduct full $40M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Application to Oil &amp; Gas Sector</w:t>
      </w:r>
    </w:p>
    <w:p>
      <w:pPr>
        <w:pStyle w:val="Heading3"/>
      </w:pPr>
      <w:r>
        <w:t>3.1 High Leverage in Upstream</w:t>
      </w:r>
    </w:p>
    <w:p>
      <w:r>
        <w:rPr>
          <w:b/>
        </w:rPr>
        <w:t>Oil &amp; gas upstream operations</w:t>
      </w:r>
      <w:r>
        <w:t xml:space="preserve"> are capital-intensive, requiring significant debt financing for:</w:t>
      </w:r>
    </w:p>
    <w:p>
      <w:pPr>
        <w:pStyle w:val="ListBullet"/>
      </w:pPr>
      <w:r>
        <w:rPr>
          <w:b/>
        </w:rPr>
        <w:t>Exploration and appraisal</w:t>
      </w:r>
      <w:r>
        <w:t>: Seismic surveys, drilling exploratory wells</w:t>
      </w:r>
    </w:p>
    <w:p>
      <w:pPr>
        <w:pStyle w:val="ListBullet"/>
      </w:pPr>
      <w:r>
        <w:rPr>
          <w:b/>
        </w:rPr>
        <w:t>Development capex</w:t>
      </w:r>
      <w:r>
        <w:t>: Platform construction, subsea infrastructure, pipelines</w:t>
      </w:r>
    </w:p>
    <w:p>
      <w:pPr>
        <w:pStyle w:val="ListBullet"/>
      </w:pPr>
      <w:r>
        <w:rPr>
          <w:b/>
        </w:rPr>
        <w:t>Acquisitions</w:t>
      </w:r>
      <w:r>
        <w:t>: Purchasing reserves, concessions, or companies</w:t>
      </w:r>
    </w:p>
    <w:p>
      <w:r>
        <w:rPr>
          <w:b/>
        </w:rPr>
        <w:t>Typical Leverage</w:t>
      </w:r>
      <w:r>
        <w:t xml:space="preserve">: Debt-to-equity ratios of </w:t>
      </w:r>
      <w:r>
        <w:rPr>
          <w:b/>
        </w:rPr>
        <w:t>2:1 to 4:1</w:t>
      </w:r>
      <w:r>
        <w:t xml:space="preserve"> are common and commercially justifiable.</w:t>
      </w:r>
    </w:p>
    <w:p>
      <w:r>
        <w:rPr>
          <w:b/>
        </w:rPr>
        <w:t>Challenge</w:t>
      </w:r>
      <w:r>
        <w:t>: Thin cap rules may disallow commercially reasonable interest deductions, creating cashflow pressure.</w:t>
      </w:r>
    </w:p>
    <w:p>
      <w:pPr>
        <w:pStyle w:val="Heading3"/>
      </w:pPr>
      <w:r>
        <w:t>3.2 EBITDA Volatility</w:t>
      </w:r>
    </w:p>
    <w:p>
      <w:r>
        <w:rPr>
          <w:b/>
        </w:rPr>
        <w:t>Commodity Price Sensitivity</w:t>
      </w:r>
      <w:r>
        <w:t>: EBITDA fluctuates significantly with oil and gas prices.</w:t>
      </w:r>
    </w:p>
    <w:p>
      <w:r>
        <w:rPr>
          <w:b/>
        </w:rPr>
        <w:t>Impact on Interest Limitation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Oil Price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Annual EBITDA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30% Limit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Interest Expense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Disallowed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$80/bbl</w:t>
            </w:r>
          </w:p>
        </w:tc>
        <w:tc>
          <w:tcPr>
            <w:tcW w:type="dxa" w:w="1728"/>
          </w:tcPr>
          <w:p>
            <w:r/>
            <w:r>
              <w:t>$150M</w:t>
            </w:r>
          </w:p>
        </w:tc>
        <w:tc>
          <w:tcPr>
            <w:tcW w:type="dxa" w:w="1728"/>
          </w:tcPr>
          <w:p>
            <w:r/>
            <w:r>
              <w:t>$45M</w:t>
            </w:r>
          </w:p>
        </w:tc>
        <w:tc>
          <w:tcPr>
            <w:tcW w:type="dxa" w:w="1728"/>
          </w:tcPr>
          <w:p>
            <w:r/>
            <w:r>
              <w:t>$40M</w:t>
            </w:r>
          </w:p>
        </w:tc>
        <w:tc>
          <w:tcPr>
            <w:tcW w:type="dxa" w:w="1728"/>
          </w:tcPr>
          <w:p>
            <w:r/>
            <w:r>
              <w:t>$0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$50/bbl</w:t>
            </w:r>
          </w:p>
        </w:tc>
        <w:tc>
          <w:tcPr>
            <w:tcW w:type="dxa" w:w="1728"/>
          </w:tcPr>
          <w:p>
            <w:r/>
            <w:r>
              <w:t>$80M</w:t>
            </w:r>
          </w:p>
        </w:tc>
        <w:tc>
          <w:tcPr>
            <w:tcW w:type="dxa" w:w="1728"/>
          </w:tcPr>
          <w:p>
            <w:r/>
            <w:r>
              <w:t>$24M</w:t>
            </w:r>
          </w:p>
        </w:tc>
        <w:tc>
          <w:tcPr>
            <w:tcW w:type="dxa" w:w="1728"/>
          </w:tcPr>
          <w:p>
            <w:r/>
            <w:r>
              <w:t>$40M</w:t>
            </w:r>
          </w:p>
        </w:tc>
        <w:tc>
          <w:tcPr>
            <w:tcW w:type="dxa" w:w="1728"/>
          </w:tcPr>
          <w:p>
            <w:r/>
            <w:r>
              <w:t>$16M</w:t>
            </w:r>
          </w:p>
        </w:tc>
      </w:tr>
    </w:tbl>
    <w:p/>
    <w:p>
      <w:r>
        <w:rPr>
          <w:b/>
        </w:rPr>
        <w:t>Result</w:t>
      </w:r>
      <w:r>
        <w:t>: In low-price environment, significant interest becomes non-deductible despite unchanged debt levels.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Exemptions and Carve-Outs</w:t>
      </w:r>
    </w:p>
    <w:p>
      <w:pPr>
        <w:pStyle w:val="Heading3"/>
      </w:pPr>
      <w:r>
        <w:t>4.1 De Minimis Thresholds</w:t>
      </w:r>
    </w:p>
    <w:p>
      <w:r>
        <w:t xml:space="preserve">Many jurisdictions provide </w:t>
      </w:r>
      <w:r>
        <w:rPr>
          <w:b/>
        </w:rPr>
        <w:t>exemptions</w:t>
      </w:r>
      <w:r>
        <w:t xml:space="preserve"> for:</w:t>
      </w:r>
    </w:p>
    <w:p>
      <w:pPr>
        <w:pStyle w:val="ListBullet"/>
      </w:pPr>
      <w:r>
        <w:rPr>
          <w:b/>
        </w:rPr>
        <w:t>Small entities</w:t>
      </w:r>
      <w:r>
        <w:t>: Total interest expense below threshold (e.g., EUR 3 million under EU Anti-Tax Avoidance Directive (ATAD) Article 4, allowing Member States to permit full deduction of exceeding borrowing costs up to this amount)</w:t>
      </w:r>
    </w:p>
    <w:p>
      <w:pPr>
        <w:pStyle w:val="ListBullet"/>
      </w:pPr>
      <w:r>
        <w:rPr>
          <w:b/>
        </w:rPr>
        <w:t>Standalone entities</w:t>
      </w:r>
      <w:r>
        <w:t>: No related-party debt</w:t>
      </w:r>
    </w:p>
    <w:p>
      <w:pPr>
        <w:pStyle w:val="ListBullet"/>
      </w:pPr>
      <w:r>
        <w:rPr>
          <w:b/>
        </w:rPr>
        <w:t>Financial institutions</w:t>
      </w:r>
      <w:r>
        <w:t>: Banks, insurance companies (subject to sector-specific rules)</w:t>
      </w:r>
    </w:p>
    <w:p>
      <w:pPr>
        <w:pStyle w:val="Heading3"/>
      </w:pPr>
      <w:r>
        <w:t>4.2 Public Infrastructure Exemption</w:t>
      </w:r>
    </w:p>
    <w:p>
      <w:r>
        <w:rPr>
          <w:b/>
        </w:rPr>
        <w:t>OECD BEPS Action 4</w:t>
      </w:r>
      <w:r>
        <w:t xml:space="preserve">: Recommends exemption for </w:t>
      </w:r>
      <w:r>
        <w:rPr>
          <w:b/>
        </w:rPr>
        <w:t>public benefit infrastructure projects</w:t>
      </w:r>
      <w:r>
        <w:t xml:space="preserve"> with long-term, non-recourse debt.</w:t>
      </w:r>
    </w:p>
    <w:p>
      <w:r>
        <w:rPr>
          <w:b/>
        </w:rPr>
        <w:t>Relevance to Oil &amp; Gas</w:t>
      </w:r>
      <w:r>
        <w:t xml:space="preserve">: Large </w:t>
      </w:r>
      <w:r>
        <w:rPr>
          <w:b/>
        </w:rPr>
        <w:t>LNG projects</w:t>
      </w:r>
      <w:r>
        <w:t xml:space="preserve">, </w:t>
      </w:r>
      <w:r>
        <w:rPr>
          <w:b/>
        </w:rPr>
        <w:t>pipelines</w:t>
      </w:r>
      <w:r>
        <w:t xml:space="preserve">, and </w:t>
      </w:r>
      <w:r>
        <w:rPr>
          <w:b/>
        </w:rPr>
        <w:t>offshore platforms</w:t>
      </w:r>
      <w:r>
        <w:t xml:space="preserve"> with </w:t>
      </w:r>
      <w:r>
        <w:rPr>
          <w:b/>
        </w:rPr>
        <w:t>project finance</w:t>
      </w:r>
      <w:r>
        <w:t xml:space="preserve"> structures may qualify.</w:t>
      </w:r>
    </w:p>
    <w:p>
      <w:pPr>
        <w:pStyle w:val="Heading3"/>
      </w:pPr>
      <w:r>
        <w:t>4.3 Interest Carry-Forward</w:t>
      </w:r>
    </w:p>
    <w:p>
      <w:r>
        <w:rPr>
          <w:b/>
        </w:rPr>
        <w:t>Most jurisdictions</w:t>
      </w:r>
      <w:r>
        <w:t xml:space="preserve"> allow </w:t>
      </w:r>
      <w:r>
        <w:rPr>
          <w:b/>
        </w:rPr>
        <w:t>disallowed interest</w:t>
      </w:r>
      <w:r>
        <w:t xml:space="preserve"> to be </w:t>
      </w:r>
      <w:r>
        <w:rPr>
          <w:b/>
        </w:rPr>
        <w:t>carried forward</w:t>
      </w:r>
      <w:r>
        <w:t xml:space="preserve"> and deducted in future years when EBITDA is higher.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1: Interest $40M, EBITDA $80M, Limit $24M → $16M disallowed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2: Interest $40M, EBITDA $150M, Limit $45M → $40M + $16M carryforward = $56M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Can deduct: $45M in Year 2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carryforward: $56M - $45M = $11M (to Year 3)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Planning Considerations</w:t>
      </w:r>
    </w:p>
    <w:p>
      <w:pPr>
        <w:pStyle w:val="Heading3"/>
      </w:pPr>
      <w:r>
        <w:t>5.1 Equity vs. Debt Financing</w:t>
      </w:r>
    </w:p>
    <w:p>
      <w:r>
        <w:rPr>
          <w:b/>
        </w:rPr>
        <w:t>Trade-Off</w:t>
      </w:r>
      <w:r>
        <w:t>:</w:t>
      </w:r>
    </w:p>
    <w:p>
      <w:pPr>
        <w:pStyle w:val="ListBullet"/>
      </w:pPr>
      <w:r>
        <w:rPr>
          <w:b/>
        </w:rPr>
        <w:t>Debt</w:t>
      </w:r>
      <w:r>
        <w:t>: Interest deductible (subject to thin cap), but dividend repatriation not deductible</w:t>
      </w:r>
    </w:p>
    <w:p>
      <w:pPr>
        <w:pStyle w:val="ListBullet"/>
      </w:pPr>
      <w:r>
        <w:rPr>
          <w:b/>
        </w:rPr>
        <w:t>Equity</w:t>
      </w:r>
      <w:r>
        <w:t>: No interest deduction, but may benefit from participation exemption on dividends</w:t>
      </w:r>
    </w:p>
    <w:p>
      <w:r>
        <w:rPr>
          <w:b/>
        </w:rPr>
        <w:t>Optimization</w:t>
      </w:r>
      <w:r>
        <w:t>: Model optimal debt-to-equity ratio considering:</w:t>
      </w:r>
    </w:p>
    <w:p>
      <w:pPr>
        <w:pStyle w:val="ListBullet"/>
      </w:pPr>
      <w:r>
        <w:rPr>
          <w:b/>
        </w:rPr>
        <w:t>Thin cap limits</w:t>
      </w:r>
      <w:r>
        <w:t xml:space="preserve"> (debt-to-equity and EBITDA tests)</w:t>
      </w:r>
    </w:p>
    <w:p>
      <w:pPr>
        <w:pStyle w:val="ListBullet"/>
      </w:pPr>
      <w:r>
        <w:rPr>
          <w:b/>
        </w:rPr>
        <w:t>CFC rules</w:t>
      </w:r>
      <w:r>
        <w:t xml:space="preserve"> (excessive passive income from interest)</w:t>
      </w:r>
    </w:p>
    <w:p>
      <w:pPr>
        <w:pStyle w:val="ListBullet"/>
      </w:pPr>
      <w:r>
        <w:rPr>
          <w:b/>
        </w:rPr>
        <w:t>WHT on dividends vs. interest</w:t>
      </w:r>
    </w:p>
    <w:p>
      <w:pPr>
        <w:pStyle w:val="Heading3"/>
      </w:pPr>
      <w:r>
        <w:t>5.2 Third-Party Debt Push-Down</w:t>
      </w:r>
    </w:p>
    <w:p>
      <w:r>
        <w:rPr>
          <w:b/>
        </w:rPr>
        <w:t>Structure</w:t>
      </w:r>
      <w:r>
        <w:t xml:space="preserve">: Parent borrows externally and </w:t>
      </w:r>
      <w:r>
        <w:rPr>
          <w:b/>
        </w:rPr>
        <w:t>contributes</w:t>
      </w:r>
      <w:r>
        <w:t xml:space="preserve"> proceeds as equity to subsidiary, avoiding related-party debt classification.</w:t>
      </w:r>
    </w:p>
    <w:p>
      <w:r>
        <w:rPr>
          <w:b/>
        </w:rPr>
        <w:t>Limitation</w:t>
      </w:r>
      <w:r>
        <w:t xml:space="preserve">: Some thin cap rules apply to </w:t>
      </w:r>
      <w:r>
        <w:rPr>
          <w:b/>
        </w:rPr>
        <w:t>all debt</w:t>
      </w:r>
      <w:r>
        <w:t xml:space="preserve"> (not just related-party), particularly EBITDA-based rules.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Thin Capitalization Impact on Oil &amp; Gas Subsidiary</w:t>
      </w:r>
    </w:p>
    <w:p>
      <w:pPr>
        <w:pStyle w:val="Heading3"/>
      </w:pPr>
      <w:r>
        <w:t>Facts</w:t>
      </w:r>
    </w:p>
    <w:p>
      <w:r>
        <w:rPr>
          <w:b/>
        </w:rPr>
        <w:t>GlobalPetro Inc.</w:t>
      </w:r>
      <w:r>
        <w:t xml:space="preserve"> (U.S. parent) owns </w:t>
      </w:r>
      <w:r>
        <w:rPr>
          <w:b/>
        </w:rPr>
        <w:t>GlobalPetro Brasil Ltda.</w:t>
      </w:r>
      <w:r>
        <w:t>, a Brazilian E&amp;P subsidiary operating in the Santos Basin. The subsidiary was capitalized as follows:</w:t>
      </w:r>
    </w:p>
    <w:p>
      <w:pPr>
        <w:pStyle w:val="ListBullet"/>
      </w:pPr>
      <w:r>
        <w:rPr>
          <w:b/>
        </w:rPr>
        <w:t>Equity</w:t>
      </w:r>
      <w:r>
        <w:t>: $100 million (from parent)</w:t>
      </w:r>
    </w:p>
    <w:p>
      <w:pPr>
        <w:pStyle w:val="ListBullet"/>
      </w:pPr>
      <w:r>
        <w:rPr>
          <w:b/>
        </w:rPr>
        <w:t>Intercompany debt</w:t>
      </w:r>
      <w:r>
        <w:t>: $400 million (from parent at 8% interest)</w:t>
      </w:r>
    </w:p>
    <w:p>
      <w:pPr>
        <w:pStyle w:val="ListBullet"/>
      </w:pPr>
      <w:r>
        <w:rPr>
          <w:b/>
        </w:rPr>
        <w:t>Total capitalization</w:t>
      </w:r>
      <w:r>
        <w:t>: $500 million</w:t>
      </w:r>
    </w:p>
    <w:p>
      <w:r>
        <w:rPr>
          <w:b/>
        </w:rPr>
        <w:t>Debt-to-Equity Ratio</w:t>
      </w:r>
      <w:r>
        <w:t>: 4:1</w:t>
      </w:r>
    </w:p>
    <w:p>
      <w:r>
        <w:rPr>
          <w:b/>
        </w:rPr>
        <w:t>Annual Financial Results (2024)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Revenue</w:t>
            </w:r>
          </w:p>
        </w:tc>
        <w:tc>
          <w:tcPr>
            <w:tcW w:type="dxa" w:w="4320"/>
          </w:tcPr>
          <w:p>
            <w:r/>
            <w:r>
              <w:t>$300M</w:t>
            </w:r>
          </w:p>
        </w:tc>
      </w:tr>
      <w:tr>
        <w:tc>
          <w:tcPr>
            <w:tcW w:type="dxa" w:w="4320"/>
          </w:tcPr>
          <w:p>
            <w:r/>
            <w:r>
              <w:t>Operating expenses (excluding interest, depreciation)</w:t>
            </w:r>
          </w:p>
        </w:tc>
        <w:tc>
          <w:tcPr>
            <w:tcW w:type="dxa" w:w="4320"/>
          </w:tcPr>
          <w:p>
            <w:r/>
            <w:r>
              <w:t>$150M</w:t>
            </w:r>
          </w:p>
        </w:tc>
      </w:tr>
      <w:tr>
        <w:tc>
          <w:tcPr>
            <w:tcW w:type="dxa" w:w="4320"/>
          </w:tcPr>
          <w:p>
            <w:r/>
            <w:r>
              <w:t>Depreciation</w:t>
            </w:r>
          </w:p>
        </w:tc>
        <w:tc>
          <w:tcPr>
            <w:tcW w:type="dxa" w:w="4320"/>
          </w:tcPr>
          <w:p>
            <w:r/>
            <w:r>
              <w:t>$50M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$150M</w:t>
            </w:r>
          </w:p>
        </w:tc>
      </w:tr>
      <w:tr>
        <w:tc>
          <w:tcPr>
            <w:tcW w:type="dxa" w:w="4320"/>
          </w:tcPr>
          <w:p>
            <w:r/>
            <w:r>
              <w:t>Interest expense (to parent)</w:t>
            </w:r>
          </w:p>
        </w:tc>
        <w:tc>
          <w:tcPr>
            <w:tcW w:type="dxa" w:w="4320"/>
          </w:tcPr>
          <w:p>
            <w:r/>
            <w:r>
              <w:t>$32M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EBT</w:t>
            </w:r>
          </w:p>
        </w:tc>
        <w:tc>
          <w:tcPr>
            <w:tcW w:type="dxa" w:w="4320"/>
          </w:tcPr>
          <w:p>
            <w:r/>
            <w:r>
              <w:t>$118M</w:t>
            </w:r>
          </w:p>
        </w:tc>
      </w:tr>
    </w:tbl>
    <w:p/>
    <w:p>
      <w:r>
        <w:rPr>
          <w:b/>
        </w:rPr>
        <w:t>Brazil Tax Rules</w:t>
      </w:r>
      <w:r>
        <w:t>:</w:t>
      </w:r>
    </w:p>
    <w:p>
      <w:pPr>
        <w:pStyle w:val="ListNumber"/>
      </w:pPr>
      <w:r>
        <w:rPr>
          <w:b/>
        </w:rPr>
        <w:t>Thin Cap Ratio</w:t>
      </w:r>
      <w:r>
        <w:t>: 2:1 (debt-to-equity)</w:t>
      </w:r>
    </w:p>
    <w:p>
      <w:pPr>
        <w:pStyle w:val="ListNumber"/>
      </w:pPr>
      <w:r>
        <w:rPr>
          <w:b/>
        </w:rPr>
        <w:t>BEPS-Style Earnings Stripping</w:t>
      </w:r>
      <w:r>
        <w:t>: 30% of EBITDA (recently implemented)</w:t>
      </w:r>
    </w:p>
    <w:p>
      <w:pPr>
        <w:pStyle w:val="ListNumber"/>
      </w:pPr>
      <w:r>
        <w:rPr>
          <w:b/>
        </w:rPr>
        <w:t>Corporate tax rate</w:t>
      </w:r>
      <w:r>
        <w:t>: 34%</w:t>
      </w:r>
    </w:p>
    <w:p>
      <w:r>
        <w:rPr>
          <w:b/>
        </w:rPr>
        <w:t>Parent Loan Terms</w:t>
      </w:r>
      <w:r>
        <w:t>:</w:t>
      </w:r>
    </w:p>
    <w:p>
      <w:pPr>
        <w:pStyle w:val="ListBullet"/>
      </w:pPr>
      <w:r>
        <w:rPr>
          <w:b/>
        </w:rPr>
        <w:t>Interest rate</w:t>
      </w:r>
      <w:r>
        <w:t>: 8% (arm's length, benchmarked to comparable loans)</w:t>
      </w:r>
    </w:p>
    <w:p>
      <w:pPr>
        <w:pStyle w:val="ListBullet"/>
      </w:pPr>
      <w:r>
        <w:rPr>
          <w:b/>
        </w:rPr>
        <w:t>No guarantee</w:t>
      </w:r>
      <w:r>
        <w:t xml:space="preserve"> from parent (subsidiary standalone credit)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Calculate </w:t>
      </w:r>
      <w:r>
        <w:rPr>
          <w:b/>
        </w:rPr>
        <w:t>disallowed interest</w:t>
      </w:r>
      <w:r>
        <w:t xml:space="preserve"> under Brazil's thin cap rules</w:t>
      </w:r>
    </w:p>
    <w:p>
      <w:pPr>
        <w:pStyle w:val="ListNumber"/>
      </w:pPr>
      <w:r>
        <w:t xml:space="preserve">Calculate </w:t>
      </w:r>
      <w:r>
        <w:rPr>
          <w:b/>
        </w:rPr>
        <w:t>disallowed interest</w:t>
      </w:r>
      <w:r>
        <w:t xml:space="preserve"> under the EBITDA limitation rule</w:t>
      </w:r>
    </w:p>
    <w:p>
      <w:pPr>
        <w:pStyle w:val="ListNumber"/>
      </w:pPr>
      <w:r>
        <w:t xml:space="preserve">Determine the </w:t>
      </w:r>
      <w:r>
        <w:rPr>
          <w:b/>
        </w:rPr>
        <w:t>additional Brazilian tax</w:t>
      </w:r>
      <w:r>
        <w:t xml:space="preserve"> due to interest disallowance</w:t>
      </w:r>
    </w:p>
    <w:p>
      <w:pPr>
        <w:pStyle w:val="ListNumber"/>
      </w:pPr>
      <w:r>
        <w:t xml:space="preserve">Evaluate </w:t>
      </w:r>
      <w:r>
        <w:rPr>
          <w:b/>
        </w:rPr>
        <w:t>restructuring options</w:t>
      </w:r>
      <w:r>
        <w:t xml:space="preserve"> to optimize tax position</w:t>
      </w:r>
    </w:p>
    <w:p>
      <w:pPr>
        <w:pStyle w:val="Heading3"/>
      </w:pPr>
      <w:r>
        <w:t>Analysis</w:t>
      </w:r>
    </w:p>
    <w:p>
      <w:r>
        <w:rPr>
          <w:b/>
        </w:rPr>
        <w:t>Step 1: Thin Cap Rule (Debt-to-Equity Ratio Test)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debt-to-equity ratio: $400M / $100M = 4:1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safe harbor: 2:1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permitted debt: $100M × 2 =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debt: $400M - $200M =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interest: $32M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Disallowed interest (thin cap): $32M × ($200M / $400M) = $16M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Allowed deduction: $16M</w:t>
      </w:r>
    </w:p>
    <w:p/>
    <w:p>
      <w:r>
        <w:rPr>
          <w:b/>
        </w:rPr>
        <w:t>Step 2: EBITDA Limitation Rule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EBITDA: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30% EBITDA limit: $150M × 30% = $45M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interest: $32M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Since $32M &lt; $45M → Fully deductible under EBITDA rule</w:t>
      </w:r>
    </w:p>
    <w:p/>
    <w:p>
      <w:r>
        <w:rPr>
          <w:b/>
        </w:rPr>
        <w:t>Step 3: Applicable Rule</w:t>
      </w:r>
    </w:p>
    <w:p>
      <w:r>
        <w:rPr>
          <w:b/>
        </w:rPr>
        <w:t>Brazil applies the MORE RESTRICTIVE rule</w:t>
      </w:r>
      <w:r>
        <w:t>:</w:t>
      </w:r>
    </w:p>
    <w:p>
      <w:pPr>
        <w:pStyle w:val="ListBullet"/>
      </w:pPr>
      <w:r>
        <w:t>Thin cap rule: Allows $16M</w:t>
      </w:r>
    </w:p>
    <w:p>
      <w:pPr>
        <w:pStyle w:val="ListBullet"/>
      </w:pPr>
      <w:r>
        <w:t>EBITDA rule: Allows $32M</w:t>
      </w:r>
    </w:p>
    <w:p>
      <w:r>
        <w:rPr>
          <w:b/>
        </w:rPr>
        <w:t>Result</w:t>
      </w:r>
      <w:r>
        <w:t xml:space="preserve">: </w:t>
      </w:r>
      <w:r>
        <w:rPr>
          <w:b/>
        </w:rPr>
        <w:t>$16M interest allowed</w:t>
      </w:r>
      <w:r>
        <w:t xml:space="preserve">, </w:t>
      </w:r>
      <w:r>
        <w:rPr>
          <w:b/>
        </w:rPr>
        <w:t>$16M disallowed</w:t>
      </w:r>
      <w:r>
        <w:t xml:space="preserve"> under thin cap rule.</w:t>
      </w:r>
    </w:p>
    <w:p>
      <w:r>
        <w:rPr>
          <w:b/>
        </w:rPr>
        <w:t>Step 4: Tax Impact</w:t>
      </w:r>
    </w:p>
    <w:p>
      <w:r>
        <w:rPr>
          <w:b/>
        </w:rPr>
        <w:t>Original Tax Calculation (No Restriction)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EBITDA: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Depreciation: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Interest: $32M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EBT: $68M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tax at 34%: $23.12M</w:t>
      </w:r>
    </w:p>
    <w:p/>
    <w:p>
      <w:r>
        <w:rPr>
          <w:b/>
        </w:rPr>
        <w:t>With Thin Cap Restriction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EBITDA: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Depreciation: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Allowed interest: $16M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Adjusted EBT: $84M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tax at 34%: $28.56M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tax: $28.56M - $23.12M = $5.44M</w:t>
      </w:r>
    </w:p>
    <w:p/>
    <w:p>
      <w:r>
        <w:rPr>
          <w:b/>
        </w:rPr>
        <w:t>Step 5: Restructuring Options</w:t>
      </w:r>
    </w:p>
    <w:p>
      <w:r>
        <w:rPr>
          <w:b/>
        </w:rPr>
        <w:t>Option 1: Increase Equity to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New equity: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Debt: $400M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Debt-to-equity ratio: 2:1 (complies with thin cap)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 $32M interest deductible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savings: $5.44M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Cost: Parent must inject additional $100M equity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Opportunity cost: If parent's cost of capital is 10%, annual cost = $10M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Not economically attractive</w:t>
      </w:r>
    </w:p>
    <w:p/>
    <w:p>
      <w:r>
        <w:rPr>
          <w:b/>
        </w:rPr>
        <w:t>Option 2: Reduce Debt to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Equity: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Debt: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Debt-to-equity ratio: 2:1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expense: $200M × 8% = $16M (fully deductible)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savings: $5.44M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Cost: Must repay $200M to parent or refinance externally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external borrowing rate is higher (10%): $200M × 10% = $20M &gt; $16M (increases total interest cost)</w:t>
      </w:r>
    </w:p>
    <w:p/>
    <w:p>
      <w:r>
        <w:rPr>
          <w:b/>
        </w:rPr>
        <w:t>Option 3: Hybrid Instrument (Debt/Equity)</w:t>
      </w:r>
    </w:p>
    <w:p>
      <w:r>
        <w:t xml:space="preserve">Issue </w:t>
      </w:r>
      <w:r>
        <w:rPr>
          <w:b/>
        </w:rPr>
        <w:t>$200M of preference shares</w:t>
      </w:r>
      <w:r>
        <w:t xml:space="preserve"> (treated as equity for thin cap purposes, but yield is deductible):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Equity (including prefs): $300M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Debt: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Debt-to-equity ratio: 0.67:1 (complies)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on debt: $16M (deductible)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Preference dividend: $200M × 8% = $16M (if deductible) = $32M total</w:t>
      </w:r>
    </w:p>
    <w:p/>
    <w:p>
      <w:r>
        <w:rPr>
          <w:b/>
        </w:rPr>
        <w:t>Caution</w:t>
      </w:r>
      <w:r>
        <w:t>: Brazil may not allow preference dividend deduction (depends on specific terms and classification).</w:t>
      </w:r>
    </w:p>
    <w:p>
      <w:r>
        <w:rPr>
          <w:b/>
        </w:rPr>
        <w:t>Option 4: Accept Restriction and Claim Carryforward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Disallowed interest in 2024: $16M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Carry forward to future years when EBITDA is higher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2025 EBITDA = $200M: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2025 limit: $200M × 30% = $60M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2025 interest: $32M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capacity: $60M - $32M = $28M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Can utilize full $16M carryforward</w:t>
      </w:r>
    </w:p>
    <w:p/>
    <w:p>
      <w:r>
        <w:rPr>
          <w:b/>
        </w:rPr>
        <w:t>Payback Period</w:t>
      </w:r>
      <w:r>
        <w:t>: Depends on future EBITDA levels and oil prices.</w:t>
      </w:r>
    </w:p>
    <w:p>
      <w:pPr>
        <w:pStyle w:val="Heading3"/>
      </w:pPr>
      <w:r>
        <w:t>Recommendation</w:t>
      </w:r>
    </w:p>
    <w:p>
      <w:r>
        <w:rPr>
          <w:b/>
        </w:rPr>
        <w:t>Option 4 is most practical</w:t>
      </w:r>
      <w:r>
        <w:t>: Accept the $5.44M additional tax in 2024 and carry forward the $16M disallowed interest.</w:t>
      </w:r>
    </w:p>
    <w:p>
      <w:r>
        <w:rPr>
          <w:b/>
        </w:rPr>
        <w:t>Rationale</w:t>
      </w:r>
      <w:r>
        <w:t>:</w:t>
      </w:r>
    </w:p>
    <w:p>
      <w:pPr>
        <w:pStyle w:val="ListNumber"/>
      </w:pPr>
      <w:r>
        <w:rPr>
          <w:b/>
        </w:rPr>
        <w:t>No immediate cash outlay</w:t>
      </w:r>
      <w:r>
        <w:t>: Avoid $100M equity injection or $200M debt refinancing</w:t>
      </w:r>
    </w:p>
    <w:p>
      <w:pPr>
        <w:pStyle w:val="ListNumber"/>
      </w:pPr>
      <w:r>
        <w:rPr>
          <w:b/>
        </w:rPr>
        <w:t>Commodity cycle</w:t>
      </w:r>
      <w:r>
        <w:t>: Oil prices expected to recover; EBITDA in 2025-2026 may allow full carryforward utilization</w:t>
      </w:r>
    </w:p>
    <w:p>
      <w:pPr>
        <w:pStyle w:val="ListNumber"/>
      </w:pPr>
      <w:r>
        <w:rPr>
          <w:b/>
        </w:rPr>
        <w:t>Temporary impact</w:t>
      </w:r>
      <w:r>
        <w:t>: Thin cap restriction is cyclical, not permanent</w:t>
      </w:r>
    </w:p>
    <w:p>
      <w:pPr>
        <w:pStyle w:val="ListNumber"/>
      </w:pPr>
      <w:r>
        <w:rPr>
          <w:b/>
        </w:rPr>
        <w:t>Cost-benefit</w:t>
      </w:r>
      <w:r>
        <w:t>: $5.44M tax cost is less than opportunity cost of restructuring ($10M for equity injection)</w:t>
      </w:r>
    </w:p>
    <w:p>
      <w:r>
        <w:rPr>
          <w:b/>
        </w:rPr>
        <w:t>Long-Term Planning</w:t>
      </w:r>
      <w:r>
        <w:t>:</w:t>
      </w:r>
    </w:p>
    <w:p>
      <w:pPr>
        <w:pStyle w:val="ListBullet"/>
      </w:pPr>
      <w:r>
        <w:rPr>
          <w:b/>
        </w:rPr>
        <w:t>Monitor EBITDA</w:t>
      </w:r>
      <w:r>
        <w:t>: If sustained low EBITDA expected, reconsider capital structure</w:t>
      </w:r>
    </w:p>
    <w:p>
      <w:pPr>
        <w:pStyle w:val="ListBullet"/>
      </w:pPr>
      <w:r>
        <w:rPr>
          <w:b/>
        </w:rPr>
        <w:t>Third-party debt</w:t>
      </w:r>
      <w:r>
        <w:t xml:space="preserve">: Consider replacing $200M of intercompany debt with </w:t>
      </w:r>
      <w:r>
        <w:rPr>
          <w:b/>
        </w:rPr>
        <w:t>external debt</w:t>
      </w:r>
      <w:r>
        <w:t xml:space="preserve"> (may not be subject to thin cap in some jurisdictions, though Brazil's EBITDA rule applies to all debt)</w:t>
      </w:r>
    </w:p>
    <w:p>
      <w:pPr>
        <w:pStyle w:val="ListBullet"/>
      </w:pPr>
      <w:r>
        <w:rPr>
          <w:b/>
        </w:rPr>
        <w:t>Advocate for exemptions</w:t>
      </w:r>
      <w:r>
        <w:t>: Engage with Brazilian tax authorities on upstream-specific exemptions (given capital intensity of oil &amp; gas)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