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603538c6764929cffdace9c4a26e63f9faf8deb"/>
    <w:p>
      <w:pPr>
        <w:pStyle w:val="Heading1"/>
      </w:pPr>
      <w:r>
        <w:t xml:space="preserve">Structuring Technical Service Operations in Energy Resources</w:t>
      </w:r>
    </w:p>
    <w:bookmarkStart w:id="23" w:name="X6ca92626347d0fed6ac799a73d9296165b9a776"/>
    <w:p>
      <w:pPr>
        <w:pStyle w:val="Heading2"/>
      </w:pPr>
      <w:r>
        <w:t xml:space="preserve">1. Core Framework: Service Structuring Options</w:t>
      </w:r>
    </w:p>
    <w:p>
      <w:pPr>
        <w:pStyle w:val="FirstParagraph"/>
      </w:pPr>
      <w:r>
        <w:rPr>
          <w:bCs/>
          <w:b/>
        </w:rPr>
        <w:t xml:space="preserve">Technical service operations</w:t>
      </w:r>
      <w:r>
        <w:t xml:space="preserve"> </w:t>
      </w:r>
      <w:r>
        <w:t xml:space="preserve">in the energy sector encompass a wide range of specialized activities including seismic surveys, drilling operations, engineering services, maintenance, and operational support. The</w:t>
      </w:r>
      <w:r>
        <w:t xml:space="preserve"> </w:t>
      </w:r>
      <w:r>
        <w:rPr>
          <w:bCs/>
          <w:b/>
        </w:rPr>
        <w:t xml:space="preserve">structuring of these operations</w:t>
      </w:r>
      <w:r>
        <w:t xml:space="preserve"> </w:t>
      </w:r>
      <w:r>
        <w:t xml:space="preserve">from a tax perspective is critical to achieving operational efficiency while minimizing global tax costs and compliance risks.</w:t>
      </w:r>
    </w:p>
    <w:bookmarkStart w:id="20" w:name="service-delivery-models-overview"/>
    <w:p>
      <w:pPr>
        <w:pStyle w:val="Heading3"/>
      </w:pPr>
      <w:r>
        <w:t xml:space="preserve">1.1 Service Delivery Models Overview</w:t>
      </w:r>
    </w:p>
    <w:p>
      <w:pPr>
        <w:pStyle w:val="FirstParagraph"/>
      </w:pPr>
      <w:r>
        <w:t xml:space="preserve">Energy companies have multiple options for structuring technical service delivery across their global operations. The choice of structure significantly impacts: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Effective tax rate</w:t>
      </w:r>
      <w:r>
        <w:t xml:space="preserve"> </w:t>
      </w:r>
      <w:r>
        <w:t xml:space="preserve">on service operations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Permanent establishment (PE) exposure</w:t>
      </w:r>
      <w:r>
        <w:t xml:space="preserve"> </w:t>
      </w:r>
      <w:r>
        <w:t xml:space="preserve">in service recipient countries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Withholding tax (WHT)</w:t>
      </w:r>
      <w:r>
        <w:t xml:space="preserve"> </w:t>
      </w:r>
      <w:r>
        <w:t xml:space="preserve">on cross-border payments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Transfer pricing (TP) complexity</w:t>
      </w:r>
      <w:r>
        <w:t xml:space="preserve"> </w:t>
      </w:r>
      <w:r>
        <w:t xml:space="preserve">and documentation requirements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Substance and compliance obligations</w:t>
      </w:r>
    </w:p>
    <w:p>
      <w:pPr>
        <w:pStyle w:val="BodyText"/>
      </w:pPr>
      <w:r>
        <w:rPr>
          <w:bCs/>
          <w:b/>
        </w:rPr>
        <w:t xml:space="preserve">Key Structuring Options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Direct Provision Model</w:t>
      </w:r>
      <w:r>
        <w:t xml:space="preserve">: Parent company provides services directly to subsidiaries/operations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Service Company Structure</w:t>
      </w:r>
      <w:r>
        <w:t xml:space="preserve">: Dedicated service entity provides services to group companies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Subcontracting Arrangement</w:t>
      </w:r>
      <w:r>
        <w:t xml:space="preserve">: Services outsourced to third-party providers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Secondment Structure</w:t>
      </w:r>
      <w:r>
        <w:t xml:space="preserve">: Personnel seconded from one group entity to another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Joint Service Arrangements</w:t>
      </w:r>
      <w:r>
        <w:t xml:space="preserve">: Shared service centers or regional hubs serving multiple entities</w:t>
      </w:r>
    </w:p>
    <w:bookmarkEnd w:id="20"/>
    <w:bookmarkStart w:id="21" w:name="structure-comparison-table"/>
    <w:p>
      <w:pPr>
        <w:pStyle w:val="Heading3"/>
      </w:pPr>
      <w:r>
        <w:t xml:space="preserve">1.2 Structure Comparison Table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90"/>
        <w:gridCol w:w="1090"/>
        <w:gridCol w:w="1033"/>
        <w:gridCol w:w="746"/>
        <w:gridCol w:w="1205"/>
        <w:gridCol w:w="1377"/>
        <w:gridCol w:w="13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Structure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 Treatment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WHT Exposure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 Risk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Transfer Pricing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Substance Required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Typical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Provision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income taxed in provider’s jurisdiction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(direct fees subject to WHT)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(service PE risk)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transfer pricing documentation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(project basis)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 hoc technical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Profits taxed in service co.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(depends on treaty)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(can be managed)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Cost-plus markup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(operational substance)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technical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Subcontracting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bears tax burden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for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(third party’s risk)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Arm’s length price from third party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for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Specialized services outside core competence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Secondment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cost recovery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Low/None (reimbursement)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Low (no profit element)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recovery 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(employee substance)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Personnel deployment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Regional 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Hub jurisdiction taxation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(treaty network)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through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Hub markup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High (regional substance)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Multi-country service provision</w:t>
            </w:r>
          </w:p>
        </w:tc>
      </w:tr>
    </w:tbl>
    <w:bookmarkEnd w:id="21"/>
    <w:bookmarkStart w:id="22" w:name="tax-efficiency-considerations"/>
    <w:p>
      <w:pPr>
        <w:pStyle w:val="Heading3"/>
      </w:pPr>
      <w:r>
        <w:t xml:space="preserve">1.3 Tax Efficiency Considerations</w:t>
      </w:r>
    </w:p>
    <w:p>
      <w:pPr>
        <w:pStyle w:val="FirstParagraph"/>
      </w:pPr>
      <w:r>
        <w:rPr>
          <w:bCs/>
          <w:b/>
        </w:rPr>
        <w:t xml:space="preserve">Primary Tax Objectives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Minimize global effective tax rate</w:t>
      </w:r>
      <w:r>
        <w:t xml:space="preserve"> </w:t>
      </w:r>
      <w:r>
        <w:t xml:space="preserve">on service profits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Optimize WHT</w:t>
      </w:r>
      <w:r>
        <w:t xml:space="preserve"> </w:t>
      </w:r>
      <w:r>
        <w:t xml:space="preserve">on cross-border service payments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Avoid unintended PE creation</w:t>
      </w:r>
      <w:r>
        <w:t xml:space="preserve"> </w:t>
      </w:r>
      <w:r>
        <w:t xml:space="preserve">in high-tax jurisdictions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Achieve tax-efficient repatriation</w:t>
      </w:r>
      <w:r>
        <w:t xml:space="preserve"> </w:t>
      </w:r>
      <w:r>
        <w:t xml:space="preserve">of service profits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Comply with substance requirements</w:t>
      </w:r>
      <w:r>
        <w:t xml:space="preserve"> </w:t>
      </w:r>
      <w:r>
        <w:t xml:space="preserve">(post-</w:t>
      </w:r>
      <w:r>
        <w:rPr>
          <w:bCs/>
          <w:b/>
        </w:rPr>
        <w:t xml:space="preserve">Base Erosion and Profit Shifting (BEPS)</w:t>
      </w:r>
      <w:r>
        <w:t xml:space="preserve"> </w:t>
      </w:r>
      <w:r>
        <w:t xml:space="preserve">environment)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Manage Pillar Two implications</w:t>
      </w:r>
      <w:r>
        <w:t xml:space="preserve"> </w:t>
      </w:r>
      <w:r>
        <w:t xml:space="preserve">(15% minimum tax)</w:t>
      </w:r>
    </w:p>
    <w:p>
      <w:pPr>
        <w:pStyle w:val="BodyText"/>
      </w:pPr>
      <w:r>
        <w:rPr>
          <w:bCs/>
          <w:b/>
        </w:rPr>
        <w:t xml:space="preserve">Critical Success Factors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Treaty network access</w:t>
      </w:r>
      <w:r>
        <w:t xml:space="preserve">: Location with comprehensive treaty network reduces WHT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Operational substance</w:t>
      </w:r>
      <w:r>
        <w:t xml:space="preserve">: Real economic activity to support profit allocation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Transfer pricing defensibility</w:t>
      </w:r>
      <w:r>
        <w:t xml:space="preserve">: Market-aligned service fees and markups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 risk management</w:t>
      </w:r>
      <w:r>
        <w:t xml:space="preserve">: Structure to avoid fixed place or service PE triggers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Commercial rationale</w:t>
      </w:r>
      <w:r>
        <w:t xml:space="preserve">: Business justification beyond tax considerations</w:t>
      </w:r>
    </w:p>
    <w:bookmarkEnd w:id="22"/>
    <w:bookmarkEnd w:id="23"/>
    <w:bookmarkStart w:id="29" w:name="technical-rules-and-implementation"/>
    <w:p>
      <w:pPr>
        <w:pStyle w:val="Heading2"/>
      </w:pPr>
      <w:r>
        <w:t xml:space="preserve">2. Technical Rules and Implementation</w:t>
      </w:r>
    </w:p>
    <w:bookmarkStart w:id="24" w:name="service-company-structures"/>
    <w:p>
      <w:pPr>
        <w:pStyle w:val="Heading3"/>
      </w:pPr>
      <w:r>
        <w:t xml:space="preserve">2.1 Service Company Structures</w:t>
      </w:r>
    </w:p>
    <w:p>
      <w:pPr>
        <w:pStyle w:val="FirstParagraph"/>
      </w:pPr>
      <w:r>
        <w:rPr>
          <w:bCs/>
          <w:b/>
        </w:rPr>
        <w:t xml:space="preserve">Service Company Design Principles</w:t>
      </w:r>
      <w:r>
        <w:t xml:space="preserve">: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captive service company</w:t>
      </w:r>
      <w:r>
        <w:t xml:space="preserve"> </w:t>
      </w:r>
      <w:r>
        <w:t xml:space="preserve">is a group entity established to provide technical services to affiliated companies. Properly structured service companies can achieve:</w:t>
      </w:r>
      <w:r>
        <w:t xml:space="preserve"> </w:t>
      </w:r>
      <w:r>
        <w:t xml:space="preserve">- Centralized expertise and cost efficiency</w:t>
      </w:r>
      <w:r>
        <w:t xml:space="preserve"> </w:t>
      </w:r>
      <w:r>
        <w:t xml:space="preserve">- Reduced WHT through favorable treaty network</w:t>
      </w:r>
      <w:r>
        <w:t xml:space="preserve"> </w:t>
      </w:r>
      <w:r>
        <w:t xml:space="preserve">- Controlled PE exposure through substance and activity management</w:t>
      </w:r>
      <w:r>
        <w:t xml:space="preserve"> </w:t>
      </w:r>
      <w:r>
        <w:t xml:space="preserve">- Simplified transfer pricing (consistent markup approach)</w:t>
      </w:r>
    </w:p>
    <w:p>
      <w:pPr>
        <w:pStyle w:val="BodyText"/>
      </w:pPr>
      <w:r>
        <w:rPr>
          <w:bCs/>
          <w:b/>
        </w:rPr>
        <w:t xml:space="preserve">Legal Form Considerations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Limited liability company</w:t>
      </w:r>
      <w:r>
        <w:t xml:space="preserve">: Standard corporate form with tax transparency options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Branch structure</w:t>
      </w:r>
      <w:r>
        <w:t xml:space="preserve">: Extension of parent with attribution of profits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Partnership</w:t>
      </w:r>
      <w:r>
        <w:t xml:space="preserve">: Flow-through taxation in certain jurisdictions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Permanent establishment</w:t>
      </w:r>
      <w:r>
        <w:t xml:space="preserve">: Intentional PE creation for profit allocation</w:t>
      </w:r>
    </w:p>
    <w:p>
      <w:pPr>
        <w:pStyle w:val="BodyText"/>
      </w:pPr>
      <w:r>
        <w:rPr>
          <w:bCs/>
          <w:b/>
        </w:rPr>
        <w:t xml:space="preserve">Location Selection Criteria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Corporate tax rate</w:t>
      </w:r>
      <w:r>
        <w:t xml:space="preserve">: Competitive but defensible rate (not zero-tax jurisdictions post-BEPS)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Treaty network</w:t>
      </w:r>
      <w:r>
        <w:t xml:space="preserve">: Comprehensive coverage with reduced WHT rates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Substance requirements</w:t>
      </w:r>
      <w:r>
        <w:t xml:space="preserve">: Ability to meet economic substance tests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Regulatory environment</w:t>
      </w:r>
      <w:r>
        <w:t xml:space="preserve">: Stable legal framework and dispute resolution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Operational feasibility</w:t>
      </w:r>
      <w:r>
        <w:t xml:space="preserve">: Access to talent, infrastructure, and customers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Pillar Two impact</w:t>
      </w:r>
      <w:r>
        <w:t xml:space="preserve">: Consideration of 15% minimum effective tax rate</w:t>
      </w:r>
    </w:p>
    <w:p>
      <w:pPr>
        <w:pStyle w:val="BodyText"/>
      </w:pPr>
      <w:r>
        <w:rPr>
          <w:bCs/>
          <w:b/>
        </w:rPr>
        <w:t xml:space="preserve">Popular Service Company Jurisdictions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Singapore</w:t>
      </w:r>
      <w:r>
        <w:t xml:space="preserve">: 17% corporate rate, extensive treaties, technical services exemption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Netherlands</w:t>
      </w:r>
      <w:r>
        <w:t xml:space="preserve">: 25.8% rate (2024), participation exemption, strong treaty network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Switzerland</w:t>
      </w:r>
      <w:r>
        <w:t xml:space="preserve">: ~12-21% cantonal rates, treaty access, substance-friendly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UAE</w:t>
      </w:r>
      <w:r>
        <w:t xml:space="preserve">: 9% corporate rate (2023), growing treaty network, regional hub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Ireland</w:t>
      </w:r>
      <w:r>
        <w:t xml:space="preserve">: 12.5% rate on trading income, EU access, treaty network</w:t>
      </w:r>
    </w:p>
    <w:bookmarkEnd w:id="24"/>
    <w:bookmarkStart w:id="25" w:name="X6256559038f5014169174dfe07b2ba6664ba06f"/>
    <w:p>
      <w:pPr>
        <w:pStyle w:val="Heading3"/>
      </w:pPr>
      <w:r>
        <w:t xml:space="preserve">2.2 Transfer Pricing for Intercompany Services</w:t>
      </w:r>
    </w:p>
    <w:p>
      <w:pPr>
        <w:pStyle w:val="FirstParagraph"/>
      </w:pPr>
      <w:r>
        <w:rPr>
          <w:bCs/>
          <w:b/>
        </w:rPr>
        <w:t xml:space="preserve">Service Transfer Pricing (TP) Methods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Cost-Plus Method</w:t>
      </w:r>
      <w:r>
        <w:t xml:space="preserve"> </w:t>
      </w:r>
      <w:r>
        <w:t xml:space="preserve">(Most Common):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costs</w:t>
      </w:r>
      <w:r>
        <w:t xml:space="preserve"> </w:t>
      </w:r>
      <w:r>
        <w:t xml:space="preserve">(direct + indirect) of service provision identified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Arm’s length markup</w:t>
      </w:r>
      <w:r>
        <w:t xml:space="preserve"> </w:t>
      </w:r>
      <w:r>
        <w:t xml:space="preserve">applied to cost base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Markup range</w:t>
      </w:r>
      <w:r>
        <w:t xml:space="preserve">: Typically 3-10% depending on service complexity and risk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Formula</w:t>
      </w:r>
      <w:r>
        <w:t xml:space="preserve">: Service Fee = Total Costs × (1 + Markup %)</w:t>
      </w:r>
    </w:p>
    <w:p>
      <w:pPr>
        <w:pStyle w:val="BodyText"/>
      </w:pPr>
      <w:r>
        <w:rPr>
          <w:bCs/>
          <w:b/>
        </w:rPr>
        <w:t xml:space="preserve">Comparable Uncontrolled Price (CUP)</w:t>
      </w:r>
      <w:r>
        <w:t xml:space="preserve">:</w:t>
      </w:r>
      <w:r>
        <w:t xml:space="preserve"> </w:t>
      </w:r>
      <w:r>
        <w:t xml:space="preserve">- Market price for identical/similar services from independent providers</w:t>
      </w:r>
      <w:r>
        <w:t xml:space="preserve"> </w:t>
      </w:r>
      <w:r>
        <w:t xml:space="preserve">- Requires reliable comparable data (limited availability for specialized services)</w:t>
      </w:r>
      <w:r>
        <w:t xml:space="preserve"> </w:t>
      </w:r>
      <w:r>
        <w:t xml:space="preserve">- Most defensible but data-intensive approach</w:t>
      </w:r>
    </w:p>
    <w:p>
      <w:pPr>
        <w:pStyle w:val="BodyText"/>
      </w:pPr>
      <w:r>
        <w:rPr>
          <w:bCs/>
          <w:b/>
        </w:rPr>
        <w:t xml:space="preserve">Transactional Net Margin Method (TNMM)</w:t>
      </w:r>
      <w:r>
        <w:t xml:space="preserve">:</w:t>
      </w:r>
      <w:r>
        <w:t xml:space="preserve"> </w:t>
      </w:r>
      <w:r>
        <w:t xml:space="preserve">- Net profit margin earned by service provider compared to independent comparables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Profit Level Indicator (PLI)</w:t>
      </w:r>
      <w:r>
        <w:t xml:space="preserve">: Operating margin, return on assets, Berry ratio</w:t>
      </w:r>
      <w:r>
        <w:t xml:space="preserve"> </w:t>
      </w:r>
      <w:r>
        <w:t xml:space="preserve">- Flexible approach for complex service arrangements</w:t>
      </w:r>
    </w:p>
    <w:p>
      <w:pPr>
        <w:pStyle w:val="BodyText"/>
      </w:pPr>
      <w:r>
        <w:rPr>
          <w:bCs/>
          <w:b/>
        </w:rPr>
        <w:t xml:space="preserve">Service Markup Benchmarking Ranges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02"/>
        <w:gridCol w:w="1697"/>
        <w:gridCol w:w="2357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Risk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Typical Markup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Substance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Routine administrative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risk, limited value-add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staff, systems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 support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risk, specialized 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personnel, tools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Engineering and consulting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risk, significant expertise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Qualified engineers, project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 and development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risk, innovation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10-15%+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R&amp;D facilities, IP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Management and strategic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risk, value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management, decision-making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Cost Allocation Methods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Direct costs</w:t>
      </w:r>
      <w:r>
        <w:t xml:space="preserve">: Traceable to specific service (personnel time, travel, materials)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Indirect costs</w:t>
      </w:r>
      <w:r>
        <w:t xml:space="preserve">: Allocated based on reasonable allocation keys</w:t>
      </w:r>
      <w:r>
        <w:t xml:space="preserve"> </w:t>
      </w:r>
      <w:r>
        <w:t xml:space="preserve">- Headcount allocation</w:t>
      </w:r>
      <w:r>
        <w:t xml:space="preserve"> </w:t>
      </w:r>
      <w:r>
        <w:t xml:space="preserve">- Time-based allocation (activity logs)</w:t>
      </w:r>
      <w:r>
        <w:t xml:space="preserve"> </w:t>
      </w:r>
      <w:r>
        <w:t xml:space="preserve">- Revenue or asset-based allocation</w:t>
      </w:r>
      <w:r>
        <w:t xml:space="preserve"> </w:t>
      </w:r>
      <w:r>
        <w:t xml:space="preserve">- Activity-based costing (ABC) for complex operations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Shareholder costs</w:t>
      </w:r>
      <w:r>
        <w:t xml:space="preserve">: General holding company costs typically NOT charged to service fee</w:t>
      </w:r>
    </w:p>
    <w:p>
      <w:pPr>
        <w:pStyle w:val="BodyText"/>
      </w:pPr>
      <w:r>
        <w:rPr>
          <w:bCs/>
          <w:b/>
        </w:rPr>
        <w:t xml:space="preserve">Documentation Requirements</w:t>
      </w:r>
      <w:r>
        <w:t xml:space="preserve">:</w:t>
      </w:r>
      <w:r>
        <w:t xml:space="preserve"> </w:t>
      </w:r>
      <w:r>
        <w:t xml:space="preserve">- Service agreements defining scope, pricing, payment terms</w:t>
      </w:r>
      <w:r>
        <w:t xml:space="preserve"> </w:t>
      </w:r>
      <w:r>
        <w:t xml:space="preserve">- Transfer pricing documentation (</w:t>
      </w:r>
      <w:r>
        <w:rPr>
          <w:bCs/>
          <w:b/>
        </w:rPr>
        <w:t xml:space="preserve">Master File</w:t>
      </w:r>
      <w:r>
        <w:t xml:space="preserve">,</w:t>
      </w:r>
      <w:r>
        <w:t xml:space="preserve"> </w:t>
      </w:r>
      <w:r>
        <w:rPr>
          <w:bCs/>
          <w:b/>
        </w:rPr>
        <w:t xml:space="preserve">Local File</w:t>
      </w:r>
      <w:r>
        <w:t xml:space="preserve">)</w:t>
      </w:r>
      <w:r>
        <w:t xml:space="preserve"> </w:t>
      </w:r>
      <w:r>
        <w:t xml:space="preserve">- Cost allocation methodology and supporting calculations</w:t>
      </w:r>
      <w:r>
        <w:t xml:space="preserve"> </w:t>
      </w:r>
      <w:r>
        <w:t xml:space="preserve">- Comparability analysis and benchmarking studies</w:t>
      </w:r>
      <w:r>
        <w:t xml:space="preserve"> </w:t>
      </w:r>
      <w:r>
        <w:t xml:space="preserve">- Annual review and adjustment mechanisms</w:t>
      </w:r>
    </w:p>
    <w:bookmarkEnd w:id="25"/>
    <w:bookmarkStart w:id="26" w:name="withholding-tax-optimization"/>
    <w:p>
      <w:pPr>
        <w:pStyle w:val="Heading3"/>
      </w:pPr>
      <w:r>
        <w:t xml:space="preserve">2.3 Withholding Tax Optimization</w:t>
      </w:r>
    </w:p>
    <w:p>
      <w:pPr>
        <w:pStyle w:val="FirstParagraph"/>
      </w:pPr>
      <w:r>
        <w:rPr>
          <w:bCs/>
          <w:b/>
        </w:rPr>
        <w:t xml:space="preserve">Service Payment WHT Treatment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Domestic Law Position</w:t>
      </w:r>
      <w:r>
        <w:t xml:space="preserve">:</w:t>
      </w:r>
      <w:r>
        <w:t xml:space="preserve"> </w:t>
      </w:r>
      <w:r>
        <w:t xml:space="preserve">- Many countries impose WHT on service fees paid to non-residents (5-25% typical)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services</w:t>
      </w:r>
      <w:r>
        <w:t xml:space="preserve">: Often subject to higher WHT rates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Royalty vs. service distinction</w:t>
      </w:r>
      <w:r>
        <w:t xml:space="preserve">: Critical classification issue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Know-how transfer</w:t>
      </w:r>
      <w:r>
        <w:t xml:space="preserve">: May be treated as royalty with higher WHT</w:t>
      </w:r>
    </w:p>
    <w:p>
      <w:pPr>
        <w:pStyle w:val="BodyText"/>
      </w:pPr>
      <w:r>
        <w:rPr>
          <w:bCs/>
          <w:b/>
        </w:rPr>
        <w:t xml:space="preserve">Treaty Relief Mechanisms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Business profits article (Art. 7)</w:t>
      </w:r>
      <w:r>
        <w:t xml:space="preserve">: No WHT if no PE in source country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Royalty article (Art. 12)</w:t>
      </w:r>
      <w:r>
        <w:t xml:space="preserve">: May include technical fees in some treaties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OECD Model approach</w:t>
      </w:r>
      <w:r>
        <w:t xml:space="preserve">: Technical services covered under Art. 7 (no WHT without PE)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UN Model approach</w:t>
      </w:r>
      <w:r>
        <w:t xml:space="preserve">: Some treaties include technical fees in royalties or separate article</w:t>
      </w:r>
    </w:p>
    <w:p>
      <w:pPr>
        <w:pStyle w:val="BodyText"/>
      </w:pPr>
      <w:r>
        <w:rPr>
          <w:bCs/>
          <w:b/>
        </w:rPr>
        <w:t xml:space="preserve">WHT Rates - Treaty Examples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41"/>
        <w:gridCol w:w="1419"/>
        <w:gridCol w:w="1494"/>
        <w:gridCol w:w="1270"/>
        <w:gridCol w:w="14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 Recipient Country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Treaty Partner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 Fee WHT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Royalty WHT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(Art. 7 if no 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 days service 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Brazil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 (technical services)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15-25%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place PE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Indonesia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Singapore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(Art. 7 if no 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days service 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Angola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(Art. 7 if no 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months construction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Kazakhstan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(Art. 7 if no 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months service PE</w:t>
            </w:r>
          </w:p>
        </w:tc>
      </w:tr>
    </w:tbl>
    <w:p>
      <w:pPr>
        <w:pStyle w:val="BodyText"/>
      </w:pPr>
      <w:r>
        <w:rPr>
          <w:bCs/>
          <w:b/>
        </w:rPr>
        <w:t xml:space="preserve">Optimization Strategies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Treaty shopping prevention</w:t>
      </w:r>
      <w:r>
        <w:t xml:space="preserve">: Ensure substance meets</w:t>
      </w:r>
      <w:r>
        <w:t xml:space="preserve"> </w:t>
      </w:r>
      <w:r>
        <w:rPr>
          <w:bCs/>
          <w:b/>
        </w:rPr>
        <w:t xml:space="preserve">Principal Purpose Test (PPT)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Service company location</w:t>
      </w:r>
      <w:r>
        <w:t xml:space="preserve">: Select jurisdiction with favorable treaty network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Service PE management</w:t>
      </w:r>
      <w:r>
        <w:t xml:space="preserve">: Stay below time thresholds through rotation/structure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Payment characterization</w:t>
      </w:r>
      <w:r>
        <w:t xml:space="preserve">: Structure as business profits rather than royalties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Gross vs. net WHT</w:t>
      </w:r>
      <w:r>
        <w:t xml:space="preserve">: Some countries allow cost deduction before applying WHT</w:t>
      </w:r>
    </w:p>
    <w:bookmarkEnd w:id="26"/>
    <w:bookmarkStart w:id="27" w:name="Xe65368e17e96cca0a4e551549b634f518865634"/>
    <w:p>
      <w:pPr>
        <w:pStyle w:val="Heading3"/>
      </w:pPr>
      <w:r>
        <w:t xml:space="preserve">2.4 Permanent Establishment Avoidance Strategies</w:t>
      </w:r>
    </w:p>
    <w:p>
      <w:pPr>
        <w:pStyle w:val="FirstParagraph"/>
      </w:pPr>
      <w:r>
        <w:rPr>
          <w:bCs/>
          <w:b/>
        </w:rPr>
        <w:t xml:space="preserve">Service PE Risk Management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Time Threshold Management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Personnel rotation</w:t>
      </w:r>
      <w:r>
        <w:t xml:space="preserve">: Ensure individuals stay below PE threshold periods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 aggregation risks</w:t>
      </w:r>
      <w:r>
        <w:t xml:space="preserve">: Monitor</w:t>
      </w:r>
      <w:r>
        <w:t xml:space="preserve"> </w:t>
      </w:r>
      <w:r>
        <w:t xml:space="preserve">“</w:t>
      </w:r>
      <w:r>
        <w:t xml:space="preserve">same or connected project</w:t>
      </w:r>
      <w:r>
        <w:t xml:space="preserve">”</w:t>
      </w:r>
      <w:r>
        <w:t xml:space="preserve"> </w:t>
      </w:r>
      <w:r>
        <w:t xml:space="preserve">definitions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12-month period calculation</w:t>
      </w:r>
      <w:r>
        <w:t xml:space="preserve">: Track rolling 12-month periods, not calendar years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Fragmentation concerns</w:t>
      </w:r>
      <w:r>
        <w:t xml:space="preserve">: Anti-fragmentation rules in</w:t>
      </w:r>
      <w:r>
        <w:t xml:space="preserve"> </w:t>
      </w:r>
      <w:r>
        <w:rPr>
          <w:bCs/>
          <w:b/>
        </w:rPr>
        <w:t xml:space="preserve">Multilateral Instrument (MLI)</w:t>
      </w:r>
      <w:r>
        <w:t xml:space="preserve"> </w:t>
      </w:r>
      <w:r>
        <w:t xml:space="preserve">may aggregate activities</w:t>
      </w:r>
    </w:p>
    <w:p>
      <w:pPr>
        <w:pStyle w:val="BodyText"/>
      </w:pPr>
      <w:r>
        <w:rPr>
          <w:bCs/>
          <w:b/>
        </w:rPr>
        <w:t xml:space="preserve">Structural PE Avoidance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Subcontracting to third parties</w:t>
      </w:r>
      <w:r>
        <w:t xml:space="preserve">: Breaks direct service relationship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Local company establishment</w:t>
      </w:r>
      <w:r>
        <w:t xml:space="preserve">: Creates separate taxable entity (not PE)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Agency arrangements</w:t>
      </w:r>
      <w:r>
        <w:t xml:space="preserve">: Avoid dependent agent status (no contract conclusion authority)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Equipment without personnel</w:t>
      </w:r>
      <w:r>
        <w:t xml:space="preserve">: Automated equipment may avoid service PE</w:t>
      </w:r>
    </w:p>
    <w:p>
      <w:pPr>
        <w:pStyle w:val="BodyText"/>
      </w:pPr>
      <w:r>
        <w:rPr>
          <w:bCs/>
          <w:b/>
        </w:rPr>
        <w:t xml:space="preserve">Activity-Based Exemptions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Preparatory or auxiliary activities</w:t>
      </w:r>
      <w:r>
        <w:t xml:space="preserve">: Exempt under Art. 5(4) if limited scope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Purchasing activities</w:t>
      </w:r>
      <w:r>
        <w:t xml:space="preserve">: Buying supplies/goods generally preparatory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Information collection</w:t>
      </w:r>
      <w:r>
        <w:t xml:space="preserve">: Market research typically auxiliary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Storage and display</w:t>
      </w:r>
      <w:r>
        <w:t xml:space="preserve">: Limited activities exempt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rationale</w:t>
      </w:r>
      <w:r>
        <w:t xml:space="preserve">: Exemptions prevent excessive taxation of minor ancillary activities that don’t constitute substantive economic presence; ensures PE thresholds capture meaningful economic activity in source country rather than merely preparatory or auxiliary support functions</w:t>
      </w:r>
    </w:p>
    <w:p>
      <w:pPr>
        <w:pStyle w:val="BodyText"/>
      </w:pPr>
      <w:r>
        <w:rPr>
          <w:bCs/>
          <w:b/>
        </w:rPr>
        <w:t xml:space="preserve">Fixed Place of Business Avoidance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permanent office</w:t>
      </w:r>
      <w:r>
        <w:t xml:space="preserve">: Use client facilities or temporary accommodation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Mobile workforce</w:t>
      </w:r>
      <w:r>
        <w:t xml:space="preserve">: Rotate locations to avoid</w:t>
      </w:r>
      <w:r>
        <w:t xml:space="preserve"> </w:t>
      </w:r>
      <w:r>
        <w:t xml:space="preserve">“</w:t>
      </w:r>
      <w:r>
        <w:t xml:space="preserve">fixed</w:t>
      </w:r>
      <w:r>
        <w:t xml:space="preserve">”</w:t>
      </w:r>
      <w:r>
        <w:t xml:space="preserve"> </w:t>
      </w:r>
      <w:r>
        <w:t xml:space="preserve">characterization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Offshore operations</w:t>
      </w:r>
      <w:r>
        <w:t xml:space="preserve">: Subsea or platform work may avoid onshore PE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 site management</w:t>
      </w:r>
      <w:r>
        <w:t xml:space="preserve">: Ensure sites don’t exceed construction PE thresholds</w:t>
      </w:r>
    </w:p>
    <w:bookmarkEnd w:id="27"/>
    <w:bookmarkStart w:id="28" w:name="substance-requirements"/>
    <w:p>
      <w:pPr>
        <w:pStyle w:val="Heading3"/>
      </w:pPr>
      <w:r>
        <w:t xml:space="preserve">2.5 Substance Requirements</w:t>
      </w:r>
    </w:p>
    <w:p>
      <w:pPr>
        <w:pStyle w:val="FirstParagraph"/>
      </w:pPr>
      <w:r>
        <w:rPr>
          <w:bCs/>
          <w:b/>
        </w:rPr>
        <w:t xml:space="preserve">Economic Substance Tests (Post-BEPS)</w:t>
      </w:r>
      <w:r>
        <w:t xml:space="preserve">:</w:t>
      </w:r>
    </w:p>
    <w:p>
      <w:pPr>
        <w:pStyle w:val="BodyText"/>
      </w:pPr>
      <w:r>
        <w:t xml:space="preserve">Following BEPS Action 5 and European Union (EU) Anti-Tax Avoidance Directives,</w:t>
      </w:r>
      <w:r>
        <w:t xml:space="preserve"> </w:t>
      </w:r>
      <w:r>
        <w:rPr>
          <w:bCs/>
          <w:b/>
        </w:rPr>
        <w:t xml:space="preserve">economic substance</w:t>
      </w:r>
      <w:r>
        <w:t xml:space="preserve"> </w:t>
      </w:r>
      <w:r>
        <w:t xml:space="preserve">is critical for service company structures:</w:t>
      </w:r>
    </w:p>
    <w:p>
      <w:pPr>
        <w:pStyle w:val="BodyText"/>
      </w:pPr>
      <w:r>
        <w:rPr>
          <w:bCs/>
          <w:b/>
        </w:rPr>
        <w:t xml:space="preserve">Policy rationale</w:t>
      </w:r>
      <w:r>
        <w:t xml:space="preserve">: Substance requirements prevent profit shifting to low-tax jurisdictions through</w:t>
      </w:r>
      <w:r>
        <w:t xml:space="preserve"> </w:t>
      </w:r>
      <w:r>
        <w:t xml:space="preserve">“</w:t>
      </w:r>
      <w:r>
        <w:t xml:space="preserve">letterbox companies</w:t>
      </w:r>
      <w:r>
        <w:t xml:space="preserve">”</w:t>
      </w:r>
      <w:r>
        <w:t xml:space="preserve"> </w:t>
      </w:r>
      <w:r>
        <w:t xml:space="preserve">with no real economic activity. Following the BEPS project, jurisdictions now require that profits be taxed where value is created, necessitating genuine operational presence (employees, assets, decision-making) to support profit allocation to service hubs.</w:t>
      </w:r>
    </w:p>
    <w:p>
      <w:pPr>
        <w:pStyle w:val="BodyText"/>
      </w:pPr>
      <w:r>
        <w:rPr>
          <w:bCs/>
          <w:b/>
        </w:rPr>
        <w:t xml:space="preserve">Core Substance Elements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Adequate employees</w:t>
      </w:r>
      <w:r>
        <w:t xml:space="preserve">: Qualified staff with appropriate skills for services provided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Operating expenditure</w:t>
      </w:r>
      <w:r>
        <w:t xml:space="preserve">: Real costs incurred in service location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Physical presence</w:t>
      </w:r>
      <w:r>
        <w:t xml:space="preserve">: Office space, equipment, infrastructure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Decision-making</w:t>
      </w:r>
      <w:r>
        <w:t xml:space="preserve">: Management and strategic decisions taken in service company location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Outsourcing limitations</w:t>
      </w:r>
      <w:r>
        <w:t xml:space="preserve">: Core income-generating activities performed locally</w:t>
      </w:r>
    </w:p>
    <w:p>
      <w:pPr>
        <w:pStyle w:val="BodyText"/>
      </w:pPr>
      <w:r>
        <w:rPr>
          <w:bCs/>
          <w:b/>
        </w:rPr>
        <w:t xml:space="preserve">Substance Assessment Matrix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9"/>
        <w:gridCol w:w="2715"/>
        <w:gridCol w:w="27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Substance Element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Minimum 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Enhanced Substance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qualified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service team (5-10+)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Office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Serviced office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facilities with equipment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Decision-making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meetings in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 team resident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Operating 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to revenues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 operational expenditure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 activities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 negotiation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delivery and quality control</w:t>
            </w:r>
          </w:p>
        </w:tc>
      </w:tr>
    </w:tbl>
    <w:p>
      <w:pPr>
        <w:pStyle w:val="BodyText"/>
      </w:pPr>
      <w:r>
        <w:rPr>
          <w:bCs/>
          <w:b/>
        </w:rPr>
        <w:t xml:space="preserve">Documentation to Demonstrate Substance</w:t>
      </w:r>
      <w:r>
        <w:t xml:space="preserve">:</w:t>
      </w:r>
      <w:r>
        <w:t xml:space="preserve"> </w:t>
      </w:r>
      <w:r>
        <w:t xml:space="preserve">- Employment contracts and payroll records</w:t>
      </w:r>
      <w:r>
        <w:t xml:space="preserve"> </w:t>
      </w:r>
      <w:r>
        <w:t xml:space="preserve">- Office lease agreements and utility bills</w:t>
      </w:r>
      <w:r>
        <w:t xml:space="preserve"> </w:t>
      </w:r>
      <w:r>
        <w:t xml:space="preserve">- Board meeting minutes and management accounts</w:t>
      </w:r>
      <w:r>
        <w:t xml:space="preserve"> </w:t>
      </w:r>
      <w:r>
        <w:t xml:space="preserve">- Service delivery records and client communications</w:t>
      </w:r>
      <w:r>
        <w:t xml:space="preserve"> </w:t>
      </w:r>
      <w:r>
        <w:t xml:space="preserve">- Local tax filings and compliance certificates</w:t>
      </w:r>
    </w:p>
    <w:bookmarkEnd w:id="28"/>
    <w:bookmarkEnd w:id="29"/>
    <w:bookmarkStart w:id="34" w:name="X05a8d8a2340791478b89c7d4d8fdd96e4e5cbb4"/>
    <w:p>
      <w:pPr>
        <w:pStyle w:val="Heading2"/>
      </w:pPr>
      <w:r>
        <w:t xml:space="preserve">3. Analytical Depth: Service Models and Optimization</w:t>
      </w:r>
    </w:p>
    <w:bookmarkStart w:id="30" w:name="X43ea10d136767e77139adfa20024badbaae9c31"/>
    <w:p>
      <w:pPr>
        <w:pStyle w:val="Heading3"/>
      </w:pPr>
      <w:r>
        <w:t xml:space="preserve">3.1 Centralized vs. Decentralized Service Provision</w:t>
      </w:r>
    </w:p>
    <w:p>
      <w:pPr>
        <w:pStyle w:val="FirstParagraph"/>
      </w:pPr>
      <w:r>
        <w:rPr>
          <w:bCs/>
          <w:b/>
        </w:rPr>
        <w:t xml:space="preserve">Centralized Service Model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Structure</w:t>
      </w:r>
      <w:r>
        <w:t xml:space="preserve">: Single service company (or limited number) provides all technical services to global operations.</w:t>
      </w:r>
    </w:p>
    <w:p>
      <w:pPr>
        <w:pStyle w:val="BodyText"/>
      </w:pPr>
      <w:r>
        <w:rPr>
          <w:bCs/>
          <w:b/>
        </w:rPr>
        <w:t xml:space="preserve">Advantages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 efficiency</w:t>
      </w:r>
      <w:r>
        <w:t xml:space="preserve">: Economies of scale, reduced duplication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Expertise concentration</w:t>
      </w:r>
      <w:r>
        <w:t xml:space="preserve">: Build center of excellence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Simplified transfer pricing</w:t>
      </w:r>
      <w:r>
        <w:t xml:space="preserve">: Consistent methodology and markup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Treaty optimization</w:t>
      </w:r>
      <w:r>
        <w:t xml:space="preserve">: Single location with best treaty network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IP consolidation</w:t>
      </w:r>
      <w:r>
        <w:t xml:space="preserve">: Centralize technical know-how and methodologies</w:t>
      </w:r>
    </w:p>
    <w:p>
      <w:pPr>
        <w:pStyle w:val="BodyText"/>
      </w:pPr>
      <w:r>
        <w:rPr>
          <w:bCs/>
          <w:b/>
        </w:rPr>
        <w:t xml:space="preserve">Disadvantages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Substance requirements</w:t>
      </w:r>
      <w:r>
        <w:t xml:space="preserve">: High substance needed to justify profit allocation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 risks</w:t>
      </w:r>
      <w:r>
        <w:t xml:space="preserve">: Multiple jurisdictions exposure from centralized delivery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Time zone challenges</w:t>
      </w:r>
      <w:r>
        <w:t xml:space="preserve">: Service delivery across regions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Regulatory compliance</w:t>
      </w:r>
      <w:r>
        <w:t xml:space="preserve">: May face restrictions on foreign service provision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Pillar Two complexity</w:t>
      </w:r>
      <w:r>
        <w:t xml:space="preserve">: Need to monitor jurisdiction-level ETR</w:t>
      </w:r>
    </w:p>
    <w:p>
      <w:pPr>
        <w:pStyle w:val="BodyText"/>
      </w:pPr>
      <w:r>
        <w:rPr>
          <w:bCs/>
          <w:b/>
        </w:rPr>
        <w:t xml:space="preserve">Decentralized Service Model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Structure</w:t>
      </w:r>
      <w:r>
        <w:t xml:space="preserve">: Regional or country-specific service entities provide services locally or within region.</w:t>
      </w:r>
    </w:p>
    <w:p>
      <w:pPr>
        <w:pStyle w:val="BodyText"/>
      </w:pPr>
      <w:r>
        <w:rPr>
          <w:bCs/>
          <w:b/>
        </w:rPr>
        <w:t xml:space="preserve">Advantages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Reduced PE risk</w:t>
      </w:r>
      <w:r>
        <w:t xml:space="preserve">: Local presence in service delivery countries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Regulatory compliance</w:t>
      </w:r>
      <w:r>
        <w:t xml:space="preserve">: Easier licensing and local requirements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Operational efficiency</w:t>
      </w:r>
      <w:r>
        <w:t xml:space="preserve">: Proximity to operations and time zones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Substance defense</w:t>
      </w:r>
      <w:r>
        <w:t xml:space="preserve">: Clear economic rationale for local presence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Political acceptability</w:t>
      </w:r>
      <w:r>
        <w:t xml:space="preserve">: Host government preference for local service provision</w:t>
      </w:r>
    </w:p>
    <w:p>
      <w:pPr>
        <w:pStyle w:val="BodyText"/>
      </w:pPr>
      <w:r>
        <w:rPr>
          <w:bCs/>
          <w:b/>
        </w:rPr>
        <w:t xml:space="preserve">Disadvantages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Higher costs</w:t>
      </w:r>
      <w:r>
        <w:t xml:space="preserve">: Duplication of resources and overhead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Complex transfer pricing</w:t>
      </w:r>
      <w:r>
        <w:t xml:space="preserve">: Multiple service entities require consistent policies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Less favorable tax rates</w:t>
      </w:r>
      <w:r>
        <w:t xml:space="preserve">: May be in higher-tax jurisdictions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Limited treaty benefits</w:t>
      </w:r>
      <w:r>
        <w:t xml:space="preserve">: Cannot optimize single treaty network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Management complexity</w:t>
      </w:r>
      <w:r>
        <w:t xml:space="preserve">: Coordination across multiple entities</w:t>
      </w:r>
    </w:p>
    <w:bookmarkEnd w:id="30"/>
    <w:bookmarkStart w:id="31" w:name="regional-service-hub-strategy"/>
    <w:p>
      <w:pPr>
        <w:pStyle w:val="Heading3"/>
      </w:pPr>
      <w:r>
        <w:t xml:space="preserve">3.2 Regional Service Hub Strategy</w:t>
      </w:r>
    </w:p>
    <w:p>
      <w:pPr>
        <w:pStyle w:val="FirstParagraph"/>
      </w:pPr>
      <w:r>
        <w:rPr>
          <w:bCs/>
          <w:b/>
        </w:rPr>
        <w:t xml:space="preserve">Hub Structure Design</w:t>
      </w:r>
      <w:r>
        <w:t xml:space="preserve">: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regional service hub</w:t>
      </w:r>
      <w:r>
        <w:t xml:space="preserve"> </w:t>
      </w:r>
      <w:r>
        <w:t xml:space="preserve">consolidates service provision for a geographic region (e.g., Asia-Pacific, Middle East, Latin America) from a single strategically located entity.</w:t>
      </w:r>
    </w:p>
    <w:p>
      <w:pPr>
        <w:pStyle w:val="BodyText"/>
      </w:pPr>
      <w:r>
        <w:rPr>
          <w:bCs/>
          <w:b/>
        </w:rPr>
        <w:t xml:space="preserve">Hub Location Selection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Singapore Hub</w:t>
      </w:r>
      <w:r>
        <w:t xml:space="preserve"> </w:t>
      </w:r>
      <w:r>
        <w:t xml:space="preserve">(Asia-Pacific focus):</w:t>
      </w:r>
      <w:r>
        <w:t xml:space="preserve"> </w:t>
      </w:r>
      <w:r>
        <w:t xml:space="preserve">- 17% corporate tax rate</w:t>
      </w:r>
      <w:r>
        <w:t xml:space="preserve"> </w:t>
      </w:r>
      <w:r>
        <w:t xml:space="preserve">- Extensive treaty network (75+ treaties)</w:t>
      </w:r>
      <w:r>
        <w:t xml:space="preserve"> </w:t>
      </w:r>
      <w:r>
        <w:t xml:space="preserve">- Technical services exemption for qualifying activities</w:t>
      </w:r>
      <w:r>
        <w:t xml:space="preserve"> </w:t>
      </w:r>
      <w:r>
        <w:t xml:space="preserve">- Developed infrastructure and talent pool</w:t>
      </w:r>
      <w:r>
        <w:t xml:space="preserve"> </w:t>
      </w:r>
      <w:r>
        <w:t xml:space="preserve">- Regulatory stability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Netherlands Hub</w:t>
      </w:r>
      <w:r>
        <w:t xml:space="preserve"> </w:t>
      </w:r>
      <w:r>
        <w:t xml:space="preserve">(Europe/Africa focus):</w:t>
      </w:r>
    </w:p>
    <w:p>
      <w:pPr>
        <w:numPr>
          <w:ilvl w:val="1"/>
          <w:numId w:val="1003"/>
        </w:numPr>
        <w:pStyle w:val="Compact"/>
      </w:pPr>
      <w:r>
        <w:t xml:space="preserve">25.8% corporate tax rate</w:t>
      </w:r>
    </w:p>
    <w:p>
      <w:pPr>
        <w:numPr>
          <w:ilvl w:val="1"/>
          <w:numId w:val="1003"/>
        </w:numPr>
        <w:pStyle w:val="Compact"/>
      </w:pPr>
      <w:r>
        <w:t xml:space="preserve">Excellent treaty network (90+ treaties)</w:t>
      </w:r>
    </w:p>
    <w:p>
      <w:pPr>
        <w:numPr>
          <w:ilvl w:val="1"/>
          <w:numId w:val="1003"/>
        </w:numPr>
        <w:pStyle w:val="Compact"/>
      </w:pPr>
      <w:r>
        <w:t xml:space="preserve">Participation exemption for foreign profits</w:t>
      </w:r>
    </w:p>
    <w:p>
      <w:pPr>
        <w:numPr>
          <w:ilvl w:val="1"/>
          <w:numId w:val="1003"/>
        </w:numPr>
        <w:pStyle w:val="Compact"/>
      </w:pPr>
      <w:r>
        <w:t xml:space="preserve">EU single market access</w:t>
      </w:r>
    </w:p>
    <w:p>
      <w:pPr>
        <w:numPr>
          <w:ilvl w:val="1"/>
          <w:numId w:val="1003"/>
        </w:numPr>
        <w:pStyle w:val="Compact"/>
      </w:pPr>
      <w:r>
        <w:t xml:space="preserve">Strong substance environment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UAE Hub</w:t>
      </w:r>
      <w:r>
        <w:t xml:space="preserve"> </w:t>
      </w:r>
      <w:r>
        <w:t xml:space="preserve">(Middle East/Africa focus):</w:t>
      </w:r>
    </w:p>
    <w:p>
      <w:pPr>
        <w:numPr>
          <w:ilvl w:val="1"/>
          <w:numId w:val="1004"/>
        </w:numPr>
        <w:pStyle w:val="Compact"/>
      </w:pPr>
      <w:r>
        <w:t xml:space="preserve">9% corporate tax rate (2023 onwards)</w:t>
      </w:r>
    </w:p>
    <w:p>
      <w:pPr>
        <w:numPr>
          <w:ilvl w:val="1"/>
          <w:numId w:val="1004"/>
        </w:numPr>
        <w:pStyle w:val="Compact"/>
      </w:pPr>
      <w:r>
        <w:t xml:space="preserve">Growing treaty network (130+ treaties)</w:t>
      </w:r>
    </w:p>
    <w:p>
      <w:pPr>
        <w:numPr>
          <w:ilvl w:val="1"/>
          <w:numId w:val="1004"/>
        </w:numPr>
        <w:pStyle w:val="Compact"/>
      </w:pPr>
      <w:r>
        <w:t xml:space="preserve">Strategic geographic location</w:t>
      </w:r>
    </w:p>
    <w:p>
      <w:pPr>
        <w:numPr>
          <w:ilvl w:val="1"/>
          <w:numId w:val="1004"/>
        </w:numPr>
        <w:pStyle w:val="Compact"/>
      </w:pPr>
      <w:r>
        <w:t xml:space="preserve">Free zone options with tax benefits</w:t>
      </w:r>
    </w:p>
    <w:p>
      <w:pPr>
        <w:numPr>
          <w:ilvl w:val="1"/>
          <w:numId w:val="1004"/>
        </w:numPr>
        <w:pStyle w:val="Compact"/>
      </w:pPr>
      <w:r>
        <w:t xml:space="preserve">Time zone advantages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Switzerland Hub</w:t>
      </w:r>
      <w:r>
        <w:t xml:space="preserve"> </w:t>
      </w:r>
      <w:r>
        <w:t xml:space="preserve">(European operations):</w:t>
      </w:r>
    </w:p>
    <w:p>
      <w:pPr>
        <w:numPr>
          <w:ilvl w:val="1"/>
          <w:numId w:val="1005"/>
        </w:numPr>
        <w:pStyle w:val="Compact"/>
      </w:pPr>
      <w:r>
        <w:t xml:space="preserve">Cantonal rates 12-21% (combined)</w:t>
      </w:r>
    </w:p>
    <w:p>
      <w:pPr>
        <w:numPr>
          <w:ilvl w:val="1"/>
          <w:numId w:val="1005"/>
        </w:numPr>
        <w:pStyle w:val="Compact"/>
      </w:pPr>
      <w:r>
        <w:t xml:space="preserve">Extensive treaty network</w:t>
      </w:r>
    </w:p>
    <w:p>
      <w:pPr>
        <w:numPr>
          <w:ilvl w:val="1"/>
          <w:numId w:val="1005"/>
        </w:numPr>
        <w:pStyle w:val="Compact"/>
      </w:pPr>
      <w:r>
        <w:t xml:space="preserve">Favorable substance regime</w:t>
      </w:r>
    </w:p>
    <w:p>
      <w:pPr>
        <w:numPr>
          <w:ilvl w:val="1"/>
          <w:numId w:val="1005"/>
        </w:numPr>
        <w:pStyle w:val="Compact"/>
      </w:pPr>
      <w:r>
        <w:t xml:space="preserve">Political and economic stability</w:t>
      </w:r>
    </w:p>
    <w:p>
      <w:pPr>
        <w:pStyle w:val="FirstParagraph"/>
      </w:pPr>
      <w:r>
        <w:rPr>
          <w:bCs/>
          <w:b/>
        </w:rPr>
        <w:t xml:space="preserve">Hub Operating Model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Service provision</w:t>
      </w:r>
      <w:r>
        <w:t xml:space="preserve">: Hub entity employs technical staff and owns service delivery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Subcontracting</w:t>
      </w:r>
      <w:r>
        <w:t xml:space="preserve">: Hub may subcontract specific services to local providers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Personnel rotation</w:t>
      </w:r>
      <w:r>
        <w:t xml:space="preserve">: Hub staff rotated to project locations below PE thresholds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Regional coverage</w:t>
      </w:r>
      <w:r>
        <w:t xml:space="preserve">: Serve multiple countries from single hub location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Support functions</w:t>
      </w:r>
      <w:r>
        <w:t xml:space="preserve">: Centralized procurement, training, technical support</w:t>
      </w:r>
    </w:p>
    <w:bookmarkEnd w:id="31"/>
    <w:bookmarkStart w:id="32" w:name="shared-service-centers"/>
    <w:p>
      <w:pPr>
        <w:pStyle w:val="Heading3"/>
      </w:pPr>
      <w:r>
        <w:t xml:space="preserve">3.3 Shared Service Centers</w:t>
      </w:r>
    </w:p>
    <w:p>
      <w:pPr>
        <w:pStyle w:val="FirstParagraph"/>
      </w:pPr>
      <w:r>
        <w:rPr>
          <w:bCs/>
          <w:b/>
        </w:rPr>
        <w:t xml:space="preserve">Shared Service Center (SSC) Model</w:t>
      </w:r>
      <w:r>
        <w:t xml:space="preserve">:</w:t>
      </w:r>
    </w:p>
    <w:p>
      <w:pPr>
        <w:pStyle w:val="BodyText"/>
      </w:pPr>
      <w:r>
        <w:t xml:space="preserve">SSCs consolidate administrative and support functions (HR, finance, IT, procurement) serving multiple group entities.</w:t>
      </w:r>
    </w:p>
    <w:p>
      <w:pPr>
        <w:pStyle w:val="BodyText"/>
      </w:pPr>
      <w:r>
        <w:rPr>
          <w:bCs/>
          <w:b/>
        </w:rPr>
        <w:t xml:space="preserve">Tax Treatment Considerations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 allocation</w:t>
      </w:r>
      <w:r>
        <w:t xml:space="preserve">: Typically</w:t>
      </w:r>
      <w:r>
        <w:t xml:space="preserve"> </w:t>
      </w:r>
      <w:r>
        <w:rPr>
          <w:bCs/>
          <w:b/>
        </w:rPr>
        <w:t xml:space="preserve">cost reimbursement</w:t>
      </w:r>
      <w:r>
        <w:t xml:space="preserve"> </w:t>
      </w:r>
      <w:r>
        <w:t xml:space="preserve">with no markup or minimal markup (0-5%)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Management fee</w:t>
      </w:r>
      <w:r>
        <w:t xml:space="preserve">: Alternative approach charges management fee with small markup (3-5%)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profit center</w:t>
      </w:r>
      <w:r>
        <w:t xml:space="preserve">: SSC not expected to generate significant profits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Ancillary services</w:t>
      </w:r>
      <w:r>
        <w:t xml:space="preserve">: Must be support services, not core business activities</w:t>
      </w:r>
    </w:p>
    <w:p>
      <w:pPr>
        <w:pStyle w:val="BodyText"/>
      </w:pPr>
      <w:r>
        <w:rPr>
          <w:bCs/>
          <w:b/>
        </w:rPr>
        <w:t xml:space="preserve">Transfer Pricing for SSCs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Direct charge method</w:t>
      </w:r>
      <w:r>
        <w:t xml:space="preserve">: Specific services billed to actual users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Allocation key method</w:t>
      </w:r>
      <w:r>
        <w:t xml:space="preserve">: Costs allocated based on headcount, revenues, or other metrics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Management fee approach</w:t>
      </w:r>
      <w:r>
        <w:t xml:space="preserve">: Annual fixed or variable fee based on agreed formula</w:t>
      </w:r>
    </w:p>
    <w:p>
      <w:pPr>
        <w:pStyle w:val="BodyText"/>
      </w:pPr>
      <w:r>
        <w:rPr>
          <w:bCs/>
          <w:b/>
        </w:rPr>
        <w:t xml:space="preserve">SSC Locations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India</w:t>
      </w:r>
      <w:r>
        <w:t xml:space="preserve">: Large SSC presence for back-office functions (technical, finance, IT)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Poland</w:t>
      </w:r>
      <w:r>
        <w:t xml:space="preserve">: European SSC hub for shared services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Costa Rica</w:t>
      </w:r>
      <w:r>
        <w:t xml:space="preserve">: Americas SSC location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Malaysia</w:t>
      </w:r>
      <w:r>
        <w:t xml:space="preserve">: Asia-Pacific SSC alternative to Singapore/India</w:t>
      </w:r>
    </w:p>
    <w:p>
      <w:pPr>
        <w:pStyle w:val="BodyText"/>
      </w:pPr>
      <w:r>
        <w:rPr>
          <w:bCs/>
          <w:b/>
        </w:rPr>
        <w:t xml:space="preserve">Substance for SSCs</w:t>
      </w:r>
      <w:r>
        <w:t xml:space="preserve">:</w:t>
      </w:r>
      <w:r>
        <w:t xml:space="preserve"> </w:t>
      </w:r>
      <w:r>
        <w:t xml:space="preserve">- Substantial workforce performing actual services</w:t>
      </w:r>
      <w:r>
        <w:t xml:space="preserve"> </w:t>
      </w:r>
      <w:r>
        <w:t xml:space="preserve">- Real office facilities and infrastructure</w:t>
      </w:r>
      <w:r>
        <w:t xml:space="preserve"> </w:t>
      </w:r>
      <w:r>
        <w:t xml:space="preserve">- Management oversight and quality control</w:t>
      </w:r>
      <w:r>
        <w:t xml:space="preserve"> </w:t>
      </w:r>
      <w:r>
        <w:t xml:space="preserve">- Service delivery documentation and performance metrics</w:t>
      </w:r>
    </w:p>
    <w:bookmarkEnd w:id="32"/>
    <w:bookmarkStart w:id="33" w:name="treaty-network-optimization"/>
    <w:p>
      <w:pPr>
        <w:pStyle w:val="Heading3"/>
      </w:pPr>
      <w:r>
        <w:t xml:space="preserve">3.4 Treaty Network Optimization</w:t>
      </w:r>
    </w:p>
    <w:p>
      <w:pPr>
        <w:pStyle w:val="FirstParagraph"/>
      </w:pPr>
      <w:r>
        <w:rPr>
          <w:bCs/>
          <w:b/>
        </w:rPr>
        <w:t xml:space="preserve">Strategic Treaty Planning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Analysis Framework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Map service recipient countries</w:t>
      </w:r>
      <w:r>
        <w:t xml:space="preserve">: Identify where services will be provided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Review applicable treaties</w:t>
      </w:r>
      <w:r>
        <w:t xml:space="preserve">: WHT rates, PE thresholds, service fee treatment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Compare hub options</w:t>
      </w:r>
      <w:r>
        <w:t xml:space="preserve">: Model effective tax rate from different hub locations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Assess substance requirements</w:t>
      </w:r>
      <w:r>
        <w:t xml:space="preserve">: Determine feasibility of maintaining substance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Consider Pillar Two</w:t>
      </w:r>
      <w:r>
        <w:t xml:space="preserve">: Ensure 15% minimum ETR in each jurisdiction</w:t>
      </w:r>
    </w:p>
    <w:p>
      <w:pPr>
        <w:pStyle w:val="BodyText"/>
      </w:pPr>
      <w:r>
        <w:rPr>
          <w:bCs/>
          <w:b/>
        </w:rPr>
        <w:t xml:space="preserve">Treaty Considerations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WHT rates on service fees</w:t>
      </w:r>
      <w:r>
        <w:t xml:space="preserve">: Business profits (0% if no PE) vs. royalty treatment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Service PE thresholds</w:t>
      </w:r>
      <w:r>
        <w:t xml:space="preserve">: 90-183 days typical range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Anti-abuse provisions</w:t>
      </w:r>
      <w:r>
        <w:t xml:space="preserve">: PPT and</w:t>
      </w:r>
      <w:r>
        <w:t xml:space="preserve"> </w:t>
      </w:r>
      <w:r>
        <w:rPr>
          <w:bCs/>
          <w:b/>
        </w:rPr>
        <w:t xml:space="preserve">Limitation on Benefits (LOB)</w:t>
      </w:r>
      <w:r>
        <w:t xml:space="preserve"> </w:t>
      </w:r>
      <w:r>
        <w:t xml:space="preserve">clauses limit treaty shopping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Exchange of information</w:t>
      </w:r>
      <w:r>
        <w:t xml:space="preserve">: Transparency requirements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Dispute resolution</w:t>
      </w:r>
      <w:r>
        <w:t xml:space="preserve">:</w:t>
      </w:r>
      <w:r>
        <w:t xml:space="preserve"> </w:t>
      </w:r>
      <w:r>
        <w:rPr>
          <w:bCs/>
          <w:b/>
        </w:rPr>
        <w:t xml:space="preserve">Mutual Agreement Procedure (MAP)</w:t>
      </w:r>
      <w:r>
        <w:t xml:space="preserve"> </w:t>
      </w:r>
      <w:r>
        <w:t xml:space="preserve">and arbitration procedures</w:t>
      </w:r>
    </w:p>
    <w:p>
      <w:pPr>
        <w:pStyle w:val="BodyText"/>
      </w:pPr>
      <w:r>
        <w:rPr>
          <w:bCs/>
          <w:b/>
        </w:rPr>
        <w:t xml:space="preserve">Optimization Strategy Example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Netherlands service company</w:t>
      </w:r>
      <w:r>
        <w:t xml:space="preserve"> </w:t>
      </w:r>
      <w:r>
        <w:t xml:space="preserve">serving Nigeria, Angola, Indonesia operations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Netherlands-Nigeria treaty</w:t>
      </w:r>
      <w:r>
        <w:t xml:space="preserve">: 0% WHT on service fees (Art. 7), 183-day service PE threshold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Netherlands-Angola treaty</w:t>
      </w:r>
      <w:r>
        <w:t xml:space="preserve">: 0% WHT if no PE, 6-month construction PE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Netherlands-Indonesia treaty</w:t>
      </w:r>
      <w:r>
        <w:t xml:space="preserve">: 0% WHT if no PE (OECD model treaty)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Substance in Netherlands</w:t>
      </w:r>
      <w:r>
        <w:t xml:space="preserve">: 8 technical staff, office in Amsterdam, management decisions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Result</w:t>
      </w:r>
      <w:r>
        <w:t xml:space="preserve">: No WHT on service fees if stay below PE thresholds</w:t>
      </w:r>
    </w:p>
    <w:bookmarkEnd w:id="33"/>
    <w:bookmarkEnd w:id="34"/>
    <w:bookmarkStart w:id="37" w:name="X7593b0ae13b62ba1929cea02b5989e6779c9cf9"/>
    <w:p>
      <w:pPr>
        <w:pStyle w:val="Heading2"/>
      </w:pPr>
      <w:r>
        <w:t xml:space="preserve">4. Application Methodology: Structure Selection Framework</w:t>
      </w:r>
    </w:p>
    <w:bookmarkStart w:id="35" w:name="service-structure-decision-matrix"/>
    <w:p>
      <w:pPr>
        <w:pStyle w:val="Heading3"/>
      </w:pPr>
      <w:r>
        <w:t xml:space="preserve">4.1 Service Structure Decision Matrix</w:t>
      </w:r>
    </w:p>
    <w:p>
      <w:pPr>
        <w:pStyle w:val="FirstParagraph"/>
      </w:pPr>
      <w:r>
        <w:rPr>
          <w:bCs/>
          <w:b/>
        </w:rPr>
        <w:t xml:space="preserve">Step 1: Service Characterization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Service type</w:t>
      </w:r>
      <w:r>
        <w:t xml:space="preserve">: Routine, specialized, or highly technical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Service frequency</w:t>
      </w:r>
      <w:r>
        <w:t xml:space="preserve">: Ongoing, periodic, or one-off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Service volume</w:t>
      </w:r>
      <w:r>
        <w:t xml:space="preserve">: High-value centralization opportunity or limited scope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Service recipients</w:t>
      </w:r>
      <w:r>
        <w:t xml:space="preserve">: Number and location of group entities requiring services</w:t>
      </w:r>
    </w:p>
    <w:p>
      <w:pPr>
        <w:pStyle w:val="BodyText"/>
      </w:pPr>
      <w:r>
        <w:rPr>
          <w:bCs/>
          <w:b/>
        </w:rPr>
        <w:t xml:space="preserve">Step 2: Tax Environment Assessment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Recipient country tax rates</w:t>
      </w:r>
      <w:r>
        <w:t xml:space="preserve">: Corporate tax and WHT rates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Treaty network</w:t>
      </w:r>
      <w:r>
        <w:t xml:space="preserve">: Availability and terms of applicable treaties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 risks</w:t>
      </w:r>
      <w:r>
        <w:t xml:space="preserve">: Service PE thresholds and enforcement approach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Transfer pricing risk</w:t>
      </w:r>
      <w:r>
        <w:t xml:space="preserve">: Complexity and audit risk in recipient countries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Pillar Two impact</w:t>
      </w:r>
      <w:r>
        <w:t xml:space="preserve">: Assess whether 15% minimum tax applies</w:t>
      </w:r>
    </w:p>
    <w:p>
      <w:pPr>
        <w:pStyle w:val="BodyText"/>
      </w:pPr>
      <w:r>
        <w:rPr>
          <w:bCs/>
          <w:b/>
        </w:rPr>
        <w:t xml:space="preserve">Step 3: Structuring Options Evaluation</w:t>
      </w:r>
    </w:p>
    <w:p>
      <w:pPr>
        <w:pStyle w:val="BodyText"/>
      </w:pPr>
      <w:r>
        <w:rPr>
          <w:bCs/>
          <w:b/>
        </w:rPr>
        <w:t xml:space="preserve">Quantitative Factors</w:t>
      </w:r>
      <w:r>
        <w:t xml:space="preserve">:</w:t>
      </w:r>
      <w:r>
        <w:t xml:space="preserve"> </w:t>
      </w:r>
      <w:r>
        <w:t xml:space="preserve">- Effective tax rate calculation for each structure</w:t>
      </w:r>
      <w:r>
        <w:t xml:space="preserve"> </w:t>
      </w:r>
      <w:r>
        <w:t xml:space="preserve">- WHT costs on cross-border payments</w:t>
      </w:r>
      <w:r>
        <w:t xml:space="preserve"> </w:t>
      </w:r>
      <w:r>
        <w:t xml:space="preserve">- Compliance costs (TP documentation, tax filings)</w:t>
      </w:r>
      <w:r>
        <w:t xml:space="preserve"> </w:t>
      </w:r>
      <w:r>
        <w:t xml:space="preserve">- Setup and ongoing operational costs</w:t>
      </w:r>
    </w:p>
    <w:p>
      <w:pPr>
        <w:pStyle w:val="BodyText"/>
      </w:pPr>
      <w:r>
        <w:rPr>
          <w:bCs/>
          <w:b/>
        </w:rPr>
        <w:t xml:space="preserve">Qualitative Factors</w:t>
      </w:r>
      <w:r>
        <w:t xml:space="preserve">:</w:t>
      </w:r>
      <w:r>
        <w:t xml:space="preserve"> </w:t>
      </w:r>
      <w:r>
        <w:t xml:space="preserve">- Substance requirements and feasibility</w:t>
      </w:r>
      <w:r>
        <w:t xml:space="preserve"> </w:t>
      </w:r>
      <w:r>
        <w:t xml:space="preserve">- Commercial rationale and business purpose</w:t>
      </w:r>
      <w:r>
        <w:t xml:space="preserve"> </w:t>
      </w:r>
      <w:r>
        <w:t xml:space="preserve">- Operational complexity and management burden</w:t>
      </w:r>
      <w:r>
        <w:t xml:space="preserve"> </w:t>
      </w:r>
      <w:r>
        <w:t xml:space="preserve">- Regulatory and licensing requirements</w:t>
      </w:r>
      <w:r>
        <w:t xml:space="preserve"> </w:t>
      </w:r>
      <w:r>
        <w:t xml:space="preserve">- Reputational and political considerations</w:t>
      </w:r>
    </w:p>
    <w:p>
      <w:pPr>
        <w:pStyle w:val="BodyText"/>
      </w:pPr>
      <w:r>
        <w:rPr>
          <w:bCs/>
          <w:b/>
        </w:rPr>
        <w:t xml:space="preserve">Step 4: Optimal Structure Selection</w:t>
      </w:r>
    </w:p>
    <w:p>
      <w:pPr>
        <w:pStyle w:val="BodyText"/>
      </w:pPr>
      <w:r>
        <w:rPr>
          <w:bCs/>
          <w:b/>
        </w:rPr>
        <w:t xml:space="preserve">Decision Criteria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Tax efficiency</w:t>
      </w:r>
      <w:r>
        <w:t xml:space="preserve">: Select structure minimizing global tax cost while meeting substance tests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Risk management</w:t>
      </w:r>
      <w:r>
        <w:t xml:space="preserve">: Avoid high PE risk or transfer pricing controversy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Operational feasibility</w:t>
      </w:r>
      <w:r>
        <w:t xml:space="preserve">: Ensure structure can be implemented and maintained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Future flexibility</w:t>
      </w:r>
      <w:r>
        <w:t xml:space="preserve">: Consider scalability and adaptability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BEPS compliance</w:t>
      </w:r>
      <w:r>
        <w:t xml:space="preserve">: Align with OECD guidance and local implementation</w:t>
      </w:r>
    </w:p>
    <w:bookmarkEnd w:id="35"/>
    <w:bookmarkStart w:id="36" w:name="tax-cost-modeling-approach"/>
    <w:p>
      <w:pPr>
        <w:pStyle w:val="Heading3"/>
      </w:pPr>
      <w:r>
        <w:t xml:space="preserve">4.2 Tax Cost Modeling Approach</w:t>
      </w:r>
    </w:p>
    <w:p>
      <w:pPr>
        <w:pStyle w:val="FirstParagraph"/>
      </w:pPr>
      <w:r>
        <w:rPr>
          <w:bCs/>
          <w:b/>
        </w:rPr>
        <w:t xml:space="preserve">Total Tax Cost Formula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Total Tax Cost = Corporate Tax + WHT + Compliance Costs + Risk-Adjusted Costs</w:t>
      </w:r>
    </w:p>
    <w:p>
      <w:pPr>
        <w:pStyle w:val="BodyText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Corporate Tax</w:t>
      </w:r>
      <w:r>
        <w:t xml:space="preserve"> </w:t>
      </w:r>
      <w:r>
        <w:t xml:space="preserve">= (Service Fee - Costs) × Corporate Tax Rate in service company location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WHT</w:t>
      </w:r>
      <w:r>
        <w:t xml:space="preserve"> </w:t>
      </w:r>
      <w:r>
        <w:t xml:space="preserve">= Service Fee × WHT Rate × (1 - Treaty Relief %)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Compliance Costs</w:t>
      </w:r>
      <w:r>
        <w:t xml:space="preserve"> </w:t>
      </w:r>
      <w:r>
        <w:t xml:space="preserve">= TP documentation + tax filings + substance maintenance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Risk-Adjusted Costs</w:t>
      </w:r>
      <w:r>
        <w:t xml:space="preserve"> </w:t>
      </w:r>
      <w:r>
        <w:t xml:space="preserve">= Probability of audit × potential adjustments × penalty rate</w:t>
      </w:r>
    </w:p>
    <w:p>
      <w:pPr>
        <w:pStyle w:val="BodyText"/>
      </w:pPr>
      <w:r>
        <w:rPr>
          <w:bCs/>
          <w:b/>
        </w:rPr>
        <w:t xml:space="preserve">Sensitivity Analysis</w:t>
      </w:r>
      <w:r>
        <w:t xml:space="preserve">:</w:t>
      </w:r>
      <w:r>
        <w:t xml:space="preserve"> </w:t>
      </w:r>
      <w:r>
        <w:t xml:space="preserve">- Model multiple scenarios with different assumptions</w:t>
      </w:r>
      <w:r>
        <w:t xml:space="preserve"> </w:t>
      </w:r>
      <w:r>
        <w:t xml:space="preserve">- Vary service volumes, markup percentages, tax rates</w:t>
      </w:r>
      <w:r>
        <w:t xml:space="preserve"> </w:t>
      </w:r>
      <w:r>
        <w:t xml:space="preserve">- Assess impact of PE creation on effective tax rate</w:t>
      </w:r>
      <w:r>
        <w:t xml:space="preserve"> </w:t>
      </w:r>
      <w:r>
        <w:t xml:space="preserve">- Consider Pillar Two top-up tax if applicable</w:t>
      </w:r>
    </w:p>
    <w:bookmarkEnd w:id="36"/>
    <w:bookmarkEnd w:id="37"/>
    <w:bookmarkStart w:id="40" w:name="worked-examples"/>
    <w:p>
      <w:pPr>
        <w:pStyle w:val="Heading2"/>
      </w:pPr>
      <w:r>
        <w:t xml:space="preserve">5. Worked Examples</w:t>
      </w:r>
    </w:p>
    <w:bookmarkStart w:id="38" w:name="Xdf2a9f0d4c277815329b24226d4c2ff9cde8ce9"/>
    <w:p>
      <w:pPr>
        <w:pStyle w:val="Heading3"/>
      </w:pPr>
      <w:r>
        <w:t xml:space="preserve">5.1 Example 1: Regional Service Hub Analysis - Netherlands vs. Singapore</w:t>
      </w:r>
    </w:p>
    <w:p>
      <w:pPr>
        <w:pStyle w:val="FirstParagraph"/>
      </w:pPr>
      <w:r>
        <w:rPr>
          <w:bCs/>
          <w:b/>
        </w:rPr>
        <w:t xml:space="preserve">Background</w:t>
      </w:r>
      <w:r>
        <w:t xml:space="preserve">:</w:t>
      </w:r>
      <w:r>
        <w:t xml:space="preserve"> </w:t>
      </w:r>
      <w:r>
        <w:rPr>
          <w:bCs/>
          <w:b/>
        </w:rPr>
        <w:t xml:space="preserve">Global Oil Services Group</w:t>
      </w:r>
      <w:r>
        <w:t xml:space="preserve"> </w:t>
      </w:r>
      <w:r>
        <w:t xml:space="preserve">provides specialized drilling and engineering services to its subsidiaries operating in Nigeria, Indonesia, Angola, and Malaysia. The group is considering establishing a</w:t>
      </w:r>
      <w:r>
        <w:t xml:space="preserve"> </w:t>
      </w:r>
      <w:r>
        <w:rPr>
          <w:bCs/>
          <w:b/>
        </w:rPr>
        <w:t xml:space="preserve">regional service hub</w:t>
      </w:r>
      <w:r>
        <w:t xml:space="preserve"> </w:t>
      </w:r>
      <w:r>
        <w:t xml:space="preserve">to centralize technical service provision. Two locations are under evaluation:</w:t>
      </w:r>
      <w:r>
        <w:t xml:space="preserve"> </w:t>
      </w:r>
      <w:r>
        <w:rPr>
          <w:bCs/>
          <w:b/>
        </w:rPr>
        <w:t xml:space="preserve">Netherlands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Singapore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Service Profile</w:t>
      </w:r>
      <w:r>
        <w:t xml:space="preserve">:</w:t>
      </w:r>
      <w:r>
        <w:t xml:space="preserve"> </w:t>
      </w:r>
      <w:r>
        <w:t xml:space="preserve">- Annual service fees to be charged:</w:t>
      </w:r>
      <w:r>
        <w:t xml:space="preserve"> </w:t>
      </w:r>
      <w:r>
        <w:rPr>
          <w:bCs/>
          <w:b/>
        </w:rPr>
        <w:t xml:space="preserve">USD 10,000,000</w:t>
      </w:r>
      <w:r>
        <w:t xml:space="preserve"> </w:t>
      </w:r>
      <w:r>
        <w:t xml:space="preserve">- Cost base (salaries, equipment, overhead):</w:t>
      </w:r>
      <w:r>
        <w:t xml:space="preserve"> </w:t>
      </w:r>
      <w:r>
        <w:rPr>
          <w:bCs/>
          <w:b/>
        </w:rPr>
        <w:t xml:space="preserve">USD 7,500,000</w:t>
      </w:r>
      <w:r>
        <w:t xml:space="preserve"> </w:t>
      </w:r>
      <w:r>
        <w:t xml:space="preserve">- Required markup:</w:t>
      </w:r>
      <w:r>
        <w:t xml:space="preserve"> </w:t>
      </w:r>
      <w:r>
        <w:rPr>
          <w:bCs/>
          <w:b/>
        </w:rPr>
        <w:t xml:space="preserve">8%</w:t>
      </w:r>
      <w:r>
        <w:t xml:space="preserve"> </w:t>
      </w:r>
      <w:r>
        <w:t xml:space="preserve">(arm’s length based on benchmarking)</w:t>
      </w:r>
      <w:r>
        <w:t xml:space="preserve"> </w:t>
      </w:r>
      <w:r>
        <w:t xml:space="preserve">- Service fees calculated: USD 7,500,000 × 1.08 =</w:t>
      </w:r>
      <w:r>
        <w:t xml:space="preserve"> </w:t>
      </w:r>
      <w:r>
        <w:rPr>
          <w:bCs/>
          <w:b/>
        </w:rPr>
        <w:t xml:space="preserve">USD 8,100,000</w:t>
      </w:r>
      <w:r>
        <w:t xml:space="preserve"> </w:t>
      </w:r>
      <w:r>
        <w:t xml:space="preserve">- Expected profit margin: USD 8,100,000 - USD 7,500,000 =</w:t>
      </w:r>
      <w:r>
        <w:t xml:space="preserve"> </w:t>
      </w:r>
      <w:r>
        <w:rPr>
          <w:bCs/>
          <w:b/>
        </w:rPr>
        <w:t xml:space="preserve">USD 600,000</w:t>
      </w:r>
    </w:p>
    <w:p>
      <w:pPr>
        <w:pStyle w:val="BodyText"/>
      </w:pPr>
      <w:r>
        <w:rPr>
          <w:iCs/>
          <w:i/>
        </w:rPr>
        <w:t xml:space="preserve">Note: For illustrative purposes, we’ll use cost-plus markup. Market-based pricing could also be USD 10,000,000 if supported by comparables.</w:t>
      </w:r>
    </w:p>
    <w:p>
      <w:pPr>
        <w:pStyle w:val="BodyText"/>
      </w:pPr>
      <w:r>
        <w:rPr>
          <w:bCs/>
          <w:b/>
        </w:rPr>
        <w:t xml:space="preserve">Let’s use the USD 8,100,000 fee (cost-plus 8%) for analysis:</w:t>
      </w:r>
    </w:p>
    <w:p>
      <w:pPr>
        <w:pStyle w:val="BodyText"/>
      </w:pPr>
      <w:r>
        <w:rPr>
          <w:bCs/>
          <w:b/>
        </w:rPr>
        <w:t xml:space="preserve">Tax Analysis:</w:t>
      </w:r>
    </w:p>
    <w:p>
      <w:pPr>
        <w:pStyle w:val="BodyText"/>
      </w:pPr>
      <w:r>
        <w:rPr>
          <w:bCs/>
          <w:b/>
        </w:rPr>
        <w:t xml:space="preserve">Option A: Netherlands Service Hub</w:t>
      </w:r>
    </w:p>
    <w:p>
      <w:pPr>
        <w:pStyle w:val="BodyText"/>
      </w:pPr>
      <w:r>
        <w:rPr>
          <w:bCs/>
          <w:b/>
        </w:rPr>
        <w:t xml:space="preserve">Corporate Tax Calculation</w:t>
      </w:r>
      <w:r>
        <w:t xml:space="preserve">:</w:t>
      </w:r>
      <w:r>
        <w:t xml:space="preserve"> </w:t>
      </w:r>
      <w:r>
        <w:t xml:space="preserve">- Service revenue: USD 8,100,000</w:t>
      </w:r>
      <w:r>
        <w:t xml:space="preserve"> </w:t>
      </w:r>
      <w:r>
        <w:t xml:space="preserve">- Costs: USD 7,500,000</w:t>
      </w:r>
      <w:r>
        <w:t xml:space="preserve"> </w:t>
      </w:r>
      <w:r>
        <w:t xml:space="preserve">- Taxable profit: USD 600,000</w:t>
      </w:r>
      <w:r>
        <w:t xml:space="preserve"> </w:t>
      </w:r>
      <w:r>
        <w:t xml:space="preserve">- Netherlands corporate tax rate:</w:t>
      </w:r>
      <w:r>
        <w:t xml:space="preserve"> </w:t>
      </w:r>
      <w:r>
        <w:rPr>
          <w:bCs/>
          <w:b/>
        </w:rPr>
        <w:t xml:space="preserve">25.8%</w:t>
      </w:r>
      <w:r>
        <w:t xml:space="preserve"> </w:t>
      </w:r>
      <w:r>
        <w:t xml:space="preserve">(2024 rate)</w:t>
      </w:r>
      <w:r>
        <w:t xml:space="preserve"> </w:t>
      </w:r>
      <w:r>
        <w:t xml:space="preserve">- Corporate tax: USD 600,000 × 25.8% =</w:t>
      </w:r>
      <w:r>
        <w:t xml:space="preserve"> </w:t>
      </w:r>
      <w:r>
        <w:rPr>
          <w:bCs/>
          <w:b/>
        </w:rPr>
        <w:t xml:space="preserve">USD 154,800</w:t>
      </w:r>
    </w:p>
    <w:p>
      <w:pPr>
        <w:pStyle w:val="BodyText"/>
      </w:pPr>
      <w:r>
        <w:rPr>
          <w:bCs/>
          <w:b/>
        </w:rPr>
        <w:t xml:space="preserve">Withholding Tax on Service Payments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1"/>
        <w:gridCol w:w="2076"/>
        <w:gridCol w:w="1537"/>
        <w:gridCol w:w="1076"/>
        <w:gridCol w:w="153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Recipient Country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 Fee Allocation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Treaty WHT 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WHT Cost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(Art. 7, no 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Indonesia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2,500,000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(Art. 7, no 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place 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1,600,000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(Art. 7, no 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months construction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Malaysia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(Art. 7, no 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place 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 8,100,000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 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Compliance and Substance Costs</w:t>
      </w:r>
      <w:r>
        <w:t xml:space="preserve">:</w:t>
      </w:r>
      <w:r>
        <w:t xml:space="preserve"> </w:t>
      </w:r>
      <w:r>
        <w:t xml:space="preserve">- Transfer pricing documentation and compliance: USD 80,000</w:t>
      </w:r>
      <w:r>
        <w:t xml:space="preserve"> </w:t>
      </w:r>
      <w:r>
        <w:t xml:space="preserve">- Substance requirements (8 technical staff, office): USD 150,000</w:t>
      </w:r>
      <w:r>
        <w:t xml:space="preserve"> </w:t>
      </w:r>
      <w:r>
        <w:t xml:space="preserve">- Legal and tax advisory: USD 50,000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compliance costs</w:t>
      </w:r>
      <w:r>
        <w:t xml:space="preserve">: USD 280,000</w:t>
      </w:r>
    </w:p>
    <w:p>
      <w:pPr>
        <w:pStyle w:val="BodyText"/>
      </w:pPr>
      <w:r>
        <w:rPr>
          <w:bCs/>
          <w:b/>
        </w:rPr>
        <w:t xml:space="preserve">Total Tax Cost (Netherlands Hub)</w:t>
      </w:r>
      <w:r>
        <w:t xml:space="preserve">:</w:t>
      </w:r>
      <w:r>
        <w:t xml:space="preserve"> </w:t>
      </w:r>
      <w:r>
        <w:t xml:space="preserve">- Corporate tax: USD 154,800</w:t>
      </w:r>
      <w:r>
        <w:t xml:space="preserve"> </w:t>
      </w:r>
      <w:r>
        <w:t xml:space="preserve">- WHT: USD 0</w:t>
      </w:r>
      <w:r>
        <w:t xml:space="preserve"> </w:t>
      </w:r>
      <w:r>
        <w:t xml:space="preserve">- Compliance costs: USD 280,000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</w:t>
      </w:r>
      <w:r>
        <w:t xml:space="preserve">: USD 434,800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Effective tax rate</w:t>
      </w:r>
      <w:r>
        <w:t xml:space="preserve">: USD 154,800 / USD 600,000 =</w:t>
      </w:r>
      <w:r>
        <w:t xml:space="preserve"> </w:t>
      </w:r>
      <w:r>
        <w:rPr>
          <w:bCs/>
          <w:b/>
        </w:rPr>
        <w:t xml:space="preserve">25.8%</w:t>
      </w:r>
      <w:r>
        <w:t xml:space="preserve"> </w:t>
      </w:r>
      <w:r>
        <w:t xml:space="preserve">(on profits)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cost as % of profit</w:t>
      </w:r>
      <w:r>
        <w:t xml:space="preserve">: USD 434,800 / USD 600,000 =</w:t>
      </w:r>
      <w:r>
        <w:t xml:space="preserve"> </w:t>
      </w:r>
      <w:r>
        <w:rPr>
          <w:bCs/>
          <w:b/>
        </w:rPr>
        <w:t xml:space="preserve">72.5%</w:t>
      </w:r>
    </w:p>
    <w:p>
      <w:pPr>
        <w:pStyle w:val="BodyText"/>
      </w:pPr>
      <w:r>
        <w:rPr>
          <w:bCs/>
          <w:b/>
        </w:rPr>
        <w:t xml:space="preserve">Option B: Singapore Service Hub</w:t>
      </w:r>
    </w:p>
    <w:p>
      <w:pPr>
        <w:pStyle w:val="BodyText"/>
      </w:pPr>
      <w:r>
        <w:rPr>
          <w:bCs/>
          <w:b/>
        </w:rPr>
        <w:t xml:space="preserve">Corporate Tax Calculation</w:t>
      </w:r>
      <w:r>
        <w:t xml:space="preserve">:</w:t>
      </w:r>
      <w:r>
        <w:t xml:space="preserve"> </w:t>
      </w:r>
      <w:r>
        <w:t xml:space="preserve">- Service revenue: USD 8,100,000</w:t>
      </w:r>
      <w:r>
        <w:t xml:space="preserve"> </w:t>
      </w:r>
      <w:r>
        <w:t xml:space="preserve">- Costs: USD 7,500,000</w:t>
      </w:r>
      <w:r>
        <w:t xml:space="preserve"> </w:t>
      </w:r>
      <w:r>
        <w:t xml:space="preserve">- Taxable profit: USD 600,000</w:t>
      </w:r>
      <w:r>
        <w:t xml:space="preserve"> </w:t>
      </w:r>
      <w:r>
        <w:t xml:space="preserve">- Singapore corporate tax rate:</w:t>
      </w:r>
      <w:r>
        <w:t xml:space="preserve"> </w:t>
      </w:r>
      <w:r>
        <w:rPr>
          <w:bCs/>
          <w:b/>
        </w:rPr>
        <w:t xml:space="preserve">17%</w:t>
      </w:r>
      <w:r>
        <w:t xml:space="preserve"> </w:t>
      </w:r>
      <w:r>
        <w:t xml:space="preserve">- Corporate tax: USD 600,000 × 17% =</w:t>
      </w:r>
      <w:r>
        <w:t xml:space="preserve"> </w:t>
      </w:r>
      <w:r>
        <w:rPr>
          <w:bCs/>
          <w:b/>
        </w:rPr>
        <w:t xml:space="preserve">USD 102,000</w:t>
      </w:r>
    </w:p>
    <w:p>
      <w:pPr>
        <w:pStyle w:val="BodyText"/>
      </w:pPr>
      <w:r>
        <w:rPr>
          <w:bCs/>
          <w:b/>
        </w:rPr>
        <w:t xml:space="preserve">Withholding Tax on Service Payments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1"/>
        <w:gridCol w:w="2076"/>
        <w:gridCol w:w="1537"/>
        <w:gridCol w:w="1076"/>
        <w:gridCol w:w="153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Recipient Country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 Fee Allocation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Treaty WHT 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WHT Cost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(Art. 7, no 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Indonesia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2,500,000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(Art. 7, no 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days service 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1,600,000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5%* (no treaty)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80,000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- domestic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Malaysia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 (Art. 7, no 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place 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 8,100,000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 80,000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*Assuming Angola applies 5% WHT on technical service fees under domestic law in absence of treaty.</w:t>
      </w:r>
    </w:p>
    <w:p>
      <w:pPr>
        <w:pStyle w:val="BodyText"/>
      </w:pPr>
      <w:r>
        <w:rPr>
          <w:bCs/>
          <w:b/>
        </w:rPr>
        <w:t xml:space="preserve">Compliance and Substance Costs</w:t>
      </w:r>
      <w:r>
        <w:t xml:space="preserve">:</w:t>
      </w:r>
      <w:r>
        <w:t xml:space="preserve"> </w:t>
      </w:r>
      <w:r>
        <w:t xml:space="preserve">- Transfer pricing documentation and compliance: USD 70,000</w:t>
      </w:r>
      <w:r>
        <w:t xml:space="preserve"> </w:t>
      </w:r>
      <w:r>
        <w:t xml:space="preserve">- Substance requirements (8 technical staff, office): USD 180,000 (higher costs in Singapore)</w:t>
      </w:r>
      <w:r>
        <w:t xml:space="preserve"> </w:t>
      </w:r>
      <w:r>
        <w:t xml:space="preserve">- Legal and tax advisory: USD 45,000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compliance costs</w:t>
      </w:r>
      <w:r>
        <w:t xml:space="preserve">: USD 295,000</w:t>
      </w:r>
    </w:p>
    <w:p>
      <w:pPr>
        <w:pStyle w:val="BodyText"/>
      </w:pPr>
      <w:r>
        <w:rPr>
          <w:bCs/>
          <w:b/>
        </w:rPr>
        <w:t xml:space="preserve">Total Tax Cost (Singapore Hub)</w:t>
      </w:r>
      <w:r>
        <w:t xml:space="preserve">:</w:t>
      </w:r>
      <w:r>
        <w:t xml:space="preserve"> </w:t>
      </w:r>
      <w:r>
        <w:t xml:space="preserve">- Corporate tax: USD 102,000</w:t>
      </w:r>
      <w:r>
        <w:t xml:space="preserve"> </w:t>
      </w:r>
      <w:r>
        <w:t xml:space="preserve">- WHT: USD 80,000</w:t>
      </w:r>
      <w:r>
        <w:t xml:space="preserve"> </w:t>
      </w:r>
      <w:r>
        <w:t xml:space="preserve">- Compliance costs: USD 295,000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</w:t>
      </w:r>
      <w:r>
        <w:t xml:space="preserve">: USD 477,000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Effective tax rate</w:t>
      </w:r>
      <w:r>
        <w:t xml:space="preserve">: USD 102,000 / USD 600,000 =</w:t>
      </w:r>
      <w:r>
        <w:t xml:space="preserve"> </w:t>
      </w:r>
      <w:r>
        <w:rPr>
          <w:bCs/>
          <w:b/>
        </w:rPr>
        <w:t xml:space="preserve">17%</w:t>
      </w:r>
      <w:r>
        <w:t xml:space="preserve"> </w:t>
      </w:r>
      <w:r>
        <w:t xml:space="preserve">(on profits)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cost as % of profit</w:t>
      </w:r>
      <w:r>
        <w:t xml:space="preserve">: USD 477,000 / USD 600,000 =</w:t>
      </w:r>
      <w:r>
        <w:t xml:space="preserve"> </w:t>
      </w:r>
      <w:r>
        <w:rPr>
          <w:bCs/>
          <w:b/>
        </w:rPr>
        <w:t xml:space="preserve">79.5%</w:t>
      </w:r>
    </w:p>
    <w:p>
      <w:pPr>
        <w:pStyle w:val="BodyText"/>
      </w:pPr>
      <w:r>
        <w:rPr>
          <w:bCs/>
          <w:b/>
        </w:rPr>
        <w:t xml:space="preserve">Comparative Analysis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2400"/>
        <w:gridCol w:w="2400"/>
        <w:gridCol w:w="18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Netherlands Hub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Singapore Hub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Advantage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Corporate tax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Singapore (-8.8 pp)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Corporate tax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154,800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Singapore (-USD 52,800)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WHT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80,000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Netherlands (-USD 80,000)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Compliance 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280,000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295,000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Netherlands (-USD 15,000)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tax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434,800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477,000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Netherlands (-USD 42,200)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Treaty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90+ treaties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75+ treaties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Angola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treaty (but EU MOU)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treaty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Operational 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Time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EU/Africa friendly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Asia-Pacific friendly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 operations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Recommendation</w:t>
      </w:r>
      <w:r>
        <w:t xml:space="preserve">:</w:t>
      </w:r>
      <w:r>
        <w:t xml:space="preserve"> </w:t>
      </w:r>
      <w:r>
        <w:rPr>
          <w:bCs/>
          <w:b/>
        </w:rPr>
        <w:t xml:space="preserve">Netherlands</w:t>
      </w:r>
      <w:r>
        <w:t xml:space="preserve"> </w:t>
      </w:r>
      <w:r>
        <w:t xml:space="preserve">offers</w:t>
      </w:r>
      <w:r>
        <w:t xml:space="preserve"> </w:t>
      </w:r>
      <w:r>
        <w:rPr>
          <w:bCs/>
          <w:b/>
        </w:rPr>
        <w:t xml:space="preserve">lower total tax cost</w:t>
      </w:r>
      <w:r>
        <w:t xml:space="preserve"> </w:t>
      </w:r>
      <w:r>
        <w:t xml:space="preserve">(USD 434,800 vs. USD 477,000) primarily due to: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Superior treaty network</w:t>
      </w:r>
      <w:r>
        <w:t xml:space="preserve">: No WHT on service payments vs. USD 80,000 WHT cost for Angola services from Singapore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Lower compliance costs</w:t>
      </w:r>
      <w:r>
        <w:t xml:space="preserve">: EUR-based operations more cost-effective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Better geographic coverage</w:t>
      </w:r>
      <w:r>
        <w:t xml:space="preserve">: Treaties with all four recipient countries</w:t>
      </w:r>
    </w:p>
    <w:p>
      <w:pPr>
        <w:pStyle w:val="BodyText"/>
      </w:pPr>
      <w:r>
        <w:t xml:space="preserve">However,</w:t>
      </w:r>
      <w:r>
        <w:t xml:space="preserve"> </w:t>
      </w:r>
      <w:r>
        <w:rPr>
          <w:bCs/>
          <w:b/>
        </w:rPr>
        <w:t xml:space="preserve">Singapore</w:t>
      </w:r>
      <w:r>
        <w:t xml:space="preserve"> </w:t>
      </w:r>
      <w:r>
        <w:t xml:space="preserve">may be preferred if:</w:t>
      </w:r>
      <w:r>
        <w:t xml:space="preserve"> </w:t>
      </w:r>
      <w:r>
        <w:t xml:space="preserve">- Operations shift toward Asia-Pacific region (Indonesia, Malaysia focus)</w:t>
      </w:r>
      <w:r>
        <w:t xml:space="preserve"> </w:t>
      </w:r>
      <w:r>
        <w:t xml:space="preserve">- Angola operations reduce or treaty is negotiated</w:t>
      </w:r>
      <w:r>
        <w:t xml:space="preserve"> </w:t>
      </w:r>
      <w:r>
        <w:t xml:space="preserve">- Lower corporate tax rate becomes more significant with higher profit margins</w:t>
      </w:r>
      <w:r>
        <w:t xml:space="preserve"> </w:t>
      </w:r>
      <w:r>
        <w:t xml:space="preserve">- Time zone advantages for service delivery coordination</w:t>
      </w:r>
    </w:p>
    <w:p>
      <w:pPr>
        <w:pStyle w:val="BodyText"/>
      </w:pPr>
      <w:r>
        <w:rPr>
          <w:bCs/>
          <w:b/>
        </w:rPr>
        <w:t xml:space="preserve">Sensitivity</w:t>
      </w:r>
      <w:r>
        <w:t xml:space="preserve">: If profit margin increases to USD 1,200,000 (e.g., higher service fees or lower costs):</w:t>
      </w:r>
      <w:r>
        <w:t xml:space="preserve"> </w:t>
      </w:r>
      <w:r>
        <w:t xml:space="preserve">- Netherlands: USD 309,600 corporate tax + USD 0 WHT + USD 280,000 compliance =</w:t>
      </w:r>
      <w:r>
        <w:t xml:space="preserve"> </w:t>
      </w:r>
      <w:r>
        <w:rPr>
          <w:bCs/>
          <w:b/>
        </w:rPr>
        <w:t xml:space="preserve">USD 589,600 total</w:t>
      </w:r>
      <w:r>
        <w:t xml:space="preserve"> </w:t>
      </w:r>
      <w:r>
        <w:t xml:space="preserve">- Singapore: USD 204,000 corporate tax + USD 80,000 WHT + USD 295,000 compliance =</w:t>
      </w:r>
      <w:r>
        <w:t xml:space="preserve"> </w:t>
      </w:r>
      <w:r>
        <w:rPr>
          <w:bCs/>
          <w:b/>
        </w:rPr>
        <w:t xml:space="preserve">USD 579,000 total</w:t>
      </w:r>
      <w:r>
        <w:t xml:space="preserve"> </w:t>
      </w:r>
      <w:r>
        <w:t xml:space="preserve">- At higher margins,</w:t>
      </w:r>
      <w:r>
        <w:t xml:space="preserve"> </w:t>
      </w:r>
      <w:r>
        <w:rPr>
          <w:bCs/>
          <w:b/>
        </w:rPr>
        <w:t xml:space="preserve">Singapore becomes more competitive</w:t>
      </w:r>
      <w:r>
        <w:t xml:space="preserve"> </w:t>
      </w:r>
      <w:r>
        <w:t xml:space="preserve">due to lower corporate tax rate.</w:t>
      </w:r>
    </w:p>
    <w:bookmarkEnd w:id="38"/>
    <w:bookmarkStart w:id="39" w:name="Xc284c6d6f85fa02ffa4214f5b4aeb9c56eec126"/>
    <w:p>
      <w:pPr>
        <w:pStyle w:val="Heading3"/>
      </w:pPr>
      <w:r>
        <w:t xml:space="preserve">5.2 Example 2: Secondment vs. Subcontracting Comparison</w:t>
      </w:r>
    </w:p>
    <w:p>
      <w:pPr>
        <w:pStyle w:val="FirstParagraph"/>
      </w:pPr>
      <w:r>
        <w:rPr>
          <w:bCs/>
          <w:b/>
        </w:rPr>
        <w:t xml:space="preserve">Background</w:t>
      </w:r>
      <w:r>
        <w:t xml:space="preserve">:</w:t>
      </w:r>
      <w:r>
        <w:t xml:space="preserve"> </w:t>
      </w:r>
      <w:r>
        <w:rPr>
          <w:bCs/>
          <w:b/>
        </w:rPr>
        <w:t xml:space="preserve">International Energy Corp (IEC)</w:t>
      </w:r>
      <w:r>
        <w:t xml:space="preserve">, headquartered in the UK, needs to provide engineering services to its Nigerian subsidiary for a 10-month offshore platform development project. IEC is evaluating two structural options:</w:t>
      </w:r>
    </w:p>
    <w:p>
      <w:pPr>
        <w:pStyle w:val="BodyText"/>
      </w:pPr>
      <w:r>
        <w:rPr>
          <w:bCs/>
          <w:b/>
        </w:rPr>
        <w:t xml:space="preserve">Option A: Secondment Arrangement</w:t>
      </w:r>
      <w:r>
        <w:t xml:space="preserve"> </w:t>
      </w:r>
      <w:r>
        <w:t xml:space="preserve">- UK-based engineers seconded to Nigerian subsidiary</w:t>
      </w:r>
      <w:r>
        <w:t xml:space="preserve"> </w:t>
      </w:r>
      <w:r>
        <w:t xml:space="preserve">- Nigerian sub pays salary costs plus 5% administrative fee</w:t>
      </w:r>
      <w:r>
        <w:t xml:space="preserve"> </w:t>
      </w:r>
      <w:r>
        <w:t xml:space="preserve">- Engineers remain UK employees during secondment</w:t>
      </w:r>
    </w:p>
    <w:p>
      <w:pPr>
        <w:pStyle w:val="BodyText"/>
      </w:pPr>
      <w:r>
        <w:rPr>
          <w:bCs/>
          <w:b/>
        </w:rPr>
        <w:t xml:space="preserve">Option B: Subcontracting Arrangement</w:t>
      </w:r>
      <w:r>
        <w:t xml:space="preserve"> </w:t>
      </w:r>
      <w:r>
        <w:t xml:space="preserve">- IEC UK provides services directly as contractor</w:t>
      </w:r>
      <w:r>
        <w:t xml:space="preserve"> </w:t>
      </w:r>
      <w:r>
        <w:t xml:space="preserve">- Charges cost-plus 10% markup to Nigerian sub</w:t>
      </w:r>
      <w:r>
        <w:t xml:space="preserve"> </w:t>
      </w:r>
      <w:r>
        <w:t xml:space="preserve">- Engineers travel to Nigeria but remain based in UK</w:t>
      </w:r>
    </w:p>
    <w:p>
      <w:pPr>
        <w:pStyle w:val="BodyText"/>
      </w:pPr>
      <w:r>
        <w:rPr>
          <w:bCs/>
          <w:b/>
        </w:rPr>
        <w:t xml:space="preserve">Service Parameters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Number of engineers</w:t>
      </w:r>
      <w:r>
        <w:t xml:space="preserve">: 6 engineers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 duration</w:t>
      </w:r>
      <w:r>
        <w:t xml:space="preserve">: 10 months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Annual salary per engineer</w:t>
      </w:r>
      <w:r>
        <w:t xml:space="preserve">: GBP 80,000 (approximately USD 100,000)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salary costs for 10 months</w:t>
      </w:r>
      <w:r>
        <w:t xml:space="preserve">: 6 × USD 100,000 × (10/12) =</w:t>
      </w:r>
      <w:r>
        <w:t xml:space="preserve"> </w:t>
      </w:r>
      <w:r>
        <w:rPr>
          <w:bCs/>
          <w:b/>
        </w:rPr>
        <w:t xml:space="preserve">USD 500,000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Support costs</w:t>
      </w:r>
      <w:r>
        <w:t xml:space="preserve"> </w:t>
      </w:r>
      <w:r>
        <w:t xml:space="preserve">(admin, tools, travel): USD 100,000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cost base</w:t>
      </w:r>
      <w:r>
        <w:t xml:space="preserve">: USD 600,000</w:t>
      </w:r>
    </w:p>
    <w:p>
      <w:pPr>
        <w:pStyle w:val="BodyText"/>
      </w:pPr>
      <w:r>
        <w:rPr>
          <w:bCs/>
          <w:b/>
        </w:rPr>
        <w:t xml:space="preserve">Time in Nigeria</w:t>
      </w:r>
      <w:r>
        <w:t xml:space="preserve">:</w:t>
      </w:r>
      <w:r>
        <w:t xml:space="preserve"> </w:t>
      </w:r>
      <w:r>
        <w:t xml:space="preserve">- Engineers rotate with each spending average</w:t>
      </w:r>
      <w:r>
        <w:t xml:space="preserve"> </w:t>
      </w:r>
      <w:r>
        <w:rPr>
          <w:bCs/>
          <w:b/>
        </w:rPr>
        <w:t xml:space="preserve">90 days</w:t>
      </w:r>
      <w:r>
        <w:t xml:space="preserve"> </w:t>
      </w:r>
      <w:r>
        <w:t xml:space="preserve">in Nigeria over 10-month period</w:t>
      </w:r>
      <w:r>
        <w:t xml:space="preserve"> </w:t>
      </w:r>
      <w:r>
        <w:t xml:space="preserve">- Total days: 6 engineers × 90 days =</w:t>
      </w:r>
      <w:r>
        <w:t xml:space="preserve"> </w:t>
      </w:r>
      <w:r>
        <w:rPr>
          <w:bCs/>
          <w:b/>
        </w:rPr>
        <w:t xml:space="preserve">540 person-days</w:t>
      </w:r>
      <w:r>
        <w:t xml:space="preserve"> </w:t>
      </w:r>
      <w:r>
        <w:t xml:space="preserve">in Nigeria</w:t>
      </w:r>
    </w:p>
    <w:p>
      <w:pPr>
        <w:pStyle w:val="BodyText"/>
      </w:pPr>
      <w:r>
        <w:rPr>
          <w:bCs/>
          <w:b/>
        </w:rPr>
        <w:t xml:space="preserve">Tax Analysis:</w:t>
      </w:r>
    </w:p>
    <w:p>
      <w:pPr>
        <w:pStyle w:val="BodyText"/>
      </w:pPr>
      <w:r>
        <w:rPr>
          <w:bCs/>
          <w:b/>
        </w:rPr>
        <w:t xml:space="preserve">Option A: Secondment Structure</w:t>
      </w:r>
    </w:p>
    <w:p>
      <w:pPr>
        <w:pStyle w:val="BodyText"/>
      </w:pPr>
      <w:r>
        <w:rPr>
          <w:bCs/>
          <w:b/>
        </w:rPr>
        <w:t xml:space="preserve">Pricing</w:t>
      </w:r>
      <w:r>
        <w:t xml:space="preserve">:</w:t>
      </w:r>
      <w:r>
        <w:t xml:space="preserve"> </w:t>
      </w:r>
      <w:r>
        <w:t xml:space="preserve">- Cost base: USD 600,000</w:t>
      </w:r>
      <w:r>
        <w:t xml:space="preserve"> </w:t>
      </w:r>
      <w:r>
        <w:t xml:space="preserve">- Administrative fee: 5%</w:t>
      </w:r>
      <w:r>
        <w:t xml:space="preserve"> </w:t>
      </w:r>
      <w:r>
        <w:t xml:space="preserve">- Total charge to Nigerian sub: USD 600,000 × 1.05 =</w:t>
      </w:r>
      <w:r>
        <w:t xml:space="preserve"> </w:t>
      </w:r>
      <w:r>
        <w:rPr>
          <w:bCs/>
          <w:b/>
        </w:rPr>
        <w:t xml:space="preserve">USD 630,000</w:t>
      </w:r>
      <w:r>
        <w:t xml:space="preserve"> </w:t>
      </w:r>
      <w:r>
        <w:t xml:space="preserve">- IEC UK margin: USD 30,000</w:t>
      </w:r>
    </w:p>
    <w:p>
      <w:pPr>
        <w:pStyle w:val="BodyText"/>
      </w:pPr>
      <w:r>
        <w:rPr>
          <w:bCs/>
          <w:b/>
        </w:rPr>
        <w:t xml:space="preserve">UK Tax Position</w:t>
      </w:r>
      <w:r>
        <w:t xml:space="preserve">:</w:t>
      </w:r>
      <w:r>
        <w:t xml:space="preserve"> </w:t>
      </w:r>
      <w:r>
        <w:t xml:space="preserve">- Taxable profit: USD 30,000 (administrative fee only)</w:t>
      </w:r>
      <w:r>
        <w:t xml:space="preserve"> </w:t>
      </w:r>
      <w:r>
        <w:t xml:space="preserve">- UK corporate tax rate: 25% (2024)</w:t>
      </w:r>
      <w:r>
        <w:t xml:space="preserve"> </w:t>
      </w:r>
      <w:r>
        <w:t xml:space="preserve">- UK tax: USD 30,000 × 25% =</w:t>
      </w:r>
      <w:r>
        <w:t xml:space="preserve"> </w:t>
      </w:r>
      <w:r>
        <w:rPr>
          <w:bCs/>
          <w:b/>
        </w:rPr>
        <w:t xml:space="preserve">USD 7,500</w:t>
      </w:r>
    </w:p>
    <w:p>
      <w:pPr>
        <w:pStyle w:val="BodyText"/>
      </w:pPr>
      <w:r>
        <w:rPr>
          <w:bCs/>
          <w:b/>
        </w:rPr>
        <w:t xml:space="preserve">Nigerian Tax Position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Secondment = Cost Reimbursement</w:t>
      </w:r>
      <w:r>
        <w:t xml:space="preserve">: Generally no WHT on pure cost reimbursement</w:t>
      </w:r>
      <w:r>
        <w:t xml:space="preserve"> </w:t>
      </w:r>
      <w:r>
        <w:t xml:space="preserve">- 5% admin fee may be subject to WHT: USD 30,000 × 10% =</w:t>
      </w:r>
      <w:r>
        <w:t xml:space="preserve"> </w:t>
      </w:r>
      <w:r>
        <w:rPr>
          <w:bCs/>
          <w:b/>
        </w:rPr>
        <w:t xml:space="preserve">USD 3,000</w:t>
      </w:r>
      <w:r>
        <w:t xml:space="preserve"> </w:t>
      </w:r>
      <w:r>
        <w:t xml:space="preserve">(assuming 10% WHT on fees)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Service PE risk</w:t>
      </w:r>
      <w:r>
        <w:t xml:space="preserve">: LOW - seconded employees work for Nigerian subsidiary, not IEC UK</w:t>
      </w:r>
      <w:r>
        <w:t xml:space="preserve"> </w:t>
      </w:r>
      <w:r>
        <w:t xml:space="preserve">- Employment arrangement with local entity</w:t>
      </w:r>
      <w:r>
        <w:t xml:space="preserve"> </w:t>
      </w:r>
      <w:r>
        <w:t xml:space="preserve">- No independent service provision by UK parent</w:t>
      </w:r>
      <w:r>
        <w:t xml:space="preserve"> </w:t>
      </w:r>
      <w:r>
        <w:t xml:space="preserve">- Salary paid by/recharged to Nigerian employer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Result</w:t>
      </w:r>
      <w:r>
        <w:t xml:space="preserve">: No PE created in Nigeria</w:t>
      </w:r>
    </w:p>
    <w:p>
      <w:pPr>
        <w:pStyle w:val="BodyText"/>
      </w:pPr>
      <w:r>
        <w:rPr>
          <w:bCs/>
          <w:b/>
        </w:rPr>
        <w:t xml:space="preserve">Individual Tax on Engineers</w:t>
      </w:r>
      <w:r>
        <w:t xml:space="preserve">:</w:t>
      </w:r>
      <w:r>
        <w:t xml:space="preserve"> </w:t>
      </w:r>
      <w:r>
        <w:t xml:space="preserve">- Engineers may face</w:t>
      </w:r>
      <w:r>
        <w:t xml:space="preserve"> </w:t>
      </w:r>
      <w:r>
        <w:rPr>
          <w:bCs/>
          <w:b/>
        </w:rPr>
        <w:t xml:space="preserve">Nigerian personal income tax</w:t>
      </w:r>
      <w:r>
        <w:t xml:space="preserve"> </w:t>
      </w:r>
      <w:r>
        <w:t xml:space="preserve">on salary for days worked in Nigeria</w:t>
      </w:r>
      <w:r>
        <w:t xml:space="preserve"> </w:t>
      </w:r>
      <w:r>
        <w:t xml:space="preserve">- Nigerian</w:t>
      </w:r>
      <w:r>
        <w:t xml:space="preserve"> </w:t>
      </w:r>
      <w:r>
        <w:rPr>
          <w:bCs/>
          <w:b/>
        </w:rPr>
        <w:t xml:space="preserve">Personal Income Tax (PIT)</w:t>
      </w:r>
      <w:r>
        <w:t xml:space="preserve"> </w:t>
      </w:r>
      <w:r>
        <w:t xml:space="preserve">rates: Up to 24% on employment income</w:t>
      </w:r>
      <w:r>
        <w:t xml:space="preserve"> </w:t>
      </w:r>
      <w:r>
        <w:t xml:space="preserve">- UK-Nigeria tax treaty provides</w:t>
      </w:r>
      <w:r>
        <w:t xml:space="preserve"> </w:t>
      </w:r>
      <w:r>
        <w:rPr>
          <w:bCs/>
          <w:b/>
        </w:rPr>
        <w:t xml:space="preserve">foreign tax credit</w:t>
      </w:r>
      <w:r>
        <w:t xml:space="preserve"> </w:t>
      </w:r>
      <w:r>
        <w:t xml:space="preserve">for Nigerian tax paid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Calculation</w:t>
      </w:r>
      <w:r>
        <w:t xml:space="preserve"> </w:t>
      </w:r>
      <w:r>
        <w:t xml:space="preserve">(per engineer for 90 days in Nigeria):</w:t>
      </w:r>
      <w:r>
        <w:t xml:space="preserve"> </w:t>
      </w:r>
      <w:r>
        <w:t xml:space="preserve">- Nigeria-sourced employment income: USD 100,000 × (90/365) = USD 24,658</w:t>
      </w:r>
      <w:r>
        <w:t xml:space="preserve"> </w:t>
      </w:r>
      <w:r>
        <w:t xml:space="preserve">- Nigerian PIT (assume 20% effective): USD 24,658 × 20% = USD 4,932</w:t>
      </w:r>
      <w:r>
        <w:t xml:space="preserve"> </w:t>
      </w:r>
      <w:r>
        <w:t xml:space="preserve">- Credit claimed in UK tax return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Net additional tax burden</w:t>
      </w:r>
      <w:r>
        <w:t xml:space="preserve">: Limited due to credit mechanism</w:t>
      </w:r>
    </w:p>
    <w:p>
      <w:pPr>
        <w:pStyle w:val="BodyText"/>
      </w:pPr>
      <w:r>
        <w:rPr>
          <w:bCs/>
          <w:b/>
        </w:rPr>
        <w:t xml:space="preserve">Total Tax Cost (Secondment)</w:t>
      </w:r>
      <w:r>
        <w:t xml:space="preserve">:</w:t>
      </w:r>
      <w:r>
        <w:t xml:space="preserve"> </w:t>
      </w:r>
      <w:r>
        <w:t xml:space="preserve">- UK corporate tax: USD 7,500</w:t>
      </w:r>
      <w:r>
        <w:t xml:space="preserve"> </w:t>
      </w:r>
      <w:r>
        <w:t xml:space="preserve">- Nigerian WHT (on admin fee): USD 3,000</w:t>
      </w:r>
      <w:r>
        <w:t xml:space="preserve"> </w:t>
      </w:r>
      <w:r>
        <w:t xml:space="preserve">- Individual tax: Economically borne by employees (neutral to IEC if salary grossing-up not required)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corporate tax cost</w:t>
      </w:r>
      <w:r>
        <w:t xml:space="preserve">: USD 10,500</w:t>
      </w:r>
    </w:p>
    <w:p>
      <w:pPr>
        <w:pStyle w:val="BodyText"/>
      </w:pPr>
      <w:r>
        <w:rPr>
          <w:bCs/>
          <w:b/>
        </w:rPr>
        <w:t xml:space="preserve">Option B: Subcontracting Structure</w:t>
      </w:r>
    </w:p>
    <w:p>
      <w:pPr>
        <w:pStyle w:val="BodyText"/>
      </w:pPr>
      <w:r>
        <w:rPr>
          <w:bCs/>
          <w:b/>
        </w:rPr>
        <w:t xml:space="preserve">Pricing</w:t>
      </w:r>
      <w:r>
        <w:t xml:space="preserve">:</w:t>
      </w:r>
      <w:r>
        <w:t xml:space="preserve"> </w:t>
      </w:r>
      <w:r>
        <w:t xml:space="preserve">- Cost base: USD 600,000</w:t>
      </w:r>
      <w:r>
        <w:t xml:space="preserve"> </w:t>
      </w:r>
      <w:r>
        <w:t xml:space="preserve">- Markup: 10%</w:t>
      </w:r>
      <w:r>
        <w:t xml:space="preserve"> </w:t>
      </w:r>
      <w:r>
        <w:t xml:space="preserve">- Total charge to Nigerian sub: USD 600,000 × 1.10 =</w:t>
      </w:r>
      <w:r>
        <w:t xml:space="preserve"> </w:t>
      </w:r>
      <w:r>
        <w:rPr>
          <w:bCs/>
          <w:b/>
        </w:rPr>
        <w:t xml:space="preserve">USD 660,000</w:t>
      </w:r>
      <w:r>
        <w:t xml:space="preserve"> </w:t>
      </w:r>
      <w:r>
        <w:t xml:space="preserve">- IEC UK margin: USD 60,000</w:t>
      </w:r>
    </w:p>
    <w:p>
      <w:pPr>
        <w:pStyle w:val="BodyText"/>
      </w:pPr>
      <w:r>
        <w:rPr>
          <w:bCs/>
          <w:b/>
        </w:rPr>
        <w:t xml:space="preserve">UK Tax Position</w:t>
      </w:r>
      <w:r>
        <w:t xml:space="preserve">:</w:t>
      </w:r>
      <w:r>
        <w:t xml:space="preserve"> </w:t>
      </w:r>
      <w:r>
        <w:t xml:space="preserve">- Taxable profit: USD 60,000</w:t>
      </w:r>
      <w:r>
        <w:t xml:space="preserve"> </w:t>
      </w:r>
      <w:r>
        <w:t xml:space="preserve">- UK corporate tax rate: 25% (2024)</w:t>
      </w:r>
      <w:r>
        <w:t xml:space="preserve"> </w:t>
      </w:r>
      <w:r>
        <w:t xml:space="preserve">- UK tax: USD 60,000 × 25% =</w:t>
      </w:r>
      <w:r>
        <w:t xml:space="preserve"> </w:t>
      </w:r>
      <w:r>
        <w:rPr>
          <w:bCs/>
          <w:b/>
        </w:rPr>
        <w:t xml:space="preserve">USD 15,000</w:t>
      </w:r>
    </w:p>
    <w:p>
      <w:pPr>
        <w:pStyle w:val="BodyText"/>
      </w:pPr>
      <w:r>
        <w:rPr>
          <w:bCs/>
          <w:b/>
        </w:rPr>
        <w:t xml:space="preserve">Nigerian Tax Position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Service PE Risk Assessment</w:t>
      </w:r>
      <w:r>
        <w:t xml:space="preserve">:</w:t>
      </w:r>
      <w:r>
        <w:t xml:space="preserve"> </w:t>
      </w:r>
      <w:r>
        <w:t xml:space="preserve">- UK-Nigeria tax treaty includes</w:t>
      </w:r>
      <w:r>
        <w:t xml:space="preserve"> </w:t>
      </w:r>
      <w:r>
        <w:rPr>
          <w:bCs/>
          <w:b/>
        </w:rPr>
        <w:t xml:space="preserve">service PE provision</w:t>
      </w:r>
      <w:r>
        <w:t xml:space="preserve">: 183 days in any 12-month period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Time calculation</w:t>
      </w:r>
      <w:r>
        <w:t xml:space="preserve">:</w:t>
      </w:r>
      <w:r>
        <w:t xml:space="preserve"> </w:t>
      </w:r>
      <w:r>
        <w:t xml:space="preserve">- 6 engineers × 90 days each = 540 person-days</w:t>
      </w:r>
      <w:r>
        <w:t xml:space="preserve"> </w:t>
      </w:r>
      <w:r>
        <w:t xml:space="preserve">- Multiple individuals:</w:t>
      </w:r>
      <w:r>
        <w:t xml:space="preserve"> </w:t>
      </w:r>
      <w:r>
        <w:rPr>
          <w:bCs/>
          <w:b/>
        </w:rPr>
        <w:t xml:space="preserve">aggregate</w:t>
      </w:r>
      <w:r>
        <w:t xml:space="preserve"> </w:t>
      </w:r>
      <w:r>
        <w:t xml:space="preserve">if providing services for</w:t>
      </w:r>
      <w:r>
        <w:t xml:space="preserve"> </w:t>
      </w:r>
      <w:r>
        <w:t xml:space="preserve">“</w:t>
      </w:r>
      <w:r>
        <w:t xml:space="preserve">same or connected project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Connected project</w:t>
      </w:r>
      <w:r>
        <w:t xml:space="preserve">: Single platform development likely considered connected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days</w:t>
      </w:r>
      <w:r>
        <w:t xml:space="preserve">: 540 days / 6 persons = Still 90 days per person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Result</w:t>
      </w:r>
      <w:r>
        <w:t xml:space="preserve">: Each individual below 183-day threshold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However</w:t>
      </w:r>
      <w:r>
        <w:t xml:space="preserve">: Some jurisdictions</w:t>
      </w:r>
      <w:r>
        <w:t xml:space="preserve"> </w:t>
      </w:r>
      <w:r>
        <w:rPr>
          <w:bCs/>
          <w:b/>
        </w:rPr>
        <w:t xml:space="preserve">aggregate</w:t>
      </w:r>
      <w:r>
        <w:t xml:space="preserve"> </w:t>
      </w:r>
      <w:r>
        <w:t xml:space="preserve">person-days for the project</w:t>
      </w:r>
    </w:p>
    <w:p>
      <w:pPr>
        <w:pStyle w:val="BodyText"/>
      </w:pPr>
      <w:r>
        <w:rPr>
          <w:bCs/>
          <w:b/>
        </w:rPr>
        <w:t xml:space="preserve">Conservative interpretation</w:t>
      </w:r>
      <w:r>
        <w:t xml:space="preserve"> </w:t>
      </w:r>
      <w:r>
        <w:t xml:space="preserve">(Nigeria may aggregate):</w:t>
      </w:r>
      <w:r>
        <w:t xml:space="preserve"> </w:t>
      </w:r>
      <w:r>
        <w:t xml:space="preserve">- If 540 person-days treated as single project duration =</w:t>
      </w:r>
      <w:r>
        <w:t xml:space="preserve"> </w:t>
      </w:r>
      <w:r>
        <w:rPr>
          <w:bCs/>
          <w:b/>
        </w:rPr>
        <w:t xml:space="preserve">540 days &gt; 183 days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Service PE created</w:t>
      </w:r>
      <w:r>
        <w:t xml:space="preserve"> </w:t>
      </w:r>
      <w:r>
        <w:t xml:space="preserve">in Nigeria</w:t>
      </w:r>
    </w:p>
    <w:p>
      <w:pPr>
        <w:pStyle w:val="BodyText"/>
      </w:pPr>
      <w:r>
        <w:rPr>
          <w:bCs/>
          <w:b/>
        </w:rPr>
        <w:t xml:space="preserve">Tax Consequences with Service PE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Profits attributable to PE</w:t>
      </w:r>
      <w:r>
        <w:t xml:space="preserve">: Likely substantial portion of USD 60,000 margin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Assume 80% of margin</w:t>
      </w:r>
      <w:r>
        <w:t xml:space="preserve"> </w:t>
      </w:r>
      <w:r>
        <w:t xml:space="preserve">attributable to Nigerian PE (services performed in Nigeria)</w:t>
      </w:r>
      <w:r>
        <w:t xml:space="preserve"> </w:t>
      </w:r>
      <w:r>
        <w:t xml:space="preserve">- Profits attributable to PE: USD 60,000 × 80% =</w:t>
      </w:r>
      <w:r>
        <w:t xml:space="preserve"> </w:t>
      </w:r>
      <w:r>
        <w:rPr>
          <w:bCs/>
          <w:b/>
        </w:rPr>
        <w:t xml:space="preserve">USD 48,000</w:t>
      </w:r>
      <w:r>
        <w:t xml:space="preserve"> </w:t>
      </w:r>
      <w:r>
        <w:t xml:space="preserve">- Nigerian corporate tax rate:</w:t>
      </w:r>
      <w:r>
        <w:t xml:space="preserve"> </w:t>
      </w:r>
      <w:r>
        <w:rPr>
          <w:bCs/>
          <w:b/>
        </w:rPr>
        <w:t xml:space="preserve">30%</w:t>
      </w:r>
      <w:r>
        <w:t xml:space="preserve"> </w:t>
      </w:r>
      <w:r>
        <w:t xml:space="preserve">(petroleum sector often 30-50%)</w:t>
      </w:r>
      <w:r>
        <w:t xml:space="preserve"> </w:t>
      </w:r>
      <w:r>
        <w:t xml:space="preserve">- Nigerian tax on PE profits: USD 48,000 × 30% =</w:t>
      </w:r>
      <w:r>
        <w:t xml:space="preserve"> </w:t>
      </w:r>
      <w:r>
        <w:rPr>
          <w:bCs/>
          <w:b/>
        </w:rPr>
        <w:t xml:space="preserve">USD 14,400</w:t>
      </w:r>
      <w:r>
        <w:t xml:space="preserve"> </w:t>
      </w:r>
      <w:r>
        <w:t xml:space="preserve">- UK tax on remaining profits: USD 12,000 × 25% = USD 3,000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UK foreign tax credit</w:t>
      </w:r>
      <w:r>
        <w:t xml:space="preserve"> </w:t>
      </w:r>
      <w:r>
        <w:t xml:space="preserve">for Nigerian tax: USD 14,400 credit against UK tax on Nigerian profits</w:t>
      </w:r>
      <w:r>
        <w:t xml:space="preserve"> </w:t>
      </w:r>
      <w:r>
        <w:t xml:space="preserve">- Net UK tax: USD 15,000 - USD 14,400 = USD 600</w:t>
      </w:r>
    </w:p>
    <w:p>
      <w:pPr>
        <w:pStyle w:val="BodyText"/>
      </w:pPr>
      <w:r>
        <w:rPr>
          <w:bCs/>
          <w:b/>
        </w:rPr>
        <w:t xml:space="preserve">Withholding Tax</w:t>
      </w:r>
      <w:r>
        <w:t xml:space="preserve">:</w:t>
      </w:r>
      <w:r>
        <w:t xml:space="preserve"> </w:t>
      </w:r>
      <w:r>
        <w:t xml:space="preserve">- If PE exists:</w:t>
      </w:r>
      <w:r>
        <w:t xml:space="preserve"> </w:t>
      </w:r>
      <w:r>
        <w:rPr>
          <w:bCs/>
          <w:b/>
        </w:rPr>
        <w:t xml:space="preserve">No WHT</w:t>
      </w:r>
      <w:r>
        <w:t xml:space="preserve"> </w:t>
      </w:r>
      <w:r>
        <w:t xml:space="preserve">on service fees (profits taxed through PE instead)</w:t>
      </w:r>
      <w:r>
        <w:t xml:space="preserve"> </w:t>
      </w:r>
      <w:r>
        <w:t xml:space="preserve">- If no PE:</w:t>
      </w:r>
      <w:r>
        <w:t xml:space="preserve"> </w:t>
      </w:r>
      <w:r>
        <w:rPr>
          <w:bCs/>
          <w:b/>
        </w:rPr>
        <w:t xml:space="preserve">10% WHT</w:t>
      </w:r>
      <w:r>
        <w:t xml:space="preserve"> </w:t>
      </w:r>
      <w:r>
        <w:t xml:space="preserve">on service fees</w:t>
      </w:r>
      <w:r>
        <w:t xml:space="preserve"> </w:t>
      </w:r>
      <w:r>
        <w:t xml:space="preserve">- WHT: USD 660,000 × 10% = USD 66,000</w:t>
      </w:r>
      <w:r>
        <w:t xml:space="preserve"> </w:t>
      </w:r>
      <w:r>
        <w:t xml:space="preserve">- Potentially creditable against UK tax but UK tax only USD 15,000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Excess WHT</w:t>
      </w:r>
      <w:r>
        <w:t xml:space="preserve">: USD 66,000 - USD 15,000 = USD 51,000 (non-creditable loss)</w:t>
      </w:r>
    </w:p>
    <w:p>
      <w:pPr>
        <w:pStyle w:val="BodyText"/>
      </w:pPr>
      <w:r>
        <w:rPr>
          <w:bCs/>
          <w:b/>
        </w:rPr>
        <w:t xml:space="preserve">Compliance and Risks</w:t>
      </w:r>
      <w:r>
        <w:t xml:space="preserve">:</w:t>
      </w:r>
      <w:r>
        <w:t xml:space="preserve"> </w:t>
      </w:r>
      <w:r>
        <w:t xml:space="preserve">- PE registration and tax filing in Nigeria: USD 20,000</w:t>
      </w:r>
      <w:r>
        <w:t xml:space="preserve"> </w:t>
      </w:r>
      <w:r>
        <w:t xml:space="preserve">- Transfer pricing documentation: USD 40,000</w:t>
      </w:r>
      <w:r>
        <w:t xml:space="preserve"> </w:t>
      </w:r>
      <w:r>
        <w:t xml:space="preserve">- PE profit attribution analysis: USD 25,000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compliance costs</w:t>
      </w:r>
      <w:r>
        <w:t xml:space="preserve">: USD 85,000</w:t>
      </w:r>
    </w:p>
    <w:p>
      <w:pPr>
        <w:pStyle w:val="BodyText"/>
      </w:pPr>
      <w:r>
        <w:rPr>
          <w:bCs/>
          <w:b/>
        </w:rPr>
        <w:t xml:space="preserve">Total Tax Cost (Subcontracting - with PE)</w:t>
      </w:r>
      <w:r>
        <w:t xml:space="preserve">:</w:t>
      </w:r>
      <w:r>
        <w:t xml:space="preserve"> </w:t>
      </w:r>
      <w:r>
        <w:t xml:space="preserve">- UK corporate tax: USD 15,000</w:t>
      </w:r>
      <w:r>
        <w:t xml:space="preserve"> </w:t>
      </w:r>
      <w:r>
        <w:t xml:space="preserve">- Nigerian corporate tax (PE): USD 14,400</w:t>
      </w:r>
      <w:r>
        <w:t xml:space="preserve"> </w:t>
      </w:r>
      <w:r>
        <w:t xml:space="preserve">- Compliance costs: USD 85,000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</w:t>
      </w:r>
      <w:r>
        <w:t xml:space="preserve">: USD 114,400</w:t>
      </w:r>
    </w:p>
    <w:p>
      <w:pPr>
        <w:pStyle w:val="BodyText"/>
      </w:pPr>
      <w:r>
        <w:rPr>
          <w:bCs/>
          <w:b/>
        </w:rPr>
        <w:t xml:space="preserve">Total Tax Cost (Subcontracting - if no PE, conservative WHT approach)</w:t>
      </w:r>
      <w:r>
        <w:t xml:space="preserve">:</w:t>
      </w:r>
      <w:r>
        <w:t xml:space="preserve"> </w:t>
      </w:r>
      <w:r>
        <w:t xml:space="preserve">- UK corporate tax: USD 15,000</w:t>
      </w:r>
      <w:r>
        <w:t xml:space="preserve"> </w:t>
      </w:r>
      <w:r>
        <w:t xml:space="preserve">- Nigerian WHT: USD 66,000</w:t>
      </w:r>
      <w:r>
        <w:t xml:space="preserve"> </w:t>
      </w:r>
      <w:r>
        <w:t xml:space="preserve">- Foreign tax credit: (USD 15,000) - cannot exceed UK tax on foreign profit</w:t>
      </w:r>
      <w:r>
        <w:t xml:space="preserve"> </w:t>
      </w:r>
      <w:r>
        <w:t xml:space="preserve">- Net cost: USD 66,000 (WHT) + USD 0 (UK tax fully credited)</w:t>
      </w:r>
      <w:r>
        <w:t xml:space="preserve"> </w:t>
      </w:r>
      <w:r>
        <w:t xml:space="preserve">- Compliance costs: USD 40,000 (no PE filing, but transfer pricing documentation)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</w:t>
      </w:r>
      <w:r>
        <w:t xml:space="preserve">: USD 106,000</w:t>
      </w:r>
    </w:p>
    <w:p>
      <w:pPr>
        <w:pStyle w:val="BodyText"/>
      </w:pPr>
      <w:r>
        <w:rPr>
          <w:bCs/>
          <w:b/>
        </w:rPr>
        <w:t xml:space="preserve">Comparative Summary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46"/>
        <w:gridCol w:w="2324"/>
        <w:gridCol w:w="3357"/>
        <w:gridCol w:w="12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Secondment (Option 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Subcontracting with PE (Option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 fee charged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630,000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660,000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+USD 30,000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IEC UK margin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30,000 (5%)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60,000 (10%)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+USD 30,000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UK corporate 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7,500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+USD 7,500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Nigerian corporate tax (PE)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14,400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+USD 14,400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Nigerian WHT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0 (PE route)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-USD 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Compliance 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85,000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+USD 75,000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tax &amp;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20,500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114,400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+USD 93,900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 margin after 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9,500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45,600 - USD 29,400 = USD 16,200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+USD 6,700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Transfer pricing 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Alternative: Subcontracting WITHOUT PE (if can stay below threshold)</w:t>
      </w:r>
      <w:r>
        <w:t xml:space="preserve">:</w:t>
      </w:r>
      <w:r>
        <w:t xml:space="preserve"> </w:t>
      </w:r>
      <w:r>
        <w:t xml:space="preserve">- Rotate engineers to keep each below 90 days AND argue no aggregation</w:t>
      </w:r>
      <w:r>
        <w:t xml:space="preserve"> </w:t>
      </w:r>
      <w:r>
        <w:t xml:space="preserve">- Total tax cost: USD 106,000 (see calculation above)</w:t>
      </w:r>
      <w:r>
        <w:t xml:space="preserve"> </w:t>
      </w:r>
      <w:r>
        <w:t xml:space="preserve">- Still less favorable than secondment due to WHT</w:t>
      </w:r>
    </w:p>
    <w:p>
      <w:pPr>
        <w:pStyle w:val="BodyText"/>
      </w:pPr>
      <w:r>
        <w:rPr>
          <w:bCs/>
          <w:b/>
        </w:rPr>
        <w:t xml:space="preserve">Recommendation</w:t>
      </w:r>
      <w:r>
        <w:t xml:space="preserve">:</w:t>
      </w:r>
      <w:r>
        <w:t xml:space="preserve"> </w:t>
      </w:r>
      <w:r>
        <w:rPr>
          <w:bCs/>
          <w:b/>
        </w:rPr>
        <w:t xml:space="preserve">Secondment structure (Option A)</w:t>
      </w:r>
      <w:r>
        <w:t xml:space="preserve"> </w:t>
      </w:r>
      <w:r>
        <w:t xml:space="preserve">is clearly superior: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Lower total tax cost</w:t>
      </w:r>
      <w:r>
        <w:t xml:space="preserve">: USD 20,500 vs. USD 114,400 (saves USD 93,900)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 PE risk</w:t>
      </w:r>
      <w:r>
        <w:t xml:space="preserve">: Eliminates complex PE registration and attribution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Minimal WHT exposure</w:t>
      </w:r>
      <w:r>
        <w:t xml:space="preserve">: Only on small admin fee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Lower compliance burden</w:t>
      </w:r>
      <w:r>
        <w:t xml:space="preserve">: Simple cost recharge agreement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Operational flexibility</w:t>
      </w:r>
      <w:r>
        <w:t xml:space="preserve">: Engineers work directly for Nigerian sub</w:t>
      </w:r>
    </w:p>
    <w:p>
      <w:pPr>
        <w:pStyle w:val="FirstParagraph"/>
      </w:pPr>
      <w:r>
        <w:rPr>
          <w:bCs/>
          <w:b/>
        </w:rPr>
        <w:t xml:space="preserve">Implementation Considerations for Secondment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Secondment agreement</w:t>
      </w:r>
      <w:r>
        <w:t xml:space="preserve">: Clear terms defining temporary assignment, salary recharge, duration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Employment status</w:t>
      </w:r>
      <w:r>
        <w:t xml:space="preserve">: Engineers remain UK employees but temporarily assigned to Nigerian sub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 allocation</w:t>
      </w:r>
      <w:r>
        <w:t xml:space="preserve">: Direct salary plus allocable overhead, minimal markup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Individual tax compliance</w:t>
      </w:r>
      <w:r>
        <w:t xml:space="preserve">: Engineers file Nigerian tax returns for sourced income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Immigration</w:t>
      </w:r>
      <w:r>
        <w:t xml:space="preserve">: Work permits/visas for seconded staff in Nigeria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Social security</w:t>
      </w:r>
      <w:r>
        <w:t xml:space="preserve">: Determine whether UK or Nigerian social security applies (A1 certificate if available)</w:t>
      </w:r>
    </w:p>
    <w:p>
      <w:pPr>
        <w:pStyle w:val="BodyText"/>
      </w:pPr>
      <w:r>
        <w:rPr>
          <w:bCs/>
          <w:b/>
        </w:rPr>
        <w:t xml:space="preserve">When Subcontracting Might Be Preferred</w:t>
      </w:r>
      <w:r>
        <w:t xml:space="preserve">:</w:t>
      </w:r>
      <w:r>
        <w:t xml:space="preserve"> </w:t>
      </w:r>
      <w:r>
        <w:t xml:space="preserve">- Short-term projects (&lt;90 days total) avoiding PE risk</w:t>
      </w:r>
      <w:r>
        <w:t xml:space="preserve"> </w:t>
      </w:r>
      <w:r>
        <w:t xml:space="preserve">- Services provided remotely without physical presence in Nigeria</w:t>
      </w:r>
      <w:r>
        <w:t xml:space="preserve"> </w:t>
      </w:r>
      <w:r>
        <w:t xml:space="preserve">- Third-party service provider (not group entity) eliminating transfer pricing concerns</w:t>
      </w:r>
      <w:r>
        <w:t xml:space="preserve"> </w:t>
      </w:r>
      <w:r>
        <w:t xml:space="preserve">- Desire to book higher margins in UK (though at significantly higher tax cost in this scenario)</w:t>
      </w:r>
    </w:p>
    <w:bookmarkEnd w:id="39"/>
    <w:bookmarkEnd w:id="40"/>
    <w:bookmarkStart w:id="45" w:name="recent-developments-2023-2025"/>
    <w:p>
      <w:pPr>
        <w:pStyle w:val="Heading2"/>
      </w:pPr>
      <w:r>
        <w:t xml:space="preserve">6. Recent Developments (2023-2025)</w:t>
      </w:r>
    </w:p>
    <w:bookmarkStart w:id="41" w:name="beps-2.0-and-pillar-two-impact"/>
    <w:p>
      <w:pPr>
        <w:pStyle w:val="Heading3"/>
      </w:pPr>
      <w:r>
        <w:t xml:space="preserve">6.1 BEPS 2.0 and Pillar Two Impact</w:t>
      </w:r>
    </w:p>
    <w:p>
      <w:pPr>
        <w:pStyle w:val="FirstParagraph"/>
      </w:pPr>
      <w:r>
        <w:rPr>
          <w:bCs/>
          <w:b/>
        </w:rPr>
        <w:t xml:space="preserve">Global Minimum Tax (15% Effective Tax Rate (ETR))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Pillar Two</w:t>
      </w:r>
      <w:r>
        <w:t xml:space="preserve"> </w:t>
      </w:r>
      <w:r>
        <w:t xml:space="preserve">effective from 2024 (phased implementation)</w:t>
      </w:r>
      <w:r>
        <w:t xml:space="preserve"> </w:t>
      </w:r>
      <w:r>
        <w:t xml:space="preserve">- Service companies must maintain</w:t>
      </w:r>
      <w:r>
        <w:t xml:space="preserve"> </w:t>
      </w:r>
      <w:r>
        <w:rPr>
          <w:bCs/>
          <w:b/>
        </w:rPr>
        <w:t xml:space="preserve">15% effective tax rate</w:t>
      </w:r>
      <w:r>
        <w:t xml:space="preserve"> </w:t>
      </w:r>
      <w:r>
        <w:t xml:space="preserve">in each jurisdiction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Impact on structure selection</w:t>
      </w:r>
      <w:r>
        <w:t xml:space="preserve">:</w:t>
      </w:r>
      <w:r>
        <w:t xml:space="preserve"> </w:t>
      </w:r>
      <w:r>
        <w:t xml:space="preserve">- Low-tax jurisdictions (below 15%) face</w:t>
      </w:r>
      <w:r>
        <w:t xml:space="preserve"> </w:t>
      </w:r>
      <w:r>
        <w:rPr>
          <w:bCs/>
          <w:b/>
        </w:rPr>
        <w:t xml:space="preserve">top-up tax</w:t>
      </w:r>
      <w:r>
        <w:t xml:space="preserve"> </w:t>
      </w:r>
      <w:r>
        <w:t xml:space="preserve">- UAE (9% rate) service companies may face 6% top-up tax</w:t>
      </w:r>
      <w:r>
        <w:t xml:space="preserve"> </w:t>
      </w:r>
      <w:r>
        <w:t xml:space="preserve">- Ireland (12.5% rate on trading income) service companies face potential 2.5% top-up</w:t>
      </w:r>
      <w:r>
        <w:t xml:space="preserve"> </w:t>
      </w:r>
      <w:r>
        <w:t xml:space="preserve">- Singapore (17% rate) and Netherlands (25.8% rate)</w:t>
      </w:r>
      <w:r>
        <w:t xml:space="preserve"> </w:t>
      </w:r>
      <w:r>
        <w:rPr>
          <w:bCs/>
          <w:b/>
        </w:rPr>
        <w:t xml:space="preserve">not affected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rationale</w:t>
      </w:r>
      <w:r>
        <w:t xml:space="preserve">: Pillar Two addresses base erosion through profit shifting to low-tax jurisdictions by ensuring minimum 15% taxation globally, eliminating race-to-the-bottom tax competition and ensuring multinational enterprises pay fair share of tax regardless of where they book profits</w:t>
      </w:r>
    </w:p>
    <w:p>
      <w:pPr>
        <w:pStyle w:val="BodyText"/>
      </w:pPr>
      <w:r>
        <w:rPr>
          <w:bCs/>
          <w:b/>
        </w:rPr>
        <w:t xml:space="preserve">Qualified Domestic Minimum Top-up Tax (QDMTT)</w:t>
      </w:r>
      <w:r>
        <w:t xml:space="preserve">:</w:t>
      </w:r>
      <w:r>
        <w:t xml:space="preserve"> </w:t>
      </w:r>
      <w:r>
        <w:t xml:space="preserve">- Many countries implementing QDMTT to collect top-up tax domestically</w:t>
      </w:r>
      <w:r>
        <w:t xml:space="preserve"> </w:t>
      </w:r>
      <w:r>
        <w:t xml:space="preserve">- Service company profits in low-tax jurisdictions face domestic top-up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Planning response</w:t>
      </w:r>
      <w:r>
        <w:t xml:space="preserve">: Consider shifting service hubs to jurisdictions above 15% rate</w:t>
      </w:r>
    </w:p>
    <w:p>
      <w:pPr>
        <w:pStyle w:val="BodyText"/>
      </w:pPr>
      <w:r>
        <w:rPr>
          <w:bCs/>
          <w:b/>
        </w:rPr>
        <w:t xml:space="preserve">Substance-Based Income Exclusion (SBIE)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Carve-out</w:t>
      </w:r>
      <w:r>
        <w:t xml:space="preserve"> </w:t>
      </w:r>
      <w:r>
        <w:t xml:space="preserve">for substance: 5% of eligible payroll and tangible assets excluded from top-up tax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Service companies benefit</w:t>
      </w:r>
      <w:r>
        <w:t xml:space="preserve">: High payroll costs create meaningful exclusion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Example</w:t>
      </w:r>
      <w:r>
        <w:t xml:space="preserve">: Service company with USD 10M payroll can exclude USD 500,000 from Pillar Two calculations</w:t>
      </w:r>
    </w:p>
    <w:bookmarkEnd w:id="41"/>
    <w:bookmarkStart w:id="42" w:name="transfer-pricing-developments"/>
    <w:p>
      <w:pPr>
        <w:pStyle w:val="Heading3"/>
      </w:pPr>
      <w:r>
        <w:t xml:space="preserve">6.2 Transfer Pricing Developments</w:t>
      </w:r>
    </w:p>
    <w:p>
      <w:pPr>
        <w:pStyle w:val="FirstParagraph"/>
      </w:pPr>
      <w:r>
        <w:rPr>
          <w:bCs/>
          <w:b/>
        </w:rPr>
        <w:t xml:space="preserve">OECD Transfer Pricing Guidelines 2022 Update</w:t>
      </w:r>
      <w:r>
        <w:t xml:space="preserve">:</w:t>
      </w:r>
      <w:r>
        <w:t xml:space="preserve"> </w:t>
      </w:r>
      <w:r>
        <w:t xml:space="preserve">- Enhanced guidance on</w:t>
      </w:r>
      <w:r>
        <w:t xml:space="preserve"> </w:t>
      </w:r>
      <w:r>
        <w:rPr>
          <w:bCs/>
          <w:b/>
        </w:rPr>
        <w:t xml:space="preserve">intra-group services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Low value-adding services</w:t>
      </w:r>
      <w:r>
        <w:t xml:space="preserve">: 5% markup safe harbor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Shareholder activities</w:t>
      </w:r>
      <w:r>
        <w:t xml:space="preserve">: Cannot be charged to subsidiaries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Benefit test</w:t>
      </w:r>
      <w:r>
        <w:t xml:space="preserve">: Services must provide benefit to recipient</w:t>
      </w:r>
    </w:p>
    <w:p>
      <w:pPr>
        <w:pStyle w:val="BodyText"/>
      </w:pPr>
      <w:r>
        <w:rPr>
          <w:bCs/>
          <w:b/>
        </w:rPr>
        <w:t xml:space="preserve">Increased Scrutiny of Service Fees</w:t>
      </w:r>
      <w:r>
        <w:t xml:space="preserve">:</w:t>
      </w:r>
      <w:r>
        <w:t xml:space="preserve"> </w:t>
      </w:r>
      <w:r>
        <w:t xml:space="preserve">- Tax authorities challenging</w:t>
      </w:r>
      <w:r>
        <w:t xml:space="preserve"> </w:t>
      </w:r>
      <w:r>
        <w:rPr>
          <w:bCs/>
          <w:b/>
        </w:rPr>
        <w:t xml:space="preserve">high markups</w:t>
      </w:r>
      <w:r>
        <w:t xml:space="preserve"> </w:t>
      </w:r>
      <w:r>
        <w:t xml:space="preserve">on routine services</w:t>
      </w:r>
      <w:r>
        <w:t xml:space="preserve"> </w:t>
      </w:r>
      <w:r>
        <w:t xml:space="preserve">- Focus on</w:t>
      </w:r>
      <w:r>
        <w:t xml:space="preserve"> </w:t>
      </w:r>
      <w:r>
        <w:rPr>
          <w:bCs/>
          <w:b/>
        </w:rPr>
        <w:t xml:space="preserve">substance</w:t>
      </w:r>
      <w:r>
        <w:t xml:space="preserve"> </w:t>
      </w:r>
      <w:r>
        <w:t xml:space="preserve">supporting service company profits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Documentation requirements</w:t>
      </w:r>
      <w:r>
        <w:t xml:space="preserve">: Detailed activity logs, time tracking, delivery evidence</w:t>
      </w:r>
    </w:p>
    <w:p>
      <w:pPr>
        <w:pStyle w:val="BodyText"/>
      </w:pPr>
      <w:r>
        <w:rPr>
          <w:bCs/>
          <w:b/>
        </w:rPr>
        <w:t xml:space="preserve">Formulaic Approaches</w:t>
      </w:r>
      <w:r>
        <w:t xml:space="preserve">:</w:t>
      </w:r>
      <w:r>
        <w:t xml:space="preserve"> </w:t>
      </w:r>
      <w:r>
        <w:t xml:space="preserve">- Some jurisdictions (e.g., India, China) prescribing fixed markup ranges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India</w:t>
      </w:r>
      <w:r>
        <w:t xml:space="preserve">: 2-5% markup for routine support services increasingly accepted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Brazil</w:t>
      </w:r>
      <w:r>
        <w:t xml:space="preserve">: Fixed markup regulations under</w:t>
      </w:r>
      <w:r>
        <w:t xml:space="preserve"> </w:t>
      </w:r>
      <w:r>
        <w:t xml:space="preserve">“</w:t>
      </w:r>
      <w:r>
        <w:t xml:space="preserve">Profit Split</w:t>
      </w:r>
      <w:r>
        <w:t xml:space="preserve">”</w:t>
      </w:r>
      <w:r>
        <w:t xml:space="preserve"> </w:t>
      </w:r>
      <w:r>
        <w:t xml:space="preserve">method</w:t>
      </w:r>
    </w:p>
    <w:bookmarkEnd w:id="42"/>
    <w:bookmarkStart w:id="43" w:name="withholding-tax-trends"/>
    <w:p>
      <w:pPr>
        <w:pStyle w:val="Heading3"/>
      </w:pPr>
      <w:r>
        <w:t xml:space="preserve">6.3 Withholding Tax Trends</w:t>
      </w:r>
    </w:p>
    <w:p>
      <w:pPr>
        <w:pStyle w:val="FirstParagraph"/>
      </w:pPr>
      <w:r>
        <w:rPr>
          <w:bCs/>
          <w:b/>
        </w:rPr>
        <w:t xml:space="preserve">Expanding Technical Service WHT</w:t>
      </w:r>
      <w:r>
        <w:t xml:space="preserve">:</w:t>
      </w:r>
      <w:r>
        <w:t xml:space="preserve"> </w:t>
      </w:r>
      <w:r>
        <w:t xml:space="preserve">- Countries introducing or increasing WHT on technical services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India</w:t>
      </w:r>
      <w:r>
        <w:t xml:space="preserve">: Equalisation levy on digital services (2% on gross)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African jurisdictions</w:t>
      </w:r>
      <w:r>
        <w:t xml:space="preserve">: Increasing WHT rates (10-15% typical)</w:t>
      </w:r>
    </w:p>
    <w:p>
      <w:pPr>
        <w:pStyle w:val="BodyText"/>
      </w:pPr>
      <w:r>
        <w:rPr>
          <w:bCs/>
          <w:b/>
        </w:rPr>
        <w:t xml:space="preserve">Multilateral Instrument (MLI) Impact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Principal Purpose Test (PPT)</w:t>
      </w:r>
      <w:r>
        <w:t xml:space="preserve">: Anti-treaty shopping rule</w:t>
      </w:r>
      <w:r>
        <w:t xml:space="preserve"> </w:t>
      </w:r>
      <w:r>
        <w:t xml:space="preserve">- Service companies must demonstrate</w:t>
      </w:r>
      <w:r>
        <w:t xml:space="preserve"> </w:t>
      </w:r>
      <w:r>
        <w:rPr>
          <w:bCs/>
          <w:b/>
        </w:rPr>
        <w:t xml:space="preserve">business purpose</w:t>
      </w:r>
      <w:r>
        <w:t xml:space="preserve"> </w:t>
      </w:r>
      <w:r>
        <w:t xml:space="preserve">beyond tax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Substance requirements</w:t>
      </w:r>
      <w:r>
        <w:t xml:space="preserve"> </w:t>
      </w:r>
      <w:r>
        <w:t xml:space="preserve">critical to treaty benefits access</w:t>
      </w:r>
      <w:r>
        <w:t xml:space="preserve"> </w:t>
      </w:r>
      <w:r>
        <w:t xml:space="preserve">- Over 100 jurisdictions adopted MLI modifying bilateral treaties</w:t>
      </w:r>
    </w:p>
    <w:p>
      <w:pPr>
        <w:pStyle w:val="BodyText"/>
      </w:pPr>
      <w:r>
        <w:rPr>
          <w:bCs/>
          <w:b/>
        </w:rPr>
        <w:t xml:space="preserve">Treaty Limitation of Benefits (LOB)</w:t>
      </w:r>
      <w:r>
        <w:t xml:space="preserve">:</w:t>
      </w:r>
      <w:r>
        <w:t xml:space="preserve"> </w:t>
      </w:r>
      <w:r>
        <w:t xml:space="preserve">- Stricter</w:t>
      </w:r>
      <w:r>
        <w:t xml:space="preserve"> </w:t>
      </w:r>
      <w:r>
        <w:rPr>
          <w:bCs/>
          <w:b/>
        </w:rPr>
        <w:t xml:space="preserve">eligibility tests</w:t>
      </w:r>
      <w:r>
        <w:t xml:space="preserve"> </w:t>
      </w:r>
      <w:r>
        <w:t xml:space="preserve">for treaty benefits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Active business test</w:t>
      </w:r>
      <w:r>
        <w:t xml:space="preserve">: Service company must conduct substantial activities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Ownership and base erosion tests</w:t>
      </w:r>
      <w:r>
        <w:t xml:space="preserve">: Must meet quantitative thresholds</w:t>
      </w:r>
    </w:p>
    <w:bookmarkEnd w:id="43"/>
    <w:bookmarkStart w:id="44" w:name="substance-requirements-evolution"/>
    <w:p>
      <w:pPr>
        <w:pStyle w:val="Heading3"/>
      </w:pPr>
      <w:r>
        <w:t xml:space="preserve">6.4 Substance Requirements Evolution</w:t>
      </w:r>
    </w:p>
    <w:p>
      <w:pPr>
        <w:pStyle w:val="FirstParagraph"/>
      </w:pPr>
      <w:r>
        <w:rPr>
          <w:bCs/>
          <w:b/>
        </w:rPr>
        <w:t xml:space="preserve">EU Tax Transparency Directive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Directive on Administrative Cooperation 6 (DAC 6)</w:t>
      </w:r>
      <w:r>
        <w:t xml:space="preserve">: Mandatory disclosure of cross-border arrangements</w:t>
      </w:r>
      <w:r>
        <w:t xml:space="preserve"> </w:t>
      </w:r>
      <w:r>
        <w:t xml:space="preserve">- Service structures potentially</w:t>
      </w:r>
      <w:r>
        <w:t xml:space="preserve"> </w:t>
      </w:r>
      <w:r>
        <w:rPr>
          <w:bCs/>
          <w:b/>
        </w:rPr>
        <w:t xml:space="preserve">reportable</w:t>
      </w:r>
      <w:r>
        <w:t xml:space="preserve"> </w:t>
      </w:r>
      <w:r>
        <w:t xml:space="preserve">if meet hallmarks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Country-by-Country Reporting (CbCR)</w:t>
      </w:r>
      <w:r>
        <w:t xml:space="preserve">: Expanded to include service revenues</w:t>
      </w:r>
    </w:p>
    <w:p>
      <w:pPr>
        <w:pStyle w:val="BodyText"/>
      </w:pPr>
      <w:r>
        <w:rPr>
          <w:bCs/>
          <w:b/>
        </w:rPr>
        <w:t xml:space="preserve">Economic Substance Regulations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Cayman Islands, BVI, other offshore centers</w:t>
      </w:r>
      <w:r>
        <w:t xml:space="preserve">: Strict substance tests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Core income-generating activities</w:t>
      </w:r>
      <w:r>
        <w:t xml:space="preserve"> </w:t>
      </w:r>
      <w:r>
        <w:t xml:space="preserve">must be in jurisdiction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Adequate employees and expenditure</w:t>
      </w:r>
      <w:r>
        <w:t xml:space="preserve"> </w:t>
      </w:r>
      <w:r>
        <w:t xml:space="preserve">proportionate to activities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Heavy penalties</w:t>
      </w:r>
      <w:r>
        <w:t xml:space="preserve"> </w:t>
      </w:r>
      <w:r>
        <w:t xml:space="preserve">for non-compliance (up to USD 100,000+)</w:t>
      </w:r>
    </w:p>
    <w:p>
      <w:pPr>
        <w:pStyle w:val="BodyText"/>
      </w:pPr>
      <w:r>
        <w:rPr>
          <w:bCs/>
          <w:b/>
        </w:rPr>
        <w:t xml:space="preserve">OECD Amount B (2024)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Simplified transfer pricing</w:t>
      </w:r>
      <w:r>
        <w:t xml:space="preserve"> </w:t>
      </w:r>
      <w:r>
        <w:t xml:space="preserve">for baseline marketing and distribution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Potential extension</w:t>
      </w:r>
      <w:r>
        <w:t xml:space="preserve"> </w:t>
      </w:r>
      <w:r>
        <w:t xml:space="preserve">to routine services in future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Fixed return approach</w:t>
      </w:r>
      <w:r>
        <w:t xml:space="preserve">: Could provide safe harbor for service markups</w:t>
      </w:r>
    </w:p>
    <w:bookmarkEnd w:id="44"/>
    <w:bookmarkEnd w:id="45"/>
    <w:bookmarkStart w:id="50" w:name="planning-recommendations"/>
    <w:p>
      <w:pPr>
        <w:pStyle w:val="Heading2"/>
      </w:pPr>
      <w:r>
        <w:t xml:space="preserve">7. Planning Recommendations</w:t>
      </w:r>
    </w:p>
    <w:bookmarkStart w:id="46" w:name="X9f7036c5f508816665704055001c014a7320678"/>
    <w:p>
      <w:pPr>
        <w:pStyle w:val="Heading3"/>
      </w:pPr>
      <w:r>
        <w:t xml:space="preserve">7.1 Best Practices for Service Structure Design</w:t>
      </w:r>
    </w:p>
    <w:p>
      <w:pPr>
        <w:pStyle w:val="FirstParagraph"/>
      </w:pPr>
      <w:r>
        <w:rPr>
          <w:bCs/>
          <w:b/>
        </w:rPr>
        <w:t xml:space="preserve">Strategic Considerations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Start with commercial rationale</w:t>
      </w:r>
      <w:r>
        <w:t xml:space="preserve">: Ensure genuine business purpose (efficiency, expertise, scale)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 adequate substance</w:t>
      </w:r>
      <w:r>
        <w:t xml:space="preserve">: Invest in real operations, employees, and decision-making capability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 contemporaneously</w:t>
      </w:r>
      <w:r>
        <w:t xml:space="preserve">: Prepare agreements, TP documentation, and operational records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Monitor PE thresholds</w:t>
      </w:r>
      <w:r>
        <w:t xml:space="preserve">: Implement systems to track days in each jurisdiction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Regular structure review</w:t>
      </w:r>
      <w:r>
        <w:t xml:space="preserve">: Reassess every 2-3 years for tax law changes and business evolution</w:t>
      </w:r>
    </w:p>
    <w:p>
      <w:pPr>
        <w:pStyle w:val="FirstParagraph"/>
      </w:pPr>
      <w:r>
        <w:rPr>
          <w:bCs/>
          <w:b/>
        </w:rPr>
        <w:t xml:space="preserve">Operational Best Practices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Service agreements</w:t>
      </w:r>
      <w:r>
        <w:t xml:space="preserve">: Written contracts defining scope, pricing, payment terms, IP ownership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Activity tracking</w:t>
      </w:r>
      <w:r>
        <w:t xml:space="preserve">: Time sheets, project logs, delivery documentation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Cost allocation</w:t>
      </w:r>
      <w:r>
        <w:t xml:space="preserve">: Robust methodology with supporting data and allocation keys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Markup benchmarking</w:t>
      </w:r>
      <w:r>
        <w:t xml:space="preserve">: Periodic comparability studies (every 3 years minimum)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Compliance calendar</w:t>
      </w:r>
      <w:r>
        <w:t xml:space="preserve">: Track filing deadlines, treaty claims, transfer pricing documentation</w:t>
      </w:r>
    </w:p>
    <w:p>
      <w:pPr>
        <w:pStyle w:val="FirstParagraph"/>
      </w:pPr>
      <w:r>
        <w:rPr>
          <w:bCs/>
          <w:b/>
        </w:rPr>
        <w:t xml:space="preserve">Risk Mitigation</w:t>
      </w:r>
      <w:r>
        <w:t xml:space="preserve">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 exposure management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Rotation schedules to stay below thresholds</w:t>
      </w:r>
    </w:p>
    <w:p>
      <w:pPr>
        <w:numPr>
          <w:ilvl w:val="1"/>
          <w:numId w:val="1010"/>
        </w:numPr>
        <w:pStyle w:val="Compact"/>
      </w:pPr>
      <w:r>
        <w:t xml:space="preserve">Consider intentional PE registration if threshold exceeded</w:t>
      </w:r>
    </w:p>
    <w:p>
      <w:pPr>
        <w:numPr>
          <w:ilvl w:val="1"/>
          <w:numId w:val="1010"/>
        </w:numPr>
        <w:pStyle w:val="Compact"/>
      </w:pPr>
      <w:r>
        <w:t xml:space="preserve">Monitor aggregation risks for connected projects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Transfer pricing defense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Benchmarking studies supporting markup selection</w:t>
      </w:r>
    </w:p>
    <w:p>
      <w:pPr>
        <w:numPr>
          <w:ilvl w:val="1"/>
          <w:numId w:val="1011"/>
        </w:numPr>
        <w:pStyle w:val="Compact"/>
      </w:pPr>
      <w:r>
        <w:t xml:space="preserve">Economic analysis showing value creation</w:t>
      </w:r>
    </w:p>
    <w:p>
      <w:pPr>
        <w:numPr>
          <w:ilvl w:val="1"/>
          <w:numId w:val="1011"/>
        </w:numPr>
        <w:pStyle w:val="Compact"/>
      </w:pPr>
      <w:r>
        <w:t xml:space="preserve">Advance Pricing Agreements (APAs) for significant service flows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WHT optimization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Leverage treaty network effectively</w:t>
      </w:r>
    </w:p>
    <w:p>
      <w:pPr>
        <w:numPr>
          <w:ilvl w:val="1"/>
          <w:numId w:val="1012"/>
        </w:numPr>
        <w:pStyle w:val="Compact"/>
      </w:pPr>
      <w:r>
        <w:t xml:space="preserve">Proper characterization (business profits vs. royalties)</w:t>
      </w:r>
    </w:p>
    <w:p>
      <w:pPr>
        <w:numPr>
          <w:ilvl w:val="1"/>
          <w:numId w:val="1012"/>
        </w:numPr>
        <w:pStyle w:val="Compact"/>
      </w:pPr>
      <w:r>
        <w:t xml:space="preserve">Timely filing of treaty residence certificates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Pillar Two compliance</w:t>
      </w:r>
      <w:r>
        <w:t xml:space="preserve">:</w:t>
      </w:r>
    </w:p>
    <w:p>
      <w:pPr>
        <w:numPr>
          <w:ilvl w:val="1"/>
          <w:numId w:val="1013"/>
        </w:numPr>
        <w:pStyle w:val="Compact"/>
      </w:pPr>
      <w:r>
        <w:t xml:space="preserve">Model jurisdiction-level</w:t>
      </w:r>
      <w:r>
        <w:t xml:space="preserve"> </w:t>
      </w:r>
      <w:r>
        <w:rPr>
          <w:bCs/>
          <w:b/>
        </w:rPr>
        <w:t xml:space="preserve">Effective Tax Rate (ETR)</w:t>
      </w:r>
      <w:r>
        <w:t xml:space="preserve"> </w:t>
      </w:r>
      <w:r>
        <w:t xml:space="preserve">for service entities</w:t>
      </w:r>
    </w:p>
    <w:p>
      <w:pPr>
        <w:numPr>
          <w:ilvl w:val="1"/>
          <w:numId w:val="1013"/>
        </w:numPr>
        <w:pStyle w:val="Compact"/>
      </w:pPr>
      <w:r>
        <w:t xml:space="preserve">Ensure structure maintains 15%+ ETR or apply</w:t>
      </w:r>
      <w:r>
        <w:t xml:space="preserve"> </w:t>
      </w:r>
      <w:r>
        <w:rPr>
          <w:bCs/>
          <w:b/>
        </w:rPr>
        <w:t xml:space="preserve">Substance-Based Income Exclusion (SBIE)</w:t>
      </w:r>
      <w:r>
        <w:t xml:space="preserve"> </w:t>
      </w:r>
      <w:r>
        <w:t xml:space="preserve">carve-out</w:t>
      </w:r>
    </w:p>
    <w:p>
      <w:pPr>
        <w:numPr>
          <w:ilvl w:val="1"/>
          <w:numId w:val="1013"/>
        </w:numPr>
        <w:pStyle w:val="Compact"/>
      </w:pPr>
      <w:r>
        <w:t xml:space="preserve">Consider</w:t>
      </w:r>
      <w:r>
        <w:t xml:space="preserve"> </w:t>
      </w:r>
      <w:r>
        <w:rPr>
          <w:bCs/>
          <w:b/>
        </w:rPr>
        <w:t xml:space="preserve">Qualified Domestic Minimum Top-up Tax (QDMTT)</w:t>
      </w:r>
      <w:r>
        <w:t xml:space="preserve"> </w:t>
      </w:r>
      <w:r>
        <w:t xml:space="preserve">impact in hub location selection</w:t>
      </w:r>
    </w:p>
    <w:bookmarkEnd w:id="46"/>
    <w:bookmarkStart w:id="47" w:name="implementation-roadmap"/>
    <w:p>
      <w:pPr>
        <w:pStyle w:val="Heading3"/>
      </w:pPr>
      <w:r>
        <w:t xml:space="preserve">7.2 Implementation Roadmap</w:t>
      </w:r>
    </w:p>
    <w:p>
      <w:pPr>
        <w:pStyle w:val="FirstParagraph"/>
      </w:pPr>
      <w:r>
        <w:rPr>
          <w:bCs/>
          <w:b/>
        </w:rPr>
        <w:t xml:space="preserve">Phase 1: Analysis and Design (Months 1-2)</w:t>
      </w:r>
      <w:r>
        <w:t xml:space="preserve"> </w:t>
      </w:r>
      <w:r>
        <w:t xml:space="preserve">- Map current service flows and costs</w:t>
      </w:r>
      <w:r>
        <w:t xml:space="preserve"> </w:t>
      </w:r>
      <w:r>
        <w:t xml:space="preserve">- Identify tax efficiency opportunities</w:t>
      </w:r>
      <w:r>
        <w:t xml:space="preserve"> </w:t>
      </w:r>
      <w:r>
        <w:t xml:space="preserve">- Evaluate hub location options with financial modeling</w:t>
      </w:r>
      <w:r>
        <w:t xml:space="preserve"> </w:t>
      </w:r>
      <w:r>
        <w:t xml:space="preserve">- Design target structure with substance plan</w:t>
      </w:r>
    </w:p>
    <w:p>
      <w:pPr>
        <w:pStyle w:val="BodyText"/>
      </w:pPr>
      <w:r>
        <w:rPr>
          <w:bCs/>
          <w:b/>
        </w:rPr>
        <w:t xml:space="preserve">Phase 2: Entity Setup (Months 3-4)</w:t>
      </w:r>
      <w:r>
        <w:t xml:space="preserve"> </w:t>
      </w:r>
      <w:r>
        <w:t xml:space="preserve">- Incorporate service company entity</w:t>
      </w:r>
      <w:r>
        <w:t xml:space="preserve"> </w:t>
      </w:r>
      <w:r>
        <w:t xml:space="preserve">- Obtain tax registrations and licenses</w:t>
      </w:r>
      <w:r>
        <w:t xml:space="preserve"> </w:t>
      </w:r>
      <w:r>
        <w:t xml:space="preserve">- Hire key personnel (management and technical)</w:t>
      </w:r>
      <w:r>
        <w:t xml:space="preserve"> </w:t>
      </w:r>
      <w:r>
        <w:t xml:space="preserve">- Establish office facilities</w:t>
      </w:r>
    </w:p>
    <w:p>
      <w:pPr>
        <w:pStyle w:val="BodyText"/>
      </w:pPr>
      <w:r>
        <w:rPr>
          <w:bCs/>
          <w:b/>
        </w:rPr>
        <w:t xml:space="preserve">Phase 3: Operational Implementation (Months 5-6)</w:t>
      </w:r>
      <w:r>
        <w:t xml:space="preserve"> </w:t>
      </w:r>
      <w:r>
        <w:t xml:space="preserve">- Transfer service delivery to new structure</w:t>
      </w:r>
      <w:r>
        <w:t xml:space="preserve"> </w:t>
      </w:r>
      <w:r>
        <w:t xml:space="preserve">- Execute intercompany service agreements</w:t>
      </w:r>
      <w:r>
        <w:t xml:space="preserve"> </w:t>
      </w:r>
      <w:r>
        <w:t xml:space="preserve">- Implement time tracking and cost allocation systems</w:t>
      </w:r>
      <w:r>
        <w:t xml:space="preserve"> </w:t>
      </w:r>
      <w:r>
        <w:t xml:space="preserve">- Establish transfer pricing policies</w:t>
      </w:r>
    </w:p>
    <w:p>
      <w:pPr>
        <w:pStyle w:val="BodyText"/>
      </w:pPr>
      <w:r>
        <w:rPr>
          <w:bCs/>
          <w:b/>
        </w:rPr>
        <w:t xml:space="preserve">Phase 4: Compliance Framework (Months 7-12)</w:t>
      </w:r>
      <w:r>
        <w:t xml:space="preserve"> </w:t>
      </w:r>
      <w:r>
        <w:t xml:space="preserve">- Prepare Master File and Local File documentation</w:t>
      </w:r>
      <w:r>
        <w:t xml:space="preserve"> </w:t>
      </w:r>
      <w:r>
        <w:t xml:space="preserve">- File tax returns in service company jurisdiction</w:t>
      </w:r>
      <w:r>
        <w:t xml:space="preserve"> </w:t>
      </w:r>
      <w:r>
        <w:t xml:space="preserve">- Monitor PE threshold compliance</w:t>
      </w:r>
      <w:r>
        <w:t xml:space="preserve"> </w:t>
      </w:r>
      <w:r>
        <w:t xml:space="preserve">- Conduct first-year review and adjustments</w:t>
      </w:r>
    </w:p>
    <w:p>
      <w:pPr>
        <w:pStyle w:val="BodyText"/>
      </w:pPr>
      <w:r>
        <w:rPr>
          <w:bCs/>
          <w:b/>
        </w:rPr>
        <w:t xml:space="preserve">Ongoing Management</w:t>
      </w:r>
      <w:r>
        <w:t xml:space="preserve">:</w:t>
      </w:r>
      <w:r>
        <w:t xml:space="preserve"> </w:t>
      </w:r>
      <w:r>
        <w:t xml:space="preserve">- Quarterly PE day tracking and reporting</w:t>
      </w:r>
      <w:r>
        <w:t xml:space="preserve"> </w:t>
      </w:r>
      <w:r>
        <w:t xml:space="preserve">- Annual benchmarking study updates</w:t>
      </w:r>
      <w:r>
        <w:t xml:space="preserve"> </w:t>
      </w:r>
      <w:r>
        <w:t xml:space="preserve">- Triennial comprehensive structure review</w:t>
      </w:r>
      <w:r>
        <w:t xml:space="preserve"> </w:t>
      </w:r>
      <w:r>
        <w:t xml:space="preserve">- Continuous monitoring of tax law developments</w:t>
      </w:r>
    </w:p>
    <w:bookmarkEnd w:id="47"/>
    <w:bookmarkStart w:id="48" w:name="common-pitfalls-to-avoid"/>
    <w:p>
      <w:pPr>
        <w:pStyle w:val="Heading3"/>
      </w:pPr>
      <w:r>
        <w:t xml:space="preserve">7.3 Common Pitfalls to Avoid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Insufficient substance</w:t>
      </w:r>
      <w:r>
        <w:t xml:space="preserve">: Mailbox companies with no real operations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PE threshold breaches</w:t>
      </w:r>
      <w:r>
        <w:t xml:space="preserve">: Inadequate monitoring of personnel days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Excessive markups</w:t>
      </w:r>
      <w:r>
        <w:t xml:space="preserve">: Unjustified high margins leading to TP adjustments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Poor documentation</w:t>
      </w:r>
      <w:r>
        <w:t xml:space="preserve">: Lack of contemporaneous agreements and support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Treaty shopping</w:t>
      </w:r>
      <w:r>
        <w:t xml:space="preserve">: Structures perceived as abusive with no business purpose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Shareholder costs</w:t>
      </w:r>
      <w:r>
        <w:t xml:space="preserve">: Incorrectly charging holding company costs to service fees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Inconsistent pricing</w:t>
      </w:r>
      <w:r>
        <w:t xml:space="preserve">: Different markups for similar services without justification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Ignoring Pillar Two</w:t>
      </w:r>
      <w:r>
        <w:t xml:space="preserve">: Failure to assess 15% minimum tax impact</w:t>
      </w:r>
    </w:p>
    <w:bookmarkEnd w:id="48"/>
    <w:bookmarkStart w:id="49" w:name="future-outlook"/>
    <w:p>
      <w:pPr>
        <w:pStyle w:val="Heading3"/>
      </w:pPr>
      <w:r>
        <w:t xml:space="preserve">7.4 Future Outlook</w:t>
      </w:r>
    </w:p>
    <w:p>
      <w:pPr>
        <w:pStyle w:val="FirstParagraph"/>
      </w:pPr>
      <w:r>
        <w:rPr>
          <w:bCs/>
          <w:b/>
        </w:rPr>
        <w:t xml:space="preserve">Expected Developments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Increased transparency</w:t>
      </w:r>
      <w:r>
        <w:t xml:space="preserve">: Broader CbC reporting and public disclosure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Pillar Two expansion</w:t>
      </w:r>
      <w:r>
        <w:t xml:space="preserve">: Potential lowering of EUR 750M revenue threshold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Digital services</w:t>
      </w:r>
      <w:r>
        <w:t xml:space="preserve">: Special rules for digital/automated services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Sustainability</w:t>
      </w:r>
      <w:r>
        <w:t xml:space="preserve">: ESG considerations in service structure location decisions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Amount B extension</w:t>
      </w:r>
      <w:r>
        <w:t xml:space="preserve">: OECD may expand simplified TP to services</w:t>
      </w:r>
    </w:p>
    <w:p>
      <w:pPr>
        <w:pStyle w:val="BodyText"/>
      </w:pPr>
      <w:r>
        <w:rPr>
          <w:bCs/>
          <w:b/>
        </w:rPr>
        <w:t xml:space="preserve">Adaptive Strategies</w:t>
      </w:r>
      <w:r>
        <w:t xml:space="preserve">:</w:t>
      </w:r>
      <w:r>
        <w:t xml:space="preserve"> </w:t>
      </w:r>
      <w:r>
        <w:t xml:space="preserve">- Build flexible structures that can adapt to changing rules</w:t>
      </w:r>
      <w:r>
        <w:t xml:space="preserve"> </w:t>
      </w:r>
      <w:r>
        <w:t xml:space="preserve">- Focus on real economic substance and value creation</w:t>
      </w:r>
      <w:r>
        <w:t xml:space="preserve"> </w:t>
      </w:r>
      <w:r>
        <w:t xml:space="preserve">- Maintain comprehensive documentation and compliance</w:t>
      </w:r>
      <w:r>
        <w:t xml:space="preserve"> </w:t>
      </w:r>
      <w:r>
        <w:t xml:space="preserve">- Engage proactively with tax authorities (APAs, rulings)</w:t>
      </w:r>
      <w:r>
        <w:t xml:space="preserve"> </w:t>
      </w:r>
      <w:r>
        <w:t xml:space="preserve">- Consider tax certainty mechanisms (</w:t>
      </w:r>
      <w:r>
        <w:rPr>
          <w:bCs/>
          <w:b/>
        </w:rPr>
        <w:t xml:space="preserve">International Compliance Assurance Programme (ICAP)</w:t>
      </w:r>
      <w:r>
        <w:t xml:space="preserve">, bilateral</w:t>
      </w:r>
      <w:r>
        <w:t xml:space="preserve"> </w:t>
      </w:r>
      <w:r>
        <w:rPr>
          <w:bCs/>
          <w:b/>
        </w:rPr>
        <w:t xml:space="preserve">Advance Pricing Agreements (APAs)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49"/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2025-11-19T10:29:23Z</dcterms:created>
  <dcterms:modified xsi:type="dcterms:W3CDTF">2025-11-19T10:29:23Z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