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Country tax examples Brazil</w:t>
      </w:r>
    </w:p>
    <w:p>
      <w:pPr>
        <w:pStyle w:val="Heading1"/>
      </w:pPr>
      <w:r>
        <w:t>Country Tax Examples: Brazil</w:t>
      </w:r>
    </w:p>
    <w:p>
      <w:pPr>
        <w:pStyle w:val="Heading2"/>
      </w:pPr>
      <w:r>
        <w:t>ADIT Energy Resources Module 3.04 - Study Note</w:t>
      </w:r>
    </w:p>
    <w:p>
      <w:r>
        <w:rPr>
          <w:b/>
        </w:rPr>
        <w:t>Knowledge Level:</w:t>
      </w:r>
      <w:r>
        <w:t xml:space="preserve"> Broad (Level 1)</w:t>
      </w:r>
    </w:p>
    <w:p>
      <w:pPr>
        <w:spacing w:before="120" w:after="120"/>
        <w:pBdr>
          <w:bottom w:val="single" w:sz="6" w:space="1" w:color="auto"/>
        </w:pBdr>
      </w:pPr>
    </w:p>
    <w:p>
      <w:pPr>
        <w:pStyle w:val="Heading2"/>
      </w:pPr>
      <w:r>
        <w:t>1. Core Framework of Brazil's Petroleum Fiscal Regime</w:t>
      </w:r>
    </w:p>
    <w:p>
      <w:pPr>
        <w:pStyle w:val="Heading3"/>
      </w:pPr>
      <w:r>
        <w:t>1.1 Statutory Basis and Legal Foundation</w:t>
      </w:r>
    </w:p>
    <w:p>
      <w:r>
        <w:t xml:space="preserve">Brazil's petroleum fiscal regime is governed by </w:t>
      </w:r>
      <w:r>
        <w:rPr>
          <w:b/>
        </w:rPr>
        <w:t>Law No. 9,478 of 6 August 1997</w:t>
      </w:r>
      <w:r>
        <w:t xml:space="preserve"> (the "Petroleum Law"), which ended the monopoly of state-owned Petrobras and established the regulatory framework for private sector participation. The law created the </w:t>
      </w:r>
      <w:r>
        <w:rPr>
          <w:b/>
        </w:rPr>
        <w:t>National Agency of Petroleum, Natural Gas and Biofuels (ANP)</w:t>
      </w:r>
      <w:r>
        <w:t>, which administers licensing rounds, enforces regulations, and monitors compliance with contractual obligations. This liberalization reflected Brazil's recognition that attracting private capital and expertise was essential to develop its petroleum resources efficiently.</w:t>
      </w:r>
    </w:p>
    <w:p>
      <w:r>
        <w:t xml:space="preserve">The discovery of massive pre-salt reserves (camada pré-sal) in 2006 led to fundamental regime changes. </w:t>
      </w:r>
      <w:r>
        <w:rPr>
          <w:b/>
        </w:rPr>
        <w:t>Law No. 12,351 of 22 December 2010</w:t>
      </w:r>
      <w:r>
        <w:t xml:space="preserve"> (the "Pre-Salt Law") established a separate production sharing contract (PSC) regime for strategic pre-salt areas and certain ultra-deep water blocks. This dual-regime structure creates distinct fiscal treatment based on reservoir location and award timing, with the Pre-Salt Law designed to maximize government control and revenue capture from highly prospective resources.</w:t>
      </w:r>
    </w:p>
    <w:p>
      <w:pPr>
        <w:pStyle w:val="Heading3"/>
      </w:pPr>
      <w:r>
        <w:t>1.2 Institutional Framework and Petrobras Participation</w:t>
      </w:r>
    </w:p>
    <w:p>
      <w:r>
        <w:t xml:space="preserve">The ANP conducts bidding rounds, negotiates contracts, and ensures compliance with contractual obligations. Under the original Pre-Salt Law, Petrobras was required to hold a minimum 30% participating interest in all pre-salt PSC blocks and serve as operator. </w:t>
      </w:r>
      <w:r>
        <w:rPr>
          <w:b/>
        </w:rPr>
        <w:t>Law No. 13,365 of 29 November 2016</w:t>
      </w:r>
      <w:r>
        <w:t xml:space="preserve"> significantly modified this framework by making Petrobras participation optional and granting Petrobras a right of first refusal (rather than mandatory participation) for acquiring an interest of up to 30% in pre-salt consortia as operator. This legislative change opened pre-salt development to greater international investment.</w:t>
      </w:r>
    </w:p>
    <w:p>
      <w:r>
        <w:t xml:space="preserve">The </w:t>
      </w:r>
      <w:r>
        <w:rPr>
          <w:b/>
        </w:rPr>
        <w:t>Pré-Sal Petróleo S.A. (PPSA)</w:t>
      </w:r>
      <w:r>
        <w:t xml:space="preserve"> represents the government's interests in PSC operations and manages the government's share of profit oil.</w:t>
      </w:r>
    </w:p>
    <w:p>
      <w:r>
        <w:t>Brazil operates two parallel contractual systems:</w:t>
      </w:r>
    </w:p>
    <w:p>
      <w:pPr>
        <w:pStyle w:val="ListBullet"/>
      </w:pPr>
      <w:r>
        <w:rPr>
          <w:b/>
        </w:rPr>
        <w:t>Concession regime</w:t>
      </w:r>
      <w:r>
        <w:t>: For post-salt and non-strategic areas (Law No. 9,478/1997)</w:t>
      </w:r>
    </w:p>
    <w:p>
      <w:pPr>
        <w:pStyle w:val="ListBullet"/>
      </w:pPr>
      <w:r>
        <w:rPr>
          <w:b/>
        </w:rPr>
        <w:t>Production sharing contract (PSC) regime</w:t>
      </w:r>
      <w:r>
        <w:t>: For pre-salt strategic areas (Law No. 12,351/2010)</w:t>
      </w:r>
    </w:p>
    <w:p>
      <w:pPr>
        <w:spacing w:before="120" w:after="120"/>
        <w:pBdr>
          <w:bottom w:val="single" w:sz="6" w:space="1" w:color="auto"/>
        </w:pBdr>
      </w:pPr>
    </w:p>
    <w:p>
      <w:pPr>
        <w:pStyle w:val="Heading2"/>
      </w:pPr>
      <w:r>
        <w:t>2. Technical Rules and Tax Provisions</w:t>
      </w:r>
    </w:p>
    <w:p>
      <w:pPr>
        <w:pStyle w:val="Heading3"/>
      </w:pPr>
      <w:r>
        <w:t>2.1 Corporate Income Tax (IRPJ) and Social Contribution (CSLL)</w:t>
      </w:r>
    </w:p>
    <w:p>
      <w:r>
        <w:t>All petroleum companies operating in Brazil are subject to federal corporate taxation comprising two components:</w:t>
      </w:r>
    </w:p>
    <w:p>
      <w:r>
        <w:rPr>
          <w:b/>
        </w:rPr>
        <w:t>Corporate Income Tax (IRPJ):</w:t>
      </w:r>
    </w:p>
    <w:p>
      <w:pPr>
        <w:pStyle w:val="ListBullet"/>
      </w:pPr>
      <w:r>
        <w:t xml:space="preserve">Base rate: </w:t>
      </w:r>
      <w:r>
        <w:rPr>
          <w:b/>
        </w:rPr>
        <w:t>15%</w:t>
      </w:r>
      <w:r>
        <w:t xml:space="preserve"> on taxable income</w:t>
      </w:r>
    </w:p>
    <w:p>
      <w:pPr>
        <w:pStyle w:val="ListBullet"/>
      </w:pPr>
      <w:r>
        <w:t xml:space="preserve">Additional surcharge: </w:t>
      </w:r>
      <w:r>
        <w:rPr>
          <w:b/>
        </w:rPr>
        <w:t>10%</w:t>
      </w:r>
      <w:r>
        <w:t xml:space="preserve"> on annual profits exceeding BRL 240,000 (approximately USD 48,000 at 2024 exchange rates)</w:t>
      </w:r>
    </w:p>
    <w:p>
      <w:pPr>
        <w:pStyle w:val="ListBullet"/>
      </w:pPr>
      <w:r>
        <w:t xml:space="preserve">Effective combined rate: </w:t>
      </w:r>
      <w:r>
        <w:rPr>
          <w:b/>
        </w:rPr>
        <w:t>25%</w:t>
      </w:r>
      <w:r>
        <w:t xml:space="preserve"> on petroleum income exceeding the threshold</w:t>
      </w:r>
    </w:p>
    <w:p>
      <w:r>
        <w:rPr>
          <w:b/>
        </w:rPr>
        <w:t>Social Contribution on Net Profit (CSLL):</w:t>
      </w:r>
    </w:p>
    <w:p>
      <w:pPr>
        <w:pStyle w:val="ListBullet"/>
      </w:pPr>
      <w:r>
        <w:t xml:space="preserve">Standard rate: </w:t>
      </w:r>
      <w:r>
        <w:rPr>
          <w:b/>
        </w:rPr>
        <w:t>9%</w:t>
      </w:r>
      <w:r>
        <w:t xml:space="preserve"> of taxable income (certain financial institutions pay higher rates, but petroleum companies pay 9%)</w:t>
      </w:r>
    </w:p>
    <w:p>
      <w:pPr>
        <w:pStyle w:val="ListBullet"/>
      </w:pPr>
      <w:r>
        <w:t>CSLL is not deductible for IRPJ purposes</w:t>
      </w:r>
    </w:p>
    <w:p>
      <w:r>
        <w:rPr>
          <w:b/>
        </w:rPr>
        <w:t>Combined IRPJ + CSLL: 34%</w:t>
      </w:r>
      <w:r>
        <w:t xml:space="preserve"> total corporate taxation on petroleum profits</w:t>
      </w:r>
    </w:p>
    <w:p>
      <w:r>
        <w:t>These taxes apply under both concession and PSC regimes, calculated on the contractor's share of profit oil or net revenues after royalties and special participation.</w:t>
      </w:r>
    </w:p>
    <w:p>
      <w:pPr>
        <w:pStyle w:val="Heading3"/>
      </w:pPr>
      <w:r>
        <w:t>2.2 Royalties (Participações Governamentais)</w:t>
      </w:r>
    </w:p>
    <w:p>
      <w:r>
        <w:t>Royalties compensate the Brazilian state for extraction of non-renewable petroleum resources.</w:t>
      </w:r>
    </w:p>
    <w:p>
      <w:r>
        <w:rPr>
          <w:b/>
        </w:rPr>
        <w:t>Concession Regime Royalties:</w:t>
      </w:r>
    </w:p>
    <w:p>
      <w:pPr>
        <w:pStyle w:val="ListBullet"/>
      </w:pPr>
      <w:r>
        <w:t xml:space="preserve">Standard rate: </w:t>
      </w:r>
      <w:r>
        <w:rPr>
          <w:b/>
        </w:rPr>
        <w:t>10%</w:t>
      </w:r>
      <w:r>
        <w:t xml:space="preserve"> of gross production value</w:t>
      </w:r>
    </w:p>
    <w:p>
      <w:pPr>
        <w:pStyle w:val="ListBullet"/>
      </w:pPr>
      <w:r>
        <w:t xml:space="preserve">Range: Can be reduced to </w:t>
      </w:r>
      <w:r>
        <w:rPr>
          <w:b/>
        </w:rPr>
        <w:t>5%</w:t>
      </w:r>
      <w:r>
        <w:t xml:space="preserve"> for higher-risk fields or increased to </w:t>
      </w:r>
      <w:r>
        <w:rPr>
          <w:b/>
        </w:rPr>
        <w:t>10%</w:t>
      </w:r>
      <w:r>
        <w:t xml:space="preserve"> based on geological risk, expected production, and field location</w:t>
      </w:r>
    </w:p>
    <w:p>
      <w:pPr>
        <w:pStyle w:val="ListBullet"/>
      </w:pPr>
      <w:r>
        <w:t>Calculated on wellhead value (market price less transportation and quality adjustments)</w:t>
      </w:r>
    </w:p>
    <w:p>
      <w:pPr>
        <w:pStyle w:val="ListBullet"/>
      </w:pPr>
      <w:r>
        <w:t>Paid monthly based on production</w:t>
      </w:r>
    </w:p>
    <w:p>
      <w:r>
        <w:rPr>
          <w:b/>
        </w:rPr>
        <w:t>PSC Regime Royalties:</w:t>
      </w:r>
    </w:p>
    <w:p>
      <w:pPr>
        <w:pStyle w:val="ListBullet"/>
      </w:pPr>
      <w:r>
        <w:t xml:space="preserve">Fixed rate: </w:t>
      </w:r>
      <w:r>
        <w:rPr>
          <w:b/>
        </w:rPr>
        <w:t>15%</w:t>
      </w:r>
      <w:r>
        <w:t xml:space="preserve"> of gross production value</w:t>
      </w:r>
    </w:p>
    <w:p>
      <w:pPr>
        <w:pStyle w:val="ListBullet"/>
      </w:pPr>
      <w:r>
        <w:t>Calculated before cost recovery and profit oil split</w:t>
      </w:r>
    </w:p>
    <w:p>
      <w:pPr>
        <w:pStyle w:val="ListBullet"/>
      </w:pPr>
      <w:r>
        <w:t>Non-deductible for income tax purposes</w:t>
      </w:r>
    </w:p>
    <w:p>
      <w:pPr>
        <w:pStyle w:val="Heading3"/>
      </w:pPr>
      <w:r>
        <w:t>2.3 Special Participation (Participação Especial)</w:t>
      </w:r>
    </w:p>
    <w:p>
      <w:r>
        <w:t xml:space="preserve">Special participation is an </w:t>
      </w:r>
      <w:r>
        <w:rPr>
          <w:b/>
        </w:rPr>
        <w:t>extraordinary royalty</w:t>
      </w:r>
      <w:r>
        <w:t xml:space="preserve"> applicable to large, high-profitability fields under the concession regime. This progressive fiscal instrument targets economic rent extraction from exceptionally productive fields. Rates range from </w:t>
      </w:r>
      <w:r>
        <w:rPr>
          <w:b/>
        </w:rPr>
        <w:t>0% to 40%</w:t>
      </w:r>
      <w:r>
        <w:t xml:space="preserve"> based on:</w:t>
      </w:r>
    </w:p>
    <w:p>
      <w:pPr>
        <w:pStyle w:val="ListBullet"/>
      </w:pPr>
      <w:r>
        <w:t>Production volume (quarterly field production thresholds)</w:t>
      </w:r>
    </w:p>
    <w:p>
      <w:pPr>
        <w:pStyle w:val="ListBullet"/>
      </w:pPr>
      <w:r>
        <w:t>Field location (onshore, shallow water, deep water classifications)</w:t>
      </w:r>
    </w:p>
    <w:p>
      <w:pPr>
        <w:pStyle w:val="ListBullet"/>
      </w:pPr>
      <w:r>
        <w:t>Years of production (time since field commencement)</w:t>
      </w:r>
    </w:p>
    <w:p>
      <w:r>
        <w:rPr>
          <w:b/>
        </w:rPr>
        <w:t>Application triggers:</w:t>
      </w:r>
    </w:p>
    <w:p>
      <w:pPr>
        <w:pStyle w:val="ListBullet"/>
      </w:pPr>
      <w:r>
        <w:t>Production volume exceeds specified thresholds in concession contract</w:t>
      </w:r>
    </w:p>
    <w:p>
      <w:pPr>
        <w:pStyle w:val="ListBullet"/>
      </w:pPr>
      <w:r>
        <w:t>Field profitability exceeds baseline ratios</w:t>
      </w:r>
    </w:p>
    <w:p>
      <w:pPr>
        <w:pStyle w:val="ListBullet"/>
      </w:pPr>
      <w:r>
        <w:t>Calculated on net revenue after deducting royalties, exploration investments, operating costs, depreciation, and taxes</w:t>
      </w:r>
    </w:p>
    <w:p>
      <w:pPr>
        <w:pStyle w:val="ListBullet"/>
      </w:pPr>
      <w:r>
        <w:t>Not applicable under PSC regime (government economic rent captured instead through profit oil sharing)</w:t>
      </w:r>
    </w:p>
    <w:p>
      <w:pPr>
        <w:pStyle w:val="Heading3"/>
      </w:pPr>
      <w:r>
        <w:t>2.4 Government Participation Bonuses</w:t>
      </w:r>
    </w:p>
    <w:p>
      <w:r>
        <w:rPr>
          <w:b/>
        </w:rPr>
        <w:t>Signature Bonus:</w:t>
      </w:r>
      <w:r>
        <w:t xml:space="preserve"> Paid upon contract signature, with amount determined by competitive bidding. Pre-salt licensing rounds during the 2010s generated signature bonuses exceeding USD 1 billion per block for highly prospective areas.</w:t>
      </w:r>
    </w:p>
    <w:p>
      <w:r>
        <w:rPr>
          <w:b/>
        </w:rPr>
        <w:t>Production Bonus:</w:t>
      </w:r>
      <w:r>
        <w:t xml:space="preserve"> Some PSC contracts include milestone-based bonuses triggered when cumulative or daily production reaches specified levels.</w:t>
      </w:r>
    </w:p>
    <w:p>
      <w:pPr>
        <w:pStyle w:val="Heading3"/>
      </w:pPr>
      <w:r>
        <w:t>2.5 Withholding Taxes</w:t>
      </w:r>
    </w:p>
    <w:p>
      <w:r>
        <w:t>Brazil imposes withholding income tax (IRRF - Imposto de Renda Retido na Fonte) on cross-border payments: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Payment Type</w:t>
            </w:r>
          </w:p>
        </w:tc>
        <w:tc>
          <w:tcPr>
            <w:tcW w:type="dxa" w:w="2160"/>
          </w:tcPr>
          <w:p>
            <w:r>
              <w:rPr>
                <w:b/>
              </w:rPr>
            </w:r>
            <w:r>
              <w:rPr>
                <w:b/>
              </w:rPr>
              <w:t>Standard Rate</w:t>
            </w:r>
          </w:p>
        </w:tc>
        <w:tc>
          <w:tcPr>
            <w:tcW w:type="dxa" w:w="2160"/>
          </w:tcPr>
          <w:p>
            <w:r>
              <w:rPr>
                <w:b/>
              </w:rPr>
            </w:r>
            <w:r>
              <w:rPr>
                <w:b/>
              </w:rPr>
              <w:t>Tax Haven Rate</w:t>
            </w:r>
          </w:p>
        </w:tc>
        <w:tc>
          <w:tcPr>
            <w:tcW w:type="dxa" w:w="2160"/>
          </w:tcPr>
          <w:p>
            <w:r>
              <w:rPr>
                <w:b/>
              </w:rPr>
            </w:r>
            <w:r>
              <w:rPr>
                <w:b/>
              </w:rPr>
              <w:t>Notes</w:t>
            </w:r>
          </w:p>
        </w:tc>
      </w:tr>
      <w:tr>
        <w:tc>
          <w:tcPr>
            <w:tcW w:type="dxa" w:w="2160"/>
          </w:tcPr>
          <w:p>
            <w:r/>
            <w:r>
              <w:rPr>
                <w:b/>
              </w:rPr>
              <w:t>Services and technical assistance</w:t>
            </w:r>
          </w:p>
        </w:tc>
        <w:tc>
          <w:tcPr>
            <w:tcW w:type="dxa" w:w="2160"/>
          </w:tcPr>
          <w:p>
            <w:r/>
            <w:r>
              <w:t>15%</w:t>
            </w:r>
          </w:p>
        </w:tc>
        <w:tc>
          <w:tcPr>
            <w:tcW w:type="dxa" w:w="2160"/>
          </w:tcPr>
          <w:p>
            <w:r/>
            <w:r>
              <w:t>25%</w:t>
            </w:r>
          </w:p>
        </w:tc>
        <w:tc>
          <w:tcPr>
            <w:tcW w:type="dxa" w:w="2160"/>
          </w:tcPr>
          <w:p>
            <w:r/>
            <w:r>
              <w:t>Applies to non-resident service providers</w:t>
            </w:r>
          </w:p>
        </w:tc>
      </w:tr>
      <w:tr>
        <w:tc>
          <w:tcPr>
            <w:tcW w:type="dxa" w:w="2160"/>
          </w:tcPr>
          <w:p>
            <w:r/>
            <w:r>
              <w:rPr>
                <w:b/>
              </w:rPr>
              <w:t>Interest payments</w:t>
            </w:r>
          </w:p>
        </w:tc>
        <w:tc>
          <w:tcPr>
            <w:tcW w:type="dxa" w:w="2160"/>
          </w:tcPr>
          <w:p>
            <w:r/>
            <w:r>
              <w:t>15%</w:t>
            </w:r>
          </w:p>
        </w:tc>
        <w:tc>
          <w:tcPr>
            <w:tcW w:type="dxa" w:w="2160"/>
          </w:tcPr>
          <w:p>
            <w:r/>
            <w:r>
              <w:t>25%</w:t>
            </w:r>
          </w:p>
        </w:tc>
        <w:tc>
          <w:tcPr>
            <w:tcW w:type="dxa" w:w="2160"/>
          </w:tcPr>
          <w:p>
            <w:r/>
            <w:r>
              <w:t>May be reduced by double taxation treaties</w:t>
            </w:r>
          </w:p>
        </w:tc>
      </w:tr>
      <w:tr>
        <w:tc>
          <w:tcPr>
            <w:tcW w:type="dxa" w:w="2160"/>
          </w:tcPr>
          <w:p>
            <w:r/>
            <w:r>
              <w:rPr>
                <w:b/>
              </w:rPr>
              <w:t>Dividends</w:t>
            </w:r>
          </w:p>
        </w:tc>
        <w:tc>
          <w:tcPr>
            <w:tcW w:type="dxa" w:w="2160"/>
          </w:tcPr>
          <w:p>
            <w:r/>
            <w:r>
              <w:t>0%</w:t>
            </w:r>
          </w:p>
        </w:tc>
        <w:tc>
          <w:tcPr>
            <w:tcW w:type="dxa" w:w="2160"/>
          </w:tcPr>
          <w:p>
            <w:r/>
            <w:r>
              <w:t>0%</w:t>
            </w:r>
          </w:p>
        </w:tc>
        <w:tc>
          <w:tcPr>
            <w:tcW w:type="dxa" w:w="2160"/>
          </w:tcPr>
          <w:p>
            <w:r/>
            <w:r>
              <w:t>Currently exempt under domestic law (proposals exist to introduce 15% rate)</w:t>
            </w:r>
          </w:p>
        </w:tc>
      </w:tr>
      <w:tr>
        <w:tc>
          <w:tcPr>
            <w:tcW w:type="dxa" w:w="2160"/>
          </w:tcPr>
          <w:p>
            <w:r/>
            <w:r>
              <w:rPr>
                <w:b/>
              </w:rPr>
              <w:t>Royalties (IP/technology)</w:t>
            </w:r>
          </w:p>
        </w:tc>
        <w:tc>
          <w:tcPr>
            <w:tcW w:type="dxa" w:w="2160"/>
          </w:tcPr>
          <w:p>
            <w:r/>
            <w:r>
              <w:t>15%</w:t>
            </w:r>
          </w:p>
        </w:tc>
        <w:tc>
          <w:tcPr>
            <w:tcW w:type="dxa" w:w="2160"/>
          </w:tcPr>
          <w:p>
            <w:r/>
            <w:r>
              <w:t>25%</w:t>
            </w:r>
          </w:p>
        </w:tc>
        <w:tc>
          <w:tcPr>
            <w:tcW w:type="dxa" w:w="2160"/>
          </w:tcPr>
          <w:p>
            <w:r/>
            <w:r>
              <w:t>Tax haven jurisdictions subject to higher rate</w:t>
            </w:r>
          </w:p>
        </w:tc>
      </w:tr>
    </w:tbl>
    <w:p/>
    <w:p>
      <w:r>
        <w:rPr>
          <w:b/>
        </w:rPr>
        <w:t>CIDE (Contribution for Intervention in the Economic Domain):</w:t>
      </w:r>
      <w:r>
        <w:t xml:space="preserve"> Additional 10% levy on remittances by corporate taxpayers for royalties and administrative/technical services provided by non-residents. This contribution funds technology development programs.</w:t>
      </w:r>
    </w:p>
    <w:p>
      <w:pPr>
        <w:spacing w:before="120" w:after="120"/>
        <w:pBdr>
          <w:bottom w:val="single" w:sz="6" w:space="1" w:color="auto"/>
        </w:pBdr>
      </w:pPr>
    </w:p>
    <w:p>
      <w:pPr>
        <w:pStyle w:val="Heading2"/>
      </w:pPr>
      <w:r>
        <w:t>3. Analytical Depth: Regime Comparisons and Special Rules</w:t>
      </w:r>
    </w:p>
    <w:p>
      <w:pPr>
        <w:pStyle w:val="Heading3"/>
      </w:pPr>
      <w:r>
        <w:t>3.1 Pre-Salt vs. Post-Salt Regime Differences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Post-Salt (Concession)</w:t>
            </w:r>
          </w:p>
        </w:tc>
        <w:tc>
          <w:tcPr>
            <w:tcW w:type="dxa" w:w="2880"/>
          </w:tcPr>
          <w:p>
            <w:r>
              <w:rPr>
                <w:b/>
              </w:rPr>
            </w:r>
            <w:r>
              <w:rPr>
                <w:b/>
              </w:rPr>
              <w:t>Pre-Salt (PSC)</w:t>
            </w:r>
          </w:p>
        </w:tc>
      </w:tr>
      <w:tr>
        <w:tc>
          <w:tcPr>
            <w:tcW w:type="dxa" w:w="2880"/>
          </w:tcPr>
          <w:p>
            <w:r/>
            <w:r>
              <w:rPr>
                <w:b/>
              </w:rPr>
              <w:t>Legal Framework</w:t>
            </w:r>
          </w:p>
        </w:tc>
        <w:tc>
          <w:tcPr>
            <w:tcW w:type="dxa" w:w="2880"/>
          </w:tcPr>
          <w:p>
            <w:r/>
            <w:r>
              <w:t>Law No. 9,478/1997</w:t>
            </w:r>
          </w:p>
        </w:tc>
        <w:tc>
          <w:tcPr>
            <w:tcW w:type="dxa" w:w="2880"/>
          </w:tcPr>
          <w:p>
            <w:r/>
            <w:r>
              <w:t>Law No. 12,351/2010 (as amended by Law No. 13,365/2016)</w:t>
            </w:r>
          </w:p>
        </w:tc>
      </w:tr>
      <w:tr>
        <w:tc>
          <w:tcPr>
            <w:tcW w:type="dxa" w:w="2880"/>
          </w:tcPr>
          <w:p>
            <w:r/>
            <w:r>
              <w:rPr>
                <w:b/>
              </w:rPr>
              <w:t>Resource Ownership</w:t>
            </w:r>
          </w:p>
        </w:tc>
        <w:tc>
          <w:tcPr>
            <w:tcW w:type="dxa" w:w="2880"/>
          </w:tcPr>
          <w:p>
            <w:r/>
            <w:r>
              <w:t>Transfers to contractor at wellhead</w:t>
            </w:r>
          </w:p>
        </w:tc>
        <w:tc>
          <w:tcPr>
            <w:tcW w:type="dxa" w:w="2880"/>
          </w:tcPr>
          <w:p>
            <w:r/>
            <w:r>
              <w:t>Remains with state; contractor receives entitlement in-kind or cash equivalent</w:t>
            </w:r>
          </w:p>
        </w:tc>
      </w:tr>
      <w:tr>
        <w:tc>
          <w:tcPr>
            <w:tcW w:type="dxa" w:w="2880"/>
          </w:tcPr>
          <w:p>
            <w:r/>
            <w:r>
              <w:rPr>
                <w:b/>
              </w:rPr>
              <w:t>Royalty Rate</w:t>
            </w:r>
          </w:p>
        </w:tc>
        <w:tc>
          <w:tcPr>
            <w:tcW w:type="dxa" w:w="2880"/>
          </w:tcPr>
          <w:p>
            <w:r/>
            <w:r>
              <w:t>5-10% (variable based on risk)</w:t>
            </w:r>
          </w:p>
        </w:tc>
        <w:tc>
          <w:tcPr>
            <w:tcW w:type="dxa" w:w="2880"/>
          </w:tcPr>
          <w:p>
            <w:r/>
            <w:r>
              <w:t>15% (fixed)</w:t>
            </w:r>
          </w:p>
        </w:tc>
      </w:tr>
      <w:tr>
        <w:tc>
          <w:tcPr>
            <w:tcW w:type="dxa" w:w="2880"/>
          </w:tcPr>
          <w:p>
            <w:r/>
            <w:r>
              <w:rPr>
                <w:b/>
              </w:rPr>
              <w:t>Special Participation</w:t>
            </w:r>
          </w:p>
        </w:tc>
        <w:tc>
          <w:tcPr>
            <w:tcW w:type="dxa" w:w="2880"/>
          </w:tcPr>
          <w:p>
            <w:r/>
            <w:r>
              <w:t>0-40% (progressive)</w:t>
            </w:r>
          </w:p>
        </w:tc>
        <w:tc>
          <w:tcPr>
            <w:tcW w:type="dxa" w:w="2880"/>
          </w:tcPr>
          <w:p>
            <w:r/>
            <w:r>
              <w:t>Not applicable</w:t>
            </w:r>
          </w:p>
        </w:tc>
      </w:tr>
      <w:tr>
        <w:tc>
          <w:tcPr>
            <w:tcW w:type="dxa" w:w="2880"/>
          </w:tcPr>
          <w:p>
            <w:r/>
            <w:r>
              <w:rPr>
                <w:b/>
              </w:rPr>
              <w:t>Profit Oil Split</w:t>
            </w:r>
          </w:p>
        </w:tc>
        <w:tc>
          <w:tcPr>
            <w:tcW w:type="dxa" w:w="2880"/>
          </w:tcPr>
          <w:p>
            <w:r/>
            <w:r>
              <w:t>Not applicable</w:t>
            </w:r>
          </w:p>
        </w:tc>
        <w:tc>
          <w:tcPr>
            <w:tcW w:type="dxa" w:w="2880"/>
          </w:tcPr>
          <w:p>
            <w:r/>
            <w:r>
              <w:t>20-50% to government (biddable parameter)</w:t>
            </w:r>
          </w:p>
        </w:tc>
      </w:tr>
      <w:tr>
        <w:tc>
          <w:tcPr>
            <w:tcW w:type="dxa" w:w="2880"/>
          </w:tcPr>
          <w:p>
            <w:r/>
            <w:r>
              <w:rPr>
                <w:b/>
              </w:rPr>
              <w:t>Petrobras Requirement</w:t>
            </w:r>
          </w:p>
        </w:tc>
        <w:tc>
          <w:tcPr>
            <w:tcW w:type="dxa" w:w="2880"/>
          </w:tcPr>
          <w:p>
            <w:r/>
            <w:r>
              <w:t>No requirement</w:t>
            </w:r>
          </w:p>
        </w:tc>
        <w:tc>
          <w:tcPr>
            <w:tcW w:type="dxa" w:w="2880"/>
          </w:tcPr>
          <w:p>
            <w:r/>
            <w:r>
              <w:t>Right of first refusal for up to 30% stake (optional participation since 2016)</w:t>
            </w:r>
          </w:p>
        </w:tc>
      </w:tr>
      <w:tr>
        <w:tc>
          <w:tcPr>
            <w:tcW w:type="dxa" w:w="2880"/>
          </w:tcPr>
          <w:p>
            <w:r/>
            <w:r>
              <w:rPr>
                <w:b/>
              </w:rPr>
              <w:t>Bid Criterion</w:t>
            </w:r>
          </w:p>
        </w:tc>
        <w:tc>
          <w:tcPr>
            <w:tcW w:type="dxa" w:w="2880"/>
          </w:tcPr>
          <w:p>
            <w:r/>
            <w:r>
              <w:t>Signature bonus + work program</w:t>
            </w:r>
          </w:p>
        </w:tc>
        <w:tc>
          <w:tcPr>
            <w:tcW w:type="dxa" w:w="2880"/>
          </w:tcPr>
          <w:p>
            <w:r/>
            <w:r>
              <w:t>Profit oil to government (%) - highest government share wins</w:t>
            </w:r>
          </w:p>
        </w:tc>
      </w:tr>
      <w:tr>
        <w:tc>
          <w:tcPr>
            <w:tcW w:type="dxa" w:w="2880"/>
          </w:tcPr>
          <w:p>
            <w:r/>
            <w:r>
              <w:rPr>
                <w:b/>
              </w:rPr>
              <w:t>IRPJ/CSLL</w:t>
            </w:r>
          </w:p>
        </w:tc>
        <w:tc>
          <w:tcPr>
            <w:tcW w:type="dxa" w:w="2880"/>
          </w:tcPr>
          <w:p>
            <w:r/>
            <w:r>
              <w:t>34% combined</w:t>
            </w:r>
          </w:p>
        </w:tc>
        <w:tc>
          <w:tcPr>
            <w:tcW w:type="dxa" w:w="2880"/>
          </w:tcPr>
          <w:p>
            <w:r/>
            <w:r>
              <w:t>34% combined</w:t>
            </w:r>
          </w:p>
        </w:tc>
      </w:tr>
      <w:tr>
        <w:tc>
          <w:tcPr>
            <w:tcW w:type="dxa" w:w="2880"/>
          </w:tcPr>
          <w:p>
            <w:r/>
            <w:r>
              <w:rPr>
                <w:b/>
              </w:rPr>
              <w:t>Cost Recovery</w:t>
            </w:r>
          </w:p>
        </w:tc>
        <w:tc>
          <w:tcPr>
            <w:tcW w:type="dxa" w:w="2880"/>
          </w:tcPr>
          <w:p>
            <w:r/>
            <w:r>
              <w:t>Tax deductions via depreciation and expensing</w:t>
            </w:r>
          </w:p>
        </w:tc>
        <w:tc>
          <w:tcPr>
            <w:tcW w:type="dxa" w:w="2880"/>
          </w:tcPr>
          <w:p>
            <w:r/>
            <w:r>
              <w:t>Explicit cost oil recovery (up to 80% ceiling)</w:t>
            </w:r>
          </w:p>
        </w:tc>
      </w:tr>
    </w:tbl>
    <w:p/>
    <w:p>
      <w:r>
        <w:t>The concession regime transfers resource ownership to the contractor at the wellhead, with government revenue captured through royalties, special participation, and taxation. The PSC regime maintains state ownership, with contractors entitled to recover costs through cost oil and receive a share of remaining profit oil, providing the government with greater control over strategic pre-salt resources.</w:t>
      </w:r>
    </w:p>
    <w:p>
      <w:pPr>
        <w:pStyle w:val="Heading3"/>
      </w:pPr>
      <w:r>
        <w:t>3.2 Local Content Requirements</w:t>
      </w:r>
    </w:p>
    <w:p>
      <w:r>
        <w:t xml:space="preserve">Brazil historically imposed strict </w:t>
      </w:r>
      <w:r>
        <w:rPr>
          <w:b/>
        </w:rPr>
        <w:t>local content obligations</w:t>
      </w:r>
      <w:r>
        <w:t xml:space="preserve"> requiring minimum percentages of goods and services to be sourced domestically, with detailed requirements by equipment category and project phase. High local content targets created significant cost pressures and project delays.</w:t>
      </w:r>
    </w:p>
    <w:p>
      <w:r>
        <w:t>Regulatory reforms in 2017-2018 relaxed these requirements to attract investment. The revised framework introduced more flexible "Brazilian Content Commitment" targets with:</w:t>
      </w:r>
    </w:p>
    <w:p>
      <w:pPr>
        <w:pStyle w:val="ListBullet"/>
      </w:pPr>
      <w:r>
        <w:t>Reduced minimum percentages (ranging from 18% offshore exploration to 50% onshore production depending on project phase and equipment category)</w:t>
      </w:r>
    </w:p>
    <w:p>
      <w:pPr>
        <w:pStyle w:val="ListBullet"/>
      </w:pPr>
      <w:r>
        <w:t>Simplified measurement and verification procedures</w:t>
      </w:r>
    </w:p>
    <w:p>
      <w:pPr>
        <w:pStyle w:val="ListBullet"/>
      </w:pPr>
      <w:r>
        <w:t>Financial penalties for non-compliance (reduced from previous regime)</w:t>
      </w:r>
    </w:p>
    <w:p>
      <w:pPr>
        <w:pStyle w:val="ListBullet"/>
      </w:pPr>
      <w:r>
        <w:t>Option for companies to renegotiate existing local content commitments under revised standards</w:t>
      </w:r>
    </w:p>
    <w:p>
      <w:pPr>
        <w:pStyle w:val="Heading3"/>
      </w:pPr>
      <w:r>
        <w:t>3.3 Transfer Pricing Rules (Brazil-Specific)</w:t>
      </w:r>
    </w:p>
    <w:p>
      <w:r>
        <w:t xml:space="preserve">Brazil applies unique </w:t>
      </w:r>
      <w:r>
        <w:rPr>
          <w:b/>
        </w:rPr>
        <w:t>fixed-margin transfer pricing methods</w:t>
      </w:r>
      <w:r>
        <w:t xml:space="preserve"> that differ from OECD guidelines. Rather than requiring arm's length pricing based on comparable transactions, Brazilian law prescribes fixed margins for calculating transfer prices:</w:t>
      </w:r>
    </w:p>
    <w:p>
      <w:r>
        <w:rPr>
          <w:b/>
        </w:rPr>
        <w:t>Methods:</w:t>
      </w:r>
    </w:p>
    <w:p>
      <w:pPr>
        <w:pStyle w:val="ListBullet"/>
      </w:pPr>
      <w:r>
        <w:rPr>
          <w:b/>
        </w:rPr>
        <w:t>PRL (Preço de Revenda menos Lucro):</w:t>
      </w:r>
      <w:r>
        <w:t xml:space="preserve"> Resale price method - applies fixed margins to resale prices</w:t>
      </w:r>
    </w:p>
    <w:p>
      <w:pPr>
        <w:pStyle w:val="ListBullet"/>
      </w:pPr>
      <w:r>
        <w:rPr>
          <w:b/>
        </w:rPr>
        <w:t>CPL (Custo de Produção mais Lucro):</w:t>
      </w:r>
      <w:r>
        <w:t xml:space="preserve"> Cost-plus method - applies fixed markups to production costs</w:t>
      </w:r>
    </w:p>
    <w:p>
      <w:pPr>
        <w:pStyle w:val="ListBullet"/>
      </w:pPr>
      <w:r>
        <w:rPr>
          <w:b/>
        </w:rPr>
        <w:t>PIC (Preço Independente Comparado):</w:t>
      </w:r>
      <w:r>
        <w:t xml:space="preserve"> Comparable uncontrolled price - uses independent third-party prices when available</w:t>
      </w:r>
    </w:p>
    <w:p>
      <w:r>
        <w:t>Petroleum companies must comply with these methods for related-party transactions, including crude oil sales to affiliated refiners or traders, service fees from parent companies or affiliates, and financing arrangements with related entities. Documentation requirements are extensive, with annual transfer pricing returns mandatory. Non-compliance results in adjustments to taxable income and potential penalties.</w:t>
      </w:r>
    </w:p>
    <w:p>
      <w:pPr>
        <w:spacing w:before="120" w:after="120"/>
        <w:pBdr>
          <w:bottom w:val="single" w:sz="6" w:space="1" w:color="auto"/>
        </w:pBdr>
      </w:pPr>
    </w:p>
    <w:p>
      <w:pPr>
        <w:pStyle w:val="Heading2"/>
      </w:pPr>
      <w:r>
        <w:t>4. Application Methodology: Concession Regime Calculation</w:t>
      </w:r>
    </w:p>
    <w:p>
      <w:pPr>
        <w:pStyle w:val="Heading3"/>
      </w:pPr>
      <w:r>
        <w:t>4.1 Worked Example: Post-Salt Concession Field</w:t>
      </w:r>
    </w:p>
    <w:p>
      <w:r>
        <w:rPr>
          <w:b/>
        </w:rPr>
        <w:t>Assumptions:</w:t>
      </w:r>
    </w:p>
    <w:p>
      <w:pPr>
        <w:pStyle w:val="ListBullet"/>
      </w:pPr>
      <w:r>
        <w:t>Annual production: 10 million barrels</w:t>
      </w:r>
    </w:p>
    <w:p>
      <w:pPr>
        <w:pStyle w:val="ListBullet"/>
      </w:pPr>
      <w:r>
        <w:t>Oil price: USD 80/barrel</w:t>
      </w:r>
    </w:p>
    <w:p>
      <w:pPr>
        <w:pStyle w:val="ListBullet"/>
      </w:pPr>
      <w:r>
        <w:t>Gross revenue: USD 800 million</w:t>
      </w:r>
    </w:p>
    <w:p>
      <w:pPr>
        <w:pStyle w:val="ListBullet"/>
      </w:pPr>
      <w:r>
        <w:t>Operating costs: USD 200 million</w:t>
      </w:r>
    </w:p>
    <w:p>
      <w:pPr>
        <w:pStyle w:val="ListBullet"/>
      </w:pPr>
      <w:r>
        <w:t>Capital expenditure (annual depreciation): USD 150 million</w:t>
      </w:r>
    </w:p>
    <w:p>
      <w:pPr>
        <w:pStyle w:val="ListBullet"/>
      </w:pPr>
      <w:r>
        <w:t>Royalty rate: 10%</w:t>
      </w:r>
    </w:p>
    <w:p>
      <w:pPr>
        <w:pStyle w:val="ListBullet"/>
      </w:pPr>
      <w:r>
        <w:t>Special participation applies: 10% (based on field productivity and location under concession contract terms)</w:t>
      </w:r>
    </w:p>
    <w:p>
      <w:r>
        <w:rPr>
          <w:b/>
        </w:rPr>
        <w:t>Calculation:</w:t>
      </w:r>
    </w:p>
    <w:p>
      <w:r>
        <w:rPr>
          <w:b/>
        </w:rPr>
        <w:t>Step 1: Gross Revenue</w:t>
      </w:r>
    </w:p>
    <w:p>
      <w:pPr>
        <w:shd w:fill="F0F0F0"/>
        <w:spacing w:after="0" w:line="240" w:lineRule="auto"/>
      </w:pPr>
      <w:r>
        <w:rPr>
          <w:rFonts w:ascii="Courier New" w:hAnsi="Courier New"/>
          <w:sz w:val="20"/>
        </w:rPr>
        <w:t>Gross Revenue = 10,000,000 barrels × USD 80 = USD 800,000,000</w:t>
      </w:r>
    </w:p>
    <w:p/>
    <w:p>
      <w:r>
        <w:rPr>
          <w:b/>
        </w:rPr>
        <w:t>Step 2: Royalties (10%)</w:t>
      </w:r>
    </w:p>
    <w:p>
      <w:pPr>
        <w:shd w:fill="F0F0F0"/>
        <w:spacing w:after="0" w:line="240" w:lineRule="auto"/>
      </w:pPr>
      <w:r>
        <w:rPr>
          <w:rFonts w:ascii="Courier New" w:hAnsi="Courier New"/>
          <w:sz w:val="20"/>
        </w:rPr>
        <w:t>Royalties = USD 800,000,000 × 10% = USD 80,000,000</w:t>
      </w:r>
    </w:p>
    <w:p/>
    <w:p>
      <w:r>
        <w:rPr>
          <w:b/>
        </w:rPr>
        <w:t>Step 3: Special Participation Base Calculation</w:t>
      </w:r>
    </w:p>
    <w:p>
      <w:pPr>
        <w:shd w:fill="F0F0F0"/>
        <w:spacing w:after="0" w:line="240" w:lineRule="auto"/>
      </w:pPr>
      <w:r>
        <w:rPr>
          <w:rFonts w:ascii="Courier New" w:hAnsi="Courier New"/>
          <w:sz w:val="20"/>
        </w:rPr>
        <w:t>Base for Special Participation = Gross Revenue - Royalties - Operating Costs - Depreciation</w:t>
      </w:r>
    </w:p>
    <w:p>
      <w:pPr>
        <w:shd w:fill="F0F0F0"/>
        <w:spacing w:after="0" w:line="240" w:lineRule="auto"/>
      </w:pPr>
      <w:r>
        <w:rPr>
          <w:rFonts w:ascii="Courier New" w:hAnsi="Courier New"/>
          <w:sz w:val="20"/>
        </w:rPr>
        <w:t>= USD 800,000,000 - USD 80,000,000 - USD 200,000,000 - USD 150,000,000</w:t>
      </w:r>
    </w:p>
    <w:p>
      <w:pPr>
        <w:shd w:fill="F0F0F0"/>
        <w:spacing w:after="0" w:line="240" w:lineRule="auto"/>
      </w:pPr>
      <w:r>
        <w:rPr>
          <w:rFonts w:ascii="Courier New" w:hAnsi="Courier New"/>
          <w:sz w:val="20"/>
        </w:rPr>
        <w:t>= USD 370,000,000</w:t>
      </w:r>
    </w:p>
    <w:p/>
    <w:p>
      <w:r>
        <w:rPr>
          <w:b/>
        </w:rPr>
        <w:t>Step 4: Special Participation (10%)</w:t>
      </w:r>
    </w:p>
    <w:p>
      <w:pPr>
        <w:shd w:fill="F0F0F0"/>
        <w:spacing w:after="0" w:line="240" w:lineRule="auto"/>
      </w:pPr>
      <w:r>
        <w:rPr>
          <w:rFonts w:ascii="Courier New" w:hAnsi="Courier New"/>
          <w:sz w:val="20"/>
        </w:rPr>
        <w:t>Special Participation = USD 370,000,000 × 10% = USD 37,000,000</w:t>
      </w:r>
    </w:p>
    <w:p/>
    <w:p>
      <w:r>
        <w:rPr>
          <w:b/>
        </w:rPr>
        <w:t>Step 5: Net Revenue After Governmental Participations</w:t>
      </w:r>
    </w:p>
    <w:p>
      <w:pPr>
        <w:shd w:fill="F0F0F0"/>
        <w:spacing w:after="0" w:line="240" w:lineRule="auto"/>
      </w:pPr>
      <w:r>
        <w:rPr>
          <w:rFonts w:ascii="Courier New" w:hAnsi="Courier New"/>
          <w:sz w:val="20"/>
        </w:rPr>
        <w:t>Net Revenue = USD 800,000,000 - USD 80,000,000 - USD 37,000,000</w:t>
      </w:r>
    </w:p>
    <w:p>
      <w:pPr>
        <w:shd w:fill="F0F0F0"/>
        <w:spacing w:after="0" w:line="240" w:lineRule="auto"/>
      </w:pPr>
      <w:r>
        <w:rPr>
          <w:rFonts w:ascii="Courier New" w:hAnsi="Courier New"/>
          <w:sz w:val="20"/>
        </w:rPr>
        <w:t>= USD 683,000,000</w:t>
      </w:r>
    </w:p>
    <w:p/>
    <w:p>
      <w:r>
        <w:rPr>
          <w:b/>
        </w:rPr>
        <w:t>Step 6: Taxable Income (IRPJ/CSLL)</w:t>
      </w:r>
    </w:p>
    <w:p>
      <w:pPr>
        <w:shd w:fill="F0F0F0"/>
        <w:spacing w:after="0" w:line="240" w:lineRule="auto"/>
      </w:pPr>
      <w:r>
        <w:rPr>
          <w:rFonts w:ascii="Courier New" w:hAnsi="Courier New"/>
          <w:sz w:val="20"/>
        </w:rPr>
        <w:t>Taxable Income = Net Revenue - Operating Costs - Depreciation</w:t>
      </w:r>
    </w:p>
    <w:p>
      <w:pPr>
        <w:shd w:fill="F0F0F0"/>
        <w:spacing w:after="0" w:line="240" w:lineRule="auto"/>
      </w:pPr>
      <w:r>
        <w:rPr>
          <w:rFonts w:ascii="Courier New" w:hAnsi="Courier New"/>
          <w:sz w:val="20"/>
        </w:rPr>
        <w:t>= USD 683,000,000 - USD 200,000,000 - USD 150,000,000</w:t>
      </w:r>
    </w:p>
    <w:p>
      <w:pPr>
        <w:shd w:fill="F0F0F0"/>
        <w:spacing w:after="0" w:line="240" w:lineRule="auto"/>
      </w:pPr>
      <w:r>
        <w:rPr>
          <w:rFonts w:ascii="Courier New" w:hAnsi="Courier New"/>
          <w:sz w:val="20"/>
        </w:rPr>
        <w:t>= USD 333,000,000</w:t>
      </w:r>
    </w:p>
    <w:p/>
    <w:p>
      <w:r>
        <w:rPr>
          <w:b/>
        </w:rPr>
        <w:t>Step 7: Corporate Income Tax (IRPJ = 25%)</w:t>
      </w:r>
    </w:p>
    <w:p>
      <w:pPr>
        <w:shd w:fill="F0F0F0"/>
        <w:spacing w:after="0" w:line="240" w:lineRule="auto"/>
      </w:pPr>
      <w:r>
        <w:rPr>
          <w:rFonts w:ascii="Courier New" w:hAnsi="Courier New"/>
          <w:sz w:val="20"/>
        </w:rPr>
        <w:t>IRPJ = USD 333,000,000 × 25% = USD 83,250,000</w:t>
      </w:r>
    </w:p>
    <w:p/>
    <w:p>
      <w:r>
        <w:rPr>
          <w:b/>
        </w:rPr>
        <w:t>Step 8: Social Contribution (CSLL = 9%)</w:t>
      </w:r>
    </w:p>
    <w:p>
      <w:pPr>
        <w:shd w:fill="F0F0F0"/>
        <w:spacing w:after="0" w:line="240" w:lineRule="auto"/>
      </w:pPr>
      <w:r>
        <w:rPr>
          <w:rFonts w:ascii="Courier New" w:hAnsi="Courier New"/>
          <w:sz w:val="20"/>
        </w:rPr>
        <w:t>CSLL = USD 333,000,000 × 9% = USD 29,970,000</w:t>
      </w:r>
    </w:p>
    <w:p/>
    <w:p>
      <w:r>
        <w:rPr>
          <w:b/>
        </w:rPr>
        <w:t>Step 9: Total Government Take</w:t>
      </w:r>
    </w:p>
    <w:p>
      <w:pPr>
        <w:shd w:fill="F0F0F0"/>
        <w:spacing w:after="0" w:line="240" w:lineRule="auto"/>
      </w:pPr>
      <w:r>
        <w:rPr>
          <w:rFonts w:ascii="Courier New" w:hAnsi="Courier New"/>
          <w:sz w:val="20"/>
        </w:rPr>
        <w:t>Total Government Take = Royalties + Special Participation + IRPJ + CSLL</w:t>
      </w:r>
    </w:p>
    <w:p>
      <w:pPr>
        <w:shd w:fill="F0F0F0"/>
        <w:spacing w:after="0" w:line="240" w:lineRule="auto"/>
      </w:pPr>
      <w:r>
        <w:rPr>
          <w:rFonts w:ascii="Courier New" w:hAnsi="Courier New"/>
          <w:sz w:val="20"/>
        </w:rPr>
        <w:t>= USD 80,000,000 + USD 37,000,000 + USD 83,250,000 + USD 29,970,000</w:t>
      </w:r>
    </w:p>
    <w:p>
      <w:pPr>
        <w:shd w:fill="F0F0F0"/>
        <w:spacing w:after="0" w:line="240" w:lineRule="auto"/>
      </w:pPr>
      <w:r>
        <w:rPr>
          <w:rFonts w:ascii="Courier New" w:hAnsi="Courier New"/>
          <w:sz w:val="20"/>
        </w:rPr>
        <w:t>= USD 230,220,000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Government Take Percentage = USD 230,220,000 / USD 800,000,000 = 28.8%</w:t>
      </w:r>
    </w:p>
    <w:p/>
    <w:p>
      <w:r>
        <w:rPr>
          <w:b/>
        </w:rPr>
        <w:t>Step 10: Contractor Net Cash Flow</w:t>
      </w:r>
    </w:p>
    <w:p>
      <w:pPr>
        <w:shd w:fill="F0F0F0"/>
        <w:spacing w:after="0" w:line="240" w:lineRule="auto"/>
      </w:pPr>
      <w:r>
        <w:rPr>
          <w:rFonts w:ascii="Courier New" w:hAnsi="Courier New"/>
          <w:sz w:val="20"/>
        </w:rPr>
        <w:t>Net Cash Flow = Gross Revenue - Operating Costs - Capital Expenditure - Government Take</w:t>
      </w:r>
    </w:p>
    <w:p>
      <w:pPr>
        <w:shd w:fill="F0F0F0"/>
        <w:spacing w:after="0" w:line="240" w:lineRule="auto"/>
      </w:pPr>
      <w:r>
        <w:rPr>
          <w:rFonts w:ascii="Courier New" w:hAnsi="Courier New"/>
          <w:sz w:val="20"/>
        </w:rPr>
        <w:t>= USD 800,000,000 - USD 200,000,000 - USD 150,000,000 - USD 230,220,000</w:t>
      </w:r>
    </w:p>
    <w:p>
      <w:pPr>
        <w:shd w:fill="F0F0F0"/>
        <w:spacing w:after="0" w:line="240" w:lineRule="auto"/>
      </w:pPr>
      <w:r>
        <w:rPr>
          <w:rFonts w:ascii="Courier New" w:hAnsi="Courier New"/>
          <w:sz w:val="20"/>
        </w:rPr>
        <w:t>= USD 219,780,000</w:t>
      </w:r>
    </w:p>
    <w:p/>
    <w:p>
      <w:r>
        <w:rPr>
          <w:b/>
        </w:rPr>
        <w:t>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Item</w:t>
            </w:r>
          </w:p>
        </w:tc>
        <w:tc>
          <w:tcPr>
            <w:tcW w:type="dxa" w:w="2880"/>
          </w:tcPr>
          <w:p>
            <w:r>
              <w:rPr>
                <w:b/>
              </w:rPr>
            </w:r>
            <w:r>
              <w:rPr>
                <w:b/>
              </w:rPr>
              <w:t>Amount (USD million)</w:t>
            </w:r>
          </w:p>
        </w:tc>
        <w:tc>
          <w:tcPr>
            <w:tcW w:type="dxa" w:w="2880"/>
          </w:tcPr>
          <w:p>
            <w:r>
              <w:rPr>
                <w:b/>
              </w:rPr>
            </w:r>
            <w:r>
              <w:rPr>
                <w:b/>
              </w:rPr>
              <w:t>Percentage of Gross Revenue</w:t>
            </w:r>
          </w:p>
        </w:tc>
      </w:tr>
      <w:tr>
        <w:tc>
          <w:tcPr>
            <w:tcW w:type="dxa" w:w="2880"/>
          </w:tcPr>
          <w:p>
            <w:r/>
            <w:r>
              <w:t>Gross Revenue</w:t>
            </w:r>
          </w:p>
        </w:tc>
        <w:tc>
          <w:tcPr>
            <w:tcW w:type="dxa" w:w="2880"/>
          </w:tcPr>
          <w:p>
            <w:r/>
            <w:r>
              <w:t>800.0</w:t>
            </w:r>
          </w:p>
        </w:tc>
        <w:tc>
          <w:tcPr>
            <w:tcW w:type="dxa" w:w="2880"/>
          </w:tcPr>
          <w:p>
            <w:r/>
            <w:r>
              <w:t>100.0%</w:t>
            </w:r>
          </w:p>
        </w:tc>
      </w:tr>
      <w:tr>
        <w:tc>
          <w:tcPr>
            <w:tcW w:type="dxa" w:w="2880"/>
          </w:tcPr>
          <w:p>
            <w:r/>
            <w:r>
              <w:t>Operating Costs</w:t>
            </w:r>
          </w:p>
        </w:tc>
        <w:tc>
          <w:tcPr>
            <w:tcW w:type="dxa" w:w="2880"/>
          </w:tcPr>
          <w:p>
            <w:r/>
            <w:r>
              <w:t>(200.0)</w:t>
            </w:r>
          </w:p>
        </w:tc>
        <w:tc>
          <w:tcPr>
            <w:tcW w:type="dxa" w:w="2880"/>
          </w:tcPr>
          <w:p>
            <w:r/>
            <w:r>
              <w:t>(25.0%)</w:t>
            </w:r>
          </w:p>
        </w:tc>
      </w:tr>
      <w:tr>
        <w:tc>
          <w:tcPr>
            <w:tcW w:type="dxa" w:w="2880"/>
          </w:tcPr>
          <w:p>
            <w:r/>
            <w:r>
              <w:t>Capital Expenditure</w:t>
            </w:r>
          </w:p>
        </w:tc>
        <w:tc>
          <w:tcPr>
            <w:tcW w:type="dxa" w:w="2880"/>
          </w:tcPr>
          <w:p>
            <w:r/>
            <w:r>
              <w:t>(150.0)</w:t>
            </w:r>
          </w:p>
        </w:tc>
        <w:tc>
          <w:tcPr>
            <w:tcW w:type="dxa" w:w="2880"/>
          </w:tcPr>
          <w:p>
            <w:r/>
            <w:r>
              <w:t>(18.8%)</w:t>
            </w:r>
          </w:p>
        </w:tc>
      </w:tr>
      <w:tr>
        <w:tc>
          <w:tcPr>
            <w:tcW w:type="dxa" w:w="2880"/>
          </w:tcPr>
          <w:p>
            <w:r/>
            <w:r>
              <w:t>Royalties (10%)</w:t>
            </w:r>
          </w:p>
        </w:tc>
        <w:tc>
          <w:tcPr>
            <w:tcW w:type="dxa" w:w="2880"/>
          </w:tcPr>
          <w:p>
            <w:r/>
            <w:r>
              <w:t>(80.0)</w:t>
            </w:r>
          </w:p>
        </w:tc>
        <w:tc>
          <w:tcPr>
            <w:tcW w:type="dxa" w:w="2880"/>
          </w:tcPr>
          <w:p>
            <w:r/>
            <w:r>
              <w:t>(10.0%)</w:t>
            </w:r>
          </w:p>
        </w:tc>
      </w:tr>
      <w:tr>
        <w:tc>
          <w:tcPr>
            <w:tcW w:type="dxa" w:w="2880"/>
          </w:tcPr>
          <w:p>
            <w:r/>
            <w:r>
              <w:t>Special Participation (10%)</w:t>
            </w:r>
          </w:p>
        </w:tc>
        <w:tc>
          <w:tcPr>
            <w:tcW w:type="dxa" w:w="2880"/>
          </w:tcPr>
          <w:p>
            <w:r/>
            <w:r>
              <w:t>(37.0)</w:t>
            </w:r>
          </w:p>
        </w:tc>
        <w:tc>
          <w:tcPr>
            <w:tcW w:type="dxa" w:w="2880"/>
          </w:tcPr>
          <w:p>
            <w:r/>
            <w:r>
              <w:t>(4.6%)</w:t>
            </w:r>
          </w:p>
        </w:tc>
      </w:tr>
      <w:tr>
        <w:tc>
          <w:tcPr>
            <w:tcW w:type="dxa" w:w="2880"/>
          </w:tcPr>
          <w:p>
            <w:r/>
            <w:r>
              <w:t>IRPJ (25%)</w:t>
            </w:r>
          </w:p>
        </w:tc>
        <w:tc>
          <w:tcPr>
            <w:tcW w:type="dxa" w:w="2880"/>
          </w:tcPr>
          <w:p>
            <w:r/>
            <w:r>
              <w:t>(83.3)</w:t>
            </w:r>
          </w:p>
        </w:tc>
        <w:tc>
          <w:tcPr>
            <w:tcW w:type="dxa" w:w="2880"/>
          </w:tcPr>
          <w:p>
            <w:r/>
            <w:r>
              <w:t>(10.4%)</w:t>
            </w:r>
          </w:p>
        </w:tc>
      </w:tr>
      <w:tr>
        <w:tc>
          <w:tcPr>
            <w:tcW w:type="dxa" w:w="2880"/>
          </w:tcPr>
          <w:p>
            <w:r/>
            <w:r>
              <w:t>CSLL (9%)</w:t>
            </w:r>
          </w:p>
        </w:tc>
        <w:tc>
          <w:tcPr>
            <w:tcW w:type="dxa" w:w="2880"/>
          </w:tcPr>
          <w:p>
            <w:r/>
            <w:r>
              <w:t>(30.0)</w:t>
            </w:r>
          </w:p>
        </w:tc>
        <w:tc>
          <w:tcPr>
            <w:tcW w:type="dxa" w:w="2880"/>
          </w:tcPr>
          <w:p>
            <w:r/>
            <w:r>
              <w:t>(3.8%)</w:t>
            </w:r>
          </w:p>
        </w:tc>
      </w:tr>
      <w:tr>
        <w:tc>
          <w:tcPr>
            <w:tcW w:type="dxa" w:w="2880"/>
          </w:tcPr>
          <w:p>
            <w:r/>
            <w:r>
              <w:rPr>
                <w:b/>
              </w:rPr>
              <w:t>Contractor Net Cash Flow</w:t>
            </w:r>
          </w:p>
        </w:tc>
        <w:tc>
          <w:tcPr>
            <w:tcW w:type="dxa" w:w="2880"/>
          </w:tcPr>
          <w:p>
            <w:r/>
            <w:r>
              <w:rPr>
                <w:b/>
              </w:rPr>
              <w:t>219.8</w:t>
            </w:r>
          </w:p>
        </w:tc>
        <w:tc>
          <w:tcPr>
            <w:tcW w:type="dxa" w:w="2880"/>
          </w:tcPr>
          <w:p>
            <w:r/>
            <w:r>
              <w:rPr>
                <w:b/>
              </w:rPr>
              <w:t>27.5%</w:t>
            </w:r>
          </w:p>
        </w:tc>
      </w:tr>
      <w:tr>
        <w:tc>
          <w:tcPr>
            <w:tcW w:type="dxa" w:w="2880"/>
          </w:tcPr>
          <w:p>
            <w:r/>
            <w:r>
              <w:rPr>
                <w:b/>
              </w:rPr>
              <w:t>Total Government Take</w:t>
            </w:r>
          </w:p>
        </w:tc>
        <w:tc>
          <w:tcPr>
            <w:tcW w:type="dxa" w:w="2880"/>
          </w:tcPr>
          <w:p>
            <w:r/>
            <w:r>
              <w:rPr>
                <w:b/>
              </w:rPr>
              <w:t>230.2</w:t>
            </w:r>
          </w:p>
        </w:tc>
        <w:tc>
          <w:tcPr>
            <w:tcW w:type="dxa" w:w="2880"/>
          </w:tcPr>
          <w:p>
            <w:r/>
            <w:r>
              <w:rPr>
                <w:b/>
              </w:rPr>
              <w:t>28.8%</w:t>
            </w:r>
          </w:p>
        </w:tc>
      </w:tr>
    </w:tbl>
    <w:p/>
    <w:p>
      <w:r>
        <w:rPr>
          <w:b/>
        </w:rPr>
        <w:t>Note:</w:t>
      </w:r>
      <w:r>
        <w:t xml:space="preserve"> This example excludes signature bonuses and treats depreciation as both a non-cash expense and a deduction for special participation calculation per Brazilian petroleum fiscal regulations.</w:t>
      </w:r>
    </w:p>
    <w:p>
      <w:pPr>
        <w:spacing w:before="120" w:after="120"/>
        <w:pBdr>
          <w:bottom w:val="single" w:sz="6" w:space="1" w:color="auto"/>
        </w:pBdr>
      </w:pPr>
    </w:p>
    <w:p>
      <w:r>
        <w:rPr>
          <w:b/>
        </w:rPr>
        <w:t>Study Note Key Points:</w:t>
      </w:r>
    </w:p>
    <w:p>
      <w:pPr>
        <w:pStyle w:val="ListNumber"/>
      </w:pPr>
      <w:r>
        <w:t xml:space="preserve">Brazil operates a </w:t>
      </w:r>
      <w:r>
        <w:rPr>
          <w:b/>
        </w:rPr>
        <w:t>dual-regime structure</w:t>
      </w:r>
      <w:r>
        <w:t>: concession regime (Law No. 9,478/1997) for post-salt areas and production sharing regime (Law No. 12,351/2010) for strategic pre-salt areas</w:t>
      </w:r>
    </w:p>
    <w:p>
      <w:pPr>
        <w:pStyle w:val="ListNumber"/>
      </w:pPr>
      <w:r>
        <w:rPr>
          <w:b/>
        </w:rPr>
        <w:t>Law No. 13,365/2016</w:t>
      </w:r>
      <w:r>
        <w:t xml:space="preserve"> made Petrobras participation in pre-salt PSCs optional, changing from mandatory 30% minimum stake to right of first refusal</w:t>
      </w:r>
    </w:p>
    <w:p>
      <w:pPr>
        <w:pStyle w:val="ListNumber"/>
      </w:pPr>
      <w:r>
        <w:rPr>
          <w:b/>
        </w:rPr>
        <w:t>Combined corporate taxation</w:t>
      </w:r>
      <w:r>
        <w:t xml:space="preserve"> of 34% (IRPJ 25% + CSLL 9%) applies under both regimes</w:t>
      </w:r>
    </w:p>
    <w:p>
      <w:pPr>
        <w:pStyle w:val="ListNumber"/>
      </w:pPr>
      <w:r>
        <w:rPr>
          <w:b/>
        </w:rPr>
        <w:t>Concession regime</w:t>
      </w:r>
      <w:r>
        <w:t>: Government revenue through royalties (5-10%), special participation (0-40% progressive), and corporate taxation</w:t>
      </w:r>
    </w:p>
    <w:p>
      <w:pPr>
        <w:pStyle w:val="ListNumber"/>
      </w:pPr>
      <w:r>
        <w:rPr>
          <w:b/>
        </w:rPr>
        <w:t>PSC regime</w:t>
      </w:r>
      <w:r>
        <w:t>: 15% fixed royalty, up to 80% cost recovery ceiling, profit oil split (20-50% to government as bid parameter)</w:t>
      </w:r>
    </w:p>
    <w:p>
      <w:pPr>
        <w:pStyle w:val="ListNumber"/>
      </w:pPr>
      <w:r>
        <w:rPr>
          <w:b/>
        </w:rPr>
        <w:t>Withholding taxes</w:t>
      </w:r>
      <w:r>
        <w:t>: Currently 0% on dividends, 15% standard rate on services/interest/royalties (25% for tax haven jurisdictions), plus 10% CIDE on technology/service remittances</w:t>
      </w:r>
    </w:p>
    <w:p>
      <w:pPr>
        <w:pStyle w:val="ListNumber"/>
      </w:pPr>
      <w:r>
        <w:t xml:space="preserve">Brazil applies </w:t>
      </w:r>
      <w:r>
        <w:rPr>
          <w:b/>
        </w:rPr>
        <w:t>unique fixed-margin transfer pricing methods</w:t>
      </w:r>
      <w:r>
        <w:t xml:space="preserve"> (PRL, CPL, PIC) that differ from OECD standards</w:t>
      </w:r>
    </w:p>
    <w:p>
      <w:pPr>
        <w:pStyle w:val="ListNumber"/>
      </w:pPr>
      <w:r>
        <w:rPr>
          <w:b/>
        </w:rPr>
        <w:t>Local content requirements</w:t>
      </w:r>
      <w:r>
        <w:t xml:space="preserve"> were significantly relaxed in 2017-2018 to reduce cost pressures and attract investment</w:t>
      </w:r>
    </w:p>
    <w:p>
      <w:pPr>
        <w:pStyle w:val="ListNumber"/>
      </w:pPr>
      <w:r>
        <w:t>Government take in concession regime typically ranges 25-40% depending on field profitability; PSC regime government take ranges 60-75% for highly prospective pre-salt fields</w:t>
      </w:r>
    </w:p>
    <w:p>
      <w:pPr>
        <w:pStyle w:val="ListNumber"/>
      </w:pPr>
      <w:r>
        <w:t xml:space="preserve">ANP implemented a </w:t>
      </w:r>
      <w:r>
        <w:rPr>
          <w:b/>
        </w:rPr>
        <w:t>Permanent Offering System</w:t>
      </w:r>
      <w:r>
        <w:t xml:space="preserve"> in 2019, allowing continuous access to exploration blocks outside traditional bidding 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